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黑体" w:eastAsia="方正小标宋_GBK"/>
          <w:b/>
          <w:bCs/>
          <w:sz w:val="44"/>
          <w:szCs w:val="44"/>
        </w:rPr>
      </w:pPr>
    </w:p>
    <w:p>
      <w:pPr>
        <w:spacing w:line="600" w:lineRule="exact"/>
        <w:jc w:val="center"/>
        <w:rPr>
          <w:rFonts w:hint="eastAsia" w:ascii="方正小标宋_GBK" w:hAnsi="黑体" w:eastAsia="方正小标宋_GBK"/>
          <w:b/>
          <w:bCs/>
          <w:sz w:val="44"/>
          <w:szCs w:val="44"/>
        </w:rPr>
      </w:pPr>
    </w:p>
    <w:p>
      <w:pPr>
        <w:spacing w:line="600" w:lineRule="exact"/>
        <w:jc w:val="center"/>
        <w:rPr>
          <w:rFonts w:hint="eastAsia" w:ascii="方正正黑_GBK" w:hAnsi="方正正黑_GBK" w:eastAsia="方正正黑_GBK" w:cs="方正正黑_GBK"/>
          <w:b/>
          <w:bCs/>
          <w:sz w:val="44"/>
          <w:szCs w:val="44"/>
        </w:rPr>
      </w:pPr>
      <w:r>
        <w:rPr>
          <w:rFonts w:hint="eastAsia" w:ascii="方正正黑_GBK" w:hAnsi="方正正黑_GBK" w:eastAsia="方正正黑_GBK" w:cs="方正正黑_GBK"/>
          <w:b/>
          <w:bCs/>
          <w:sz w:val="44"/>
          <w:szCs w:val="44"/>
        </w:rPr>
        <w:t>自治区医疗保障局</w:t>
      </w:r>
      <w:r>
        <w:rPr>
          <w:rFonts w:hint="eastAsia" w:ascii="方正正黑_GBK" w:hAnsi="方正正黑_GBK" w:eastAsia="方正正黑_GBK" w:cs="方正正黑_GBK"/>
          <w:b/>
          <w:bCs/>
          <w:sz w:val="44"/>
          <w:szCs w:val="44"/>
          <w:lang w:eastAsia="zh-CN"/>
        </w:rPr>
        <w:t>预算</w:t>
      </w:r>
      <w:r>
        <w:rPr>
          <w:rFonts w:hint="eastAsia" w:ascii="方正正黑_GBK" w:hAnsi="方正正黑_GBK" w:eastAsia="方正正黑_GBK" w:cs="方正正黑_GBK"/>
          <w:b/>
          <w:bCs/>
          <w:sz w:val="44"/>
          <w:szCs w:val="44"/>
        </w:rPr>
        <w:t>绩效</w:t>
      </w:r>
      <w:r>
        <w:rPr>
          <w:rFonts w:hint="eastAsia" w:ascii="方正正黑_GBK" w:hAnsi="方正正黑_GBK" w:eastAsia="方正正黑_GBK" w:cs="方正正黑_GBK"/>
          <w:b/>
          <w:bCs/>
          <w:sz w:val="44"/>
          <w:szCs w:val="44"/>
          <w:lang w:val="en-US" w:eastAsia="zh-CN"/>
        </w:rPr>
        <w:t>自评</w:t>
      </w:r>
      <w:r>
        <w:rPr>
          <w:rFonts w:hint="eastAsia" w:ascii="方正正黑_GBK" w:hAnsi="方正正黑_GBK" w:eastAsia="方正正黑_GBK" w:cs="方正正黑_GBK"/>
          <w:b/>
          <w:bCs/>
          <w:sz w:val="44"/>
          <w:szCs w:val="44"/>
        </w:rPr>
        <w:t>报告</w:t>
      </w:r>
    </w:p>
    <w:p>
      <w:pPr>
        <w:pStyle w:val="6"/>
        <w:rPr>
          <w:rFonts w:hint="eastAsia" w:ascii="方正正黑_GBK" w:hAnsi="方正正黑_GBK" w:eastAsia="方正正黑_GBK" w:cs="方正正黑_GBK"/>
          <w:b/>
          <w:bCs/>
          <w:sz w:val="44"/>
          <w:szCs w:val="44"/>
          <w:lang w:eastAsia="zh-CN"/>
        </w:rPr>
      </w:pPr>
      <w:r>
        <w:rPr>
          <w:rFonts w:hint="eastAsia" w:ascii="方正正黑_GBK" w:hAnsi="方正正黑_GBK" w:eastAsia="方正正黑_GBK" w:cs="方正正黑_GBK"/>
          <w:b/>
          <w:bCs/>
          <w:sz w:val="44"/>
          <w:szCs w:val="44"/>
          <w:lang w:eastAsia="zh-CN"/>
        </w:rPr>
        <w:t>（</w:t>
      </w:r>
      <w:r>
        <w:rPr>
          <w:rFonts w:hint="eastAsia" w:ascii="方正正黑_GBK" w:hAnsi="方正正黑_GBK" w:eastAsia="方正正黑_GBK" w:cs="方正正黑_GBK"/>
          <w:b/>
          <w:bCs/>
          <w:sz w:val="44"/>
          <w:szCs w:val="44"/>
          <w:lang w:val="en-US" w:eastAsia="zh-CN"/>
        </w:rPr>
        <w:t>2022年度</w:t>
      </w:r>
      <w:r>
        <w:rPr>
          <w:rFonts w:hint="eastAsia" w:ascii="方正正黑_GBK" w:hAnsi="方正正黑_GBK" w:eastAsia="方正正黑_GBK" w:cs="方正正黑_GBK"/>
          <w:b/>
          <w:bCs/>
          <w:sz w:val="44"/>
          <w:szCs w:val="44"/>
          <w:lang w:eastAsia="zh-CN"/>
        </w:rPr>
        <w:t>）</w:t>
      </w:r>
    </w:p>
    <w:p>
      <w:pPr>
        <w:pStyle w:val="6"/>
        <w:rPr>
          <w:rFonts w:hint="eastAsia" w:ascii="方正小标宋_GBK" w:hAnsi="黑体" w:eastAsia="方正小标宋_GBK"/>
          <w:b/>
          <w:bCs/>
          <w:sz w:val="44"/>
          <w:szCs w:val="44"/>
        </w:rPr>
      </w:pPr>
    </w:p>
    <w:p>
      <w:pPr>
        <w:pStyle w:val="6"/>
        <w:rPr>
          <w:rFonts w:hint="eastAsia" w:ascii="方正小标宋_GBK" w:hAnsi="黑体" w:eastAsia="方正小标宋_GBK"/>
          <w:b/>
          <w:bCs/>
          <w:sz w:val="44"/>
          <w:szCs w:val="44"/>
        </w:rPr>
      </w:pPr>
    </w:p>
    <w:p>
      <w:pPr>
        <w:pStyle w:val="6"/>
        <w:rPr>
          <w:rFonts w:hint="eastAsia" w:ascii="方正小标宋_GBK" w:hAnsi="黑体" w:eastAsia="方正小标宋_GBK"/>
          <w:b/>
          <w:bCs/>
          <w:sz w:val="44"/>
          <w:szCs w:val="44"/>
        </w:rPr>
      </w:pPr>
    </w:p>
    <w:p>
      <w:pPr>
        <w:pStyle w:val="6"/>
        <w:rPr>
          <w:rFonts w:hint="eastAsia" w:ascii="方正小标宋_GBK" w:hAnsi="黑体" w:eastAsia="方正小标宋_GBK"/>
          <w:b/>
          <w:bCs/>
          <w:sz w:val="44"/>
          <w:szCs w:val="44"/>
        </w:rPr>
      </w:pPr>
    </w:p>
    <w:p>
      <w:pPr>
        <w:pStyle w:val="6"/>
        <w:rPr>
          <w:rFonts w:hint="eastAsia" w:ascii="方正小标宋_GBK" w:hAnsi="黑体" w:eastAsia="方正小标宋_GBK"/>
          <w:b/>
          <w:bCs/>
          <w:sz w:val="44"/>
          <w:szCs w:val="44"/>
        </w:rPr>
      </w:pPr>
    </w:p>
    <w:p>
      <w:pPr>
        <w:pStyle w:val="6"/>
        <w:rPr>
          <w:rFonts w:hint="eastAsia" w:ascii="方正小标宋_GBK" w:hAnsi="黑体" w:eastAsia="方正小标宋_GBK"/>
          <w:b/>
          <w:bCs/>
          <w:sz w:val="44"/>
          <w:szCs w:val="44"/>
        </w:rPr>
      </w:pPr>
    </w:p>
    <w:p>
      <w:pPr>
        <w:pStyle w:val="6"/>
        <w:rPr>
          <w:rFonts w:hint="eastAsia" w:ascii="方正小标宋_GBK" w:hAnsi="黑体" w:eastAsia="方正小标宋_GBK"/>
          <w:b/>
          <w:bCs/>
          <w:sz w:val="44"/>
          <w:szCs w:val="44"/>
        </w:rPr>
      </w:pPr>
    </w:p>
    <w:p>
      <w:pPr>
        <w:ind w:firstLine="1200" w:firstLineChars="400"/>
        <w:rPr>
          <w:rFonts w:hint="default"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0"/>
          <w:sz w:val="30"/>
          <w:szCs w:val="30"/>
          <w14:textFill>
            <w14:solidFill>
              <w14:schemeClr w14:val="tx1"/>
            </w14:solidFill>
          </w14:textFill>
        </w:rPr>
        <w:t>实施单位（公章）：</w:t>
      </w:r>
      <w:r>
        <w:rPr>
          <w:rFonts w:hint="eastAsia"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t>自治区医保局</w:t>
      </w:r>
    </w:p>
    <w:p>
      <w:pPr>
        <w:ind w:firstLine="1200" w:firstLineChars="400"/>
        <w:rPr>
          <w:rFonts w:hint="default"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0"/>
          <w:sz w:val="30"/>
          <w:szCs w:val="30"/>
          <w14:textFill>
            <w14:solidFill>
              <w14:schemeClr w14:val="tx1"/>
            </w14:solidFill>
          </w14:textFill>
        </w:rPr>
        <w:t>主管部门（公章）：</w:t>
      </w:r>
      <w:r>
        <w:rPr>
          <w:rFonts w:hint="eastAsia"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t>自治区医保局</w:t>
      </w:r>
    </w:p>
    <w:p>
      <w:pPr>
        <w:ind w:firstLine="1200" w:firstLineChars="400"/>
        <w:rPr>
          <w:rFonts w:hint="default"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0"/>
          <w:sz w:val="30"/>
          <w:szCs w:val="30"/>
          <w14:textFill>
            <w14:solidFill>
              <w14:schemeClr w14:val="tx1"/>
            </w14:solidFill>
          </w14:textFill>
        </w:rPr>
        <w:t>项目负责人（签章）</w:t>
      </w:r>
      <w:r>
        <w:rPr>
          <w:rFonts w:hint="eastAsia" w:ascii="方正仿宋简体" w:hAnsi="方正仿宋简体" w:eastAsia="方正仿宋简体" w:cs="方正仿宋简体"/>
          <w:color w:val="000000" w:themeColor="text1"/>
          <w:kern w:val="0"/>
          <w:sz w:val="30"/>
          <w:szCs w:val="30"/>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t>杨东</w:t>
      </w:r>
    </w:p>
    <w:p>
      <w:pPr>
        <w:ind w:firstLine="1200" w:firstLineChars="400"/>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仿宋简体" w:hAnsi="方正仿宋简体" w:eastAsia="方正仿宋简体" w:cs="方正仿宋简体"/>
          <w:color w:val="000000" w:themeColor="text1"/>
          <w:kern w:val="0"/>
          <w:sz w:val="30"/>
          <w:szCs w:val="30"/>
          <w14:textFill>
            <w14:solidFill>
              <w14:schemeClr w14:val="tx1"/>
            </w14:solidFill>
          </w14:textFill>
        </w:rPr>
        <w:t xml:space="preserve">填报时间：  </w:t>
      </w:r>
      <w:r>
        <w:rPr>
          <w:rFonts w:hint="eastAsia" w:ascii="Times New Roman" w:hAnsi="Times New Roman" w:eastAsia="方正仿宋_GBK" w:cs="Times New Roman"/>
          <w:spacing w:val="0"/>
          <w:kern w:val="2"/>
          <w:sz w:val="32"/>
          <w:szCs w:val="32"/>
          <w:lang w:val="en-US" w:eastAsia="zh-CN" w:bidi="ar-SA"/>
        </w:rPr>
        <w:t>2023  年4月</w:t>
      </w:r>
      <w:r>
        <w:rPr>
          <w:rFonts w:hint="default" w:ascii="Times New Roman" w:hAnsi="Times New Roman" w:eastAsia="方正仿宋_GBK" w:cs="Times New Roman"/>
          <w:spacing w:val="0"/>
          <w:kern w:val="2"/>
          <w:sz w:val="32"/>
          <w:szCs w:val="32"/>
          <w:lang w:val="en" w:eastAsia="zh-CN" w:bidi="ar-SA"/>
        </w:rPr>
        <w:t>8</w:t>
      </w:r>
      <w:r>
        <w:rPr>
          <w:rFonts w:hint="eastAsia" w:ascii="Times New Roman" w:hAnsi="Times New Roman" w:eastAsia="方正仿宋_GBK" w:cs="Times New Roman"/>
          <w:spacing w:val="0"/>
          <w:kern w:val="2"/>
          <w:sz w:val="32"/>
          <w:szCs w:val="32"/>
          <w:lang w:val="en-US" w:eastAsia="zh-CN" w:bidi="ar-SA"/>
        </w:rPr>
        <w:t xml:space="preserve"> </w:t>
      </w:r>
      <w:r>
        <w:rPr>
          <w:rFonts w:hint="eastAsia" w:ascii="方正仿宋简体" w:hAnsi="方正仿宋简体" w:eastAsia="方正仿宋简体" w:cs="方正仿宋简体"/>
          <w:color w:val="000000" w:themeColor="text1"/>
          <w:kern w:val="0"/>
          <w:sz w:val="30"/>
          <w:szCs w:val="30"/>
          <w14:textFill>
            <w14:solidFill>
              <w14:schemeClr w14:val="tx1"/>
            </w14:solidFill>
          </w14:textFill>
        </w:rPr>
        <w:t>日</w:t>
      </w:r>
      <w:r>
        <w:rPr>
          <w:rFonts w:hint="eastAsia" w:ascii="方正仿宋简体" w:hAnsi="方正仿宋简体" w:eastAsia="方正仿宋简体" w:cs="方正仿宋简体"/>
          <w:color w:val="000000" w:themeColor="text1"/>
          <w:kern w:val="0"/>
          <w:sz w:val="30"/>
          <w:szCs w:val="30"/>
          <w:lang w:val="en-US" w:eastAsia="zh-CN"/>
          <w14:textFill>
            <w14:solidFill>
              <w14:schemeClr w14:val="tx1"/>
            </w14:solidFill>
          </w14:textFill>
        </w:rPr>
        <w:t xml:space="preserve"> </w:t>
      </w:r>
    </w:p>
    <w:p>
      <w:pPr>
        <w:pStyle w:val="6"/>
        <w:rPr>
          <w:rFonts w:hint="eastAsia" w:ascii="方正小标宋_GBK" w:hAnsi="黑体" w:eastAsia="方正小标宋_GBK"/>
          <w:b/>
          <w:bCs/>
          <w:sz w:val="44"/>
          <w:szCs w:val="44"/>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000000"/>
          <w:kern w:val="0"/>
          <w:sz w:val="32"/>
          <w:szCs w:val="32"/>
        </w:rPr>
      </w:pPr>
    </w:p>
    <w:p>
      <w:pPr>
        <w:pStyle w:val="4"/>
        <w:bidi w:val="0"/>
        <w:ind w:firstLine="600" w:firstLineChars="200"/>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color w:val="000000"/>
          <w:kern w:val="0"/>
          <w:sz w:val="30"/>
          <w:szCs w:val="30"/>
          <w:lang w:val="en-US" w:eastAsia="zh-CN"/>
        </w:rPr>
        <w:t>为贯彻落实《中共中央国务院关于全面实施预算绩效管理的意见》</w:t>
      </w:r>
      <w:r>
        <w:rPr>
          <w:rFonts w:hint="eastAsia" w:ascii="方正仿宋_GBK" w:hAnsi="方正仿宋_GBK" w:eastAsia="方正仿宋_GBK" w:cs="方正仿宋_GBK"/>
          <w:b w:val="0"/>
          <w:bCs/>
          <w:color w:val="000000"/>
          <w:kern w:val="0"/>
          <w:sz w:val="30"/>
          <w:szCs w:val="30"/>
        </w:rPr>
        <w:t>（</w:t>
      </w:r>
      <w:r>
        <w:rPr>
          <w:rFonts w:hint="eastAsia" w:ascii="方正仿宋_GBK" w:hAnsi="方正仿宋_GBK" w:eastAsia="方正仿宋_GBK" w:cs="方正仿宋_GBK"/>
          <w:b w:val="0"/>
          <w:bCs/>
          <w:color w:val="000000"/>
          <w:kern w:val="0"/>
          <w:sz w:val="30"/>
          <w:szCs w:val="30"/>
          <w:lang w:val="en-US" w:eastAsia="zh-CN"/>
        </w:rPr>
        <w:t>中</w:t>
      </w:r>
      <w:r>
        <w:rPr>
          <w:rFonts w:hint="eastAsia" w:ascii="方正仿宋_GBK" w:hAnsi="方正仿宋_GBK" w:eastAsia="方正仿宋_GBK" w:cs="方正仿宋_GBK"/>
          <w:b w:val="0"/>
          <w:bCs/>
          <w:color w:val="000000"/>
          <w:kern w:val="0"/>
          <w:sz w:val="30"/>
          <w:szCs w:val="30"/>
        </w:rPr>
        <w:t>发〔2018〕3</w:t>
      </w:r>
      <w:r>
        <w:rPr>
          <w:rFonts w:hint="eastAsia" w:ascii="方正仿宋_GBK" w:hAnsi="方正仿宋_GBK" w:eastAsia="方正仿宋_GBK" w:cs="方正仿宋_GBK"/>
          <w:b w:val="0"/>
          <w:bCs/>
          <w:color w:val="000000"/>
          <w:kern w:val="0"/>
          <w:sz w:val="30"/>
          <w:szCs w:val="30"/>
          <w:lang w:val="en-US" w:eastAsia="zh-CN"/>
        </w:rPr>
        <w:t>4</w:t>
      </w:r>
      <w:r>
        <w:rPr>
          <w:rFonts w:hint="eastAsia" w:ascii="方正仿宋_GBK" w:hAnsi="方正仿宋_GBK" w:eastAsia="方正仿宋_GBK" w:cs="方正仿宋_GBK"/>
          <w:b w:val="0"/>
          <w:bCs/>
          <w:color w:val="000000"/>
          <w:kern w:val="0"/>
          <w:sz w:val="30"/>
          <w:szCs w:val="30"/>
        </w:rPr>
        <w:t>号）</w:t>
      </w:r>
      <w:r>
        <w:rPr>
          <w:rFonts w:hint="eastAsia" w:ascii="方正仿宋_GBK" w:hAnsi="方正仿宋_GBK" w:eastAsia="方正仿宋_GBK" w:cs="方正仿宋_GBK"/>
          <w:b w:val="0"/>
          <w:bCs/>
          <w:color w:val="000000"/>
          <w:kern w:val="0"/>
          <w:sz w:val="30"/>
          <w:szCs w:val="30"/>
          <w:lang w:val="en-US" w:eastAsia="zh-CN"/>
        </w:rPr>
        <w:t>的决策部署和自治区党委、人民政府工作要求，</w:t>
      </w:r>
      <w:r>
        <w:rPr>
          <w:rFonts w:hint="eastAsia" w:ascii="方正仿宋_GBK" w:hAnsi="方正仿宋_GBK" w:eastAsia="方正仿宋_GBK" w:cs="方正仿宋_GBK"/>
          <w:b w:val="0"/>
          <w:bCs/>
          <w:color w:val="000000"/>
          <w:kern w:val="0"/>
          <w:sz w:val="30"/>
          <w:szCs w:val="30"/>
          <w:lang w:eastAsia="zh-CN"/>
        </w:rPr>
        <w:t>根据财政部《</w:t>
      </w:r>
      <w:r>
        <w:rPr>
          <w:rFonts w:hint="eastAsia" w:ascii="方正仿宋_GBK" w:hAnsi="方正仿宋_GBK" w:eastAsia="方正仿宋_GBK" w:cs="方正仿宋_GBK"/>
          <w:b w:val="0"/>
          <w:bCs/>
          <w:color w:val="000000"/>
          <w:kern w:val="0"/>
          <w:sz w:val="30"/>
          <w:szCs w:val="30"/>
          <w:lang w:val="en-US" w:eastAsia="zh-CN"/>
        </w:rPr>
        <w:t>项</w:t>
      </w:r>
      <w:r>
        <w:rPr>
          <w:rFonts w:hint="eastAsia" w:ascii="方正仿宋_GBK" w:hAnsi="方正仿宋_GBK" w:eastAsia="方正仿宋_GBK" w:cs="方正仿宋_GBK"/>
          <w:b w:val="0"/>
          <w:bCs/>
          <w:color w:val="000000"/>
          <w:kern w:val="0"/>
          <w:sz w:val="30"/>
          <w:szCs w:val="30"/>
          <w:lang w:eastAsia="zh-CN"/>
        </w:rPr>
        <w:t>目支出绩效评价管理办法》</w:t>
      </w:r>
      <w:r>
        <w:rPr>
          <w:rFonts w:hint="eastAsia" w:ascii="方正仿宋_GBK" w:hAnsi="方正仿宋_GBK" w:eastAsia="方正仿宋_GBK" w:cs="方正仿宋_GBK"/>
          <w:b w:val="0"/>
          <w:bCs/>
          <w:color w:val="000000"/>
          <w:kern w:val="0"/>
          <w:sz w:val="30"/>
          <w:szCs w:val="30"/>
        </w:rPr>
        <w:t>（财预〔2020〕10号）和《自治区党委自治区人民政府关于全面实施预算绩效管理的实施意见》（新党发〔2018〕30号）要求，自治区医疗保障局</w:t>
      </w:r>
      <w:r>
        <w:rPr>
          <w:rFonts w:hint="eastAsia" w:ascii="方正仿宋_GBK" w:hAnsi="方正仿宋_GBK" w:eastAsia="方正仿宋_GBK" w:cs="方正仿宋_GBK"/>
          <w:b w:val="0"/>
          <w:bCs/>
          <w:kern w:val="0"/>
          <w:sz w:val="30"/>
          <w:szCs w:val="30"/>
        </w:rPr>
        <w:t>聚焦社会稳定和长治久安总目标，全面推进预算绩效管理，将绩效理念和方法深度融入预算编制、预算执行、资金监督全过程。</w:t>
      </w:r>
      <w:r>
        <w:rPr>
          <w:rFonts w:hint="eastAsia" w:ascii="方正仿宋_GBK" w:hAnsi="方正仿宋_GBK" w:eastAsia="方正仿宋_GBK" w:cs="方正仿宋_GBK"/>
          <w:b w:val="0"/>
          <w:bCs/>
          <w:sz w:val="30"/>
          <w:szCs w:val="30"/>
        </w:rPr>
        <w:t>现将</w:t>
      </w:r>
      <w:r>
        <w:rPr>
          <w:rFonts w:hint="eastAsia" w:ascii="方正仿宋_GBK" w:hAnsi="方正仿宋_GBK" w:eastAsia="方正仿宋_GBK" w:cs="方正仿宋_GBK"/>
          <w:b w:val="0"/>
          <w:bCs/>
          <w:sz w:val="30"/>
          <w:szCs w:val="30"/>
          <w:lang w:eastAsia="zh-CN"/>
        </w:rPr>
        <w:t>2022</w:t>
      </w:r>
      <w:r>
        <w:rPr>
          <w:rFonts w:hint="eastAsia" w:ascii="方正仿宋_GBK" w:hAnsi="方正仿宋_GBK" w:eastAsia="方正仿宋_GBK" w:cs="方正仿宋_GBK"/>
          <w:b w:val="0"/>
          <w:bCs/>
          <w:sz w:val="30"/>
          <w:szCs w:val="30"/>
        </w:rPr>
        <w:t>年度实施</w:t>
      </w:r>
      <w:r>
        <w:rPr>
          <w:rFonts w:hint="eastAsia" w:ascii="方正仿宋_GBK" w:hAnsi="方正仿宋_GBK" w:eastAsia="方正仿宋_GBK" w:cs="方正仿宋_GBK"/>
          <w:b w:val="0"/>
          <w:bCs/>
          <w:sz w:val="30"/>
          <w:szCs w:val="30"/>
          <w:lang w:eastAsia="zh-CN"/>
        </w:rPr>
        <w:t>预算</w:t>
      </w:r>
      <w:r>
        <w:rPr>
          <w:rFonts w:hint="eastAsia" w:ascii="方正仿宋_GBK" w:hAnsi="方正仿宋_GBK" w:eastAsia="方正仿宋_GBK" w:cs="方正仿宋_GBK"/>
          <w:b w:val="0"/>
          <w:bCs/>
          <w:sz w:val="30"/>
          <w:szCs w:val="30"/>
        </w:rPr>
        <w:t>绩效管理工作情况</w:t>
      </w:r>
      <w:r>
        <w:rPr>
          <w:rFonts w:hint="eastAsia" w:ascii="方正仿宋_GBK" w:hAnsi="方正仿宋_GBK" w:eastAsia="方正仿宋_GBK" w:cs="方正仿宋_GBK"/>
          <w:b w:val="0"/>
          <w:bCs/>
          <w:sz w:val="30"/>
          <w:szCs w:val="30"/>
          <w:lang w:eastAsia="zh-CN"/>
        </w:rPr>
        <w:t>报告</w:t>
      </w:r>
      <w:r>
        <w:rPr>
          <w:rFonts w:hint="eastAsia" w:ascii="方正仿宋_GBK" w:hAnsi="方正仿宋_GBK" w:eastAsia="方正仿宋_GBK" w:cs="方正仿宋_GBK"/>
          <w:b w:val="0"/>
          <w:bCs/>
          <w:sz w:val="30"/>
          <w:szCs w:val="30"/>
        </w:rPr>
        <w:t>如下：</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39" w:firstLineChars="199"/>
        <w:textAlignment w:val="auto"/>
        <w:rPr>
          <w:rFonts w:hint="eastAsia" w:ascii="方正正黑_GBK" w:hAnsi="方正正黑_GBK" w:eastAsia="方正正黑_GBK" w:cs="方正正黑_GBK"/>
          <w:b/>
          <w:bCs/>
          <w:sz w:val="32"/>
          <w:szCs w:val="32"/>
          <w:lang w:val="en-US" w:eastAsia="zh-CN"/>
        </w:rPr>
      </w:pPr>
      <w:r>
        <w:rPr>
          <w:rFonts w:hint="eastAsia" w:ascii="方正正黑_GBK" w:hAnsi="方正正黑_GBK" w:eastAsia="方正正黑_GBK" w:cs="方正正黑_GBK"/>
          <w:b/>
          <w:bCs/>
          <w:sz w:val="32"/>
          <w:szCs w:val="32"/>
          <w:lang w:val="en-US" w:eastAsia="zh-CN"/>
        </w:rPr>
        <w:t>基本情况</w:t>
      </w:r>
    </w:p>
    <w:p>
      <w:pPr>
        <w:rPr>
          <w:rFonts w:hint="eastAsia" w:ascii="方正仿宋_GBK" w:hAnsi="方正仿宋_GBK" w:eastAsia="方正仿宋_GBK" w:cs="方正仿宋_GBK"/>
          <w:lang w:val="en-US" w:eastAsia="zh-CN"/>
        </w:rPr>
      </w:pPr>
      <w:r>
        <w:rPr>
          <w:rFonts w:hint="eastAsia" w:ascii="仿宋" w:hAnsi="仿宋" w:eastAsia="仿宋" w:cs="仿宋"/>
          <w:b w:val="0"/>
          <w:bCs w:val="0"/>
          <w:i w:val="0"/>
          <w:iCs w:val="0"/>
          <w:caps w:val="0"/>
          <w:color w:val="000000"/>
          <w:spacing w:val="0"/>
          <w:sz w:val="30"/>
          <w:szCs w:val="30"/>
          <w:shd w:val="clear" w:fill="FFFFFF"/>
          <w:lang w:val="en-US" w:eastAsia="zh-CN"/>
        </w:rPr>
        <w:t xml:space="preserve">   </w:t>
      </w: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自治区医保局（含事业发展中心）编制数95名，截止2022年年末，实有人数88人。财政支付资金预算情况：</w:t>
      </w:r>
    </w:p>
    <w:p>
      <w:pPr>
        <w:pStyle w:val="5"/>
        <w:numPr>
          <w:ilvl w:val="0"/>
          <w:numId w:val="0"/>
        </w:numPr>
        <w:ind w:firstLine="300" w:firstLineChars="100"/>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（一）本年度预算资金收入合计为200,380.6万元整，其中财政拨款（补助）一般公共预算为194,580.6万元，上年结余结转资金为5800万元。</w:t>
      </w:r>
    </w:p>
    <w:p>
      <w:pPr>
        <w:numPr>
          <w:ilvl w:val="0"/>
          <w:numId w:val="0"/>
        </w:numPr>
        <w:ind w:firstLine="300" w:firstLineChars="100"/>
        <w:rPr>
          <w:rFonts w:hint="default"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sz w:val="30"/>
          <w:szCs w:val="30"/>
          <w:lang w:val="en-US" w:eastAsia="zh-CN"/>
        </w:rPr>
        <w:t>（二）本年度预算支出为</w:t>
      </w: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200,380.6万元整，其中项目支出199,133万元，基本支出1,247.6万元。一般公共预算的项目共有11个，分别为1、城乡居民医保自治区政府补助资金项目预算金额169，230万元；2、区属困难企业离退休人员医疗补助资金项目预算金额240万元；3、全民参保及医疗服务经费项目预算金额667万元；4、人身意外伤害保险自治区财政补助经费项目预算15000万元；5、医疗保障管理事务支出项目预算563万元；6、医疗保障业务系统维护项目预算734万元；7、医疗保障政策管理项目预算825万元；8、自治区本级离休人员医疗费预算5120万元；9、自治区本级优抚对象（二乙人员）医疗费资金项目预算864万元；10、自治区本级政府大额医疗补助金项目预算4410万元；11、高校大学生医疗补助经费项目预算1480万元。</w:t>
      </w:r>
    </w:p>
    <w:p>
      <w:pPr>
        <w:pStyle w:val="2"/>
        <w:rPr>
          <w:rFonts w:hint="eastAsia" w:ascii="方正正黑_GBK" w:hAnsi="方正正黑_GBK" w:eastAsia="方正正黑_GBK" w:cs="方正正黑_GBK"/>
          <w:b/>
          <w:bCs/>
          <w:i w:val="0"/>
          <w:iCs w:val="0"/>
          <w:caps w:val="0"/>
          <w:color w:val="000000"/>
          <w:spacing w:val="0"/>
          <w:sz w:val="32"/>
          <w:szCs w:val="32"/>
          <w:shd w:val="clear" w:fill="FFFFFF"/>
          <w:lang w:val="en-US" w:eastAsia="zh-CN"/>
        </w:rPr>
      </w:pPr>
      <w:r>
        <w:rPr>
          <w:rFonts w:hint="eastAsia" w:ascii="方正正黑_GBK" w:hAnsi="方正正黑_GBK" w:eastAsia="方正正黑_GBK" w:cs="方正正黑_GBK"/>
          <w:b/>
          <w:bCs/>
          <w:i w:val="0"/>
          <w:iCs w:val="0"/>
          <w:caps w:val="0"/>
          <w:color w:val="000000"/>
          <w:spacing w:val="0"/>
          <w:sz w:val="32"/>
          <w:szCs w:val="32"/>
          <w:shd w:val="clear" w:fill="FFFFFF"/>
          <w:lang w:val="en-US" w:eastAsia="zh-CN"/>
        </w:rPr>
        <w:t>二、部门单位整体支出管理及使用情况</w:t>
      </w:r>
    </w:p>
    <w:p>
      <w:pPr>
        <w:pStyle w:val="2"/>
        <w:ind w:firstLine="321" w:firstLineChars="100"/>
        <w:rPr>
          <w:rFonts w:hint="eastAsia" w:ascii="方正仿宋_GBK" w:hAnsi="方正仿宋_GBK" w:eastAsia="方正仿宋_GBK" w:cs="方正仿宋_GBK"/>
          <w:b w:val="0"/>
          <w:bCs/>
          <w:color w:val="000000"/>
          <w:kern w:val="0"/>
          <w:sz w:val="30"/>
          <w:szCs w:val="30"/>
        </w:rPr>
      </w:pPr>
      <w:r>
        <w:rPr>
          <w:rFonts w:hint="eastAsia" w:ascii="方正仿宋_GBK" w:hAnsi="方正仿宋_GBK" w:eastAsia="方正仿宋_GBK" w:cs="方正仿宋_GBK"/>
          <w:b/>
          <w:bCs/>
          <w:kern w:val="0"/>
          <w:sz w:val="32"/>
          <w:szCs w:val="32"/>
        </w:rPr>
        <w:t>（一）</w:t>
      </w:r>
      <w:r>
        <w:rPr>
          <w:rFonts w:hint="eastAsia" w:ascii="方正仿宋_GBK" w:hAnsi="方正仿宋_GBK" w:eastAsia="方正仿宋_GBK" w:cs="方正仿宋_GBK"/>
          <w:b/>
          <w:sz w:val="32"/>
          <w:szCs w:val="32"/>
        </w:rPr>
        <w:t>加强绩效管理组织领导，建章立制显成效。</w:t>
      </w:r>
      <w:r>
        <w:rPr>
          <w:rFonts w:hint="eastAsia" w:ascii="方正仿宋_GBK" w:hAnsi="方正仿宋_GBK" w:eastAsia="方正仿宋_GBK" w:cs="方正仿宋_GBK"/>
          <w:b w:val="0"/>
          <w:bCs/>
          <w:sz w:val="30"/>
          <w:szCs w:val="30"/>
        </w:rPr>
        <w:t>自治区医疗保障局高度重视</w:t>
      </w:r>
      <w:r>
        <w:rPr>
          <w:rFonts w:hint="eastAsia" w:ascii="方正仿宋_GBK" w:hAnsi="方正仿宋_GBK" w:eastAsia="方正仿宋_GBK" w:cs="方正仿宋_GBK"/>
          <w:b w:val="0"/>
          <w:bCs/>
          <w:sz w:val="30"/>
          <w:szCs w:val="30"/>
          <w:lang w:eastAsia="zh-CN"/>
        </w:rPr>
        <w:t>预算</w:t>
      </w:r>
      <w:r>
        <w:rPr>
          <w:rFonts w:hint="eastAsia" w:ascii="方正仿宋_GBK" w:hAnsi="方正仿宋_GBK" w:eastAsia="方正仿宋_GBK" w:cs="方正仿宋_GBK"/>
          <w:b w:val="0"/>
          <w:bCs/>
          <w:sz w:val="30"/>
          <w:szCs w:val="30"/>
        </w:rPr>
        <w:t>绩效管理工作，</w:t>
      </w:r>
      <w:r>
        <w:rPr>
          <w:rFonts w:hint="eastAsia" w:ascii="方正仿宋_GBK" w:hAnsi="方正仿宋_GBK" w:eastAsia="方正仿宋_GBK" w:cs="方正仿宋_GBK"/>
          <w:b w:val="0"/>
          <w:bCs/>
          <w:color w:val="000000"/>
          <w:kern w:val="0"/>
          <w:sz w:val="30"/>
          <w:szCs w:val="30"/>
        </w:rPr>
        <w:t>按照“谁的工作任务、谁申请预算、谁填报目标、谁跟踪绩效、谁纠偏整改”的原则，</w:t>
      </w:r>
      <w:r>
        <w:rPr>
          <w:rFonts w:hint="eastAsia" w:ascii="方正仿宋_GBK" w:hAnsi="方正仿宋_GBK" w:eastAsia="方正仿宋_GBK" w:cs="方正仿宋_GBK"/>
          <w:b w:val="0"/>
          <w:bCs/>
          <w:sz w:val="30"/>
          <w:szCs w:val="30"/>
        </w:rPr>
        <w:t>将</w:t>
      </w:r>
      <w:r>
        <w:rPr>
          <w:rFonts w:hint="eastAsia" w:ascii="方正仿宋_GBK" w:hAnsi="方正仿宋_GBK" w:eastAsia="方正仿宋_GBK" w:cs="方正仿宋_GBK"/>
          <w:b w:val="0"/>
          <w:bCs/>
          <w:sz w:val="30"/>
          <w:szCs w:val="30"/>
          <w:lang w:eastAsia="zh-CN"/>
        </w:rPr>
        <w:t>预算</w:t>
      </w:r>
      <w:r>
        <w:rPr>
          <w:rFonts w:hint="eastAsia" w:ascii="方正仿宋_GBK" w:hAnsi="方正仿宋_GBK" w:eastAsia="方正仿宋_GBK" w:cs="方正仿宋_GBK"/>
          <w:b w:val="0"/>
          <w:bCs/>
          <w:sz w:val="30"/>
          <w:szCs w:val="30"/>
        </w:rPr>
        <w:t>绩效工作落实到处室，落实具体负责人，由局机关纪委按项目监督，局党组会议按月通报，</w:t>
      </w:r>
      <w:r>
        <w:rPr>
          <w:rFonts w:hint="eastAsia" w:ascii="方正仿宋_GBK" w:hAnsi="方正仿宋_GBK" w:eastAsia="方正仿宋_GBK" w:cs="方正仿宋_GBK"/>
          <w:b w:val="0"/>
          <w:bCs/>
          <w:sz w:val="30"/>
          <w:szCs w:val="30"/>
          <w:lang w:eastAsia="zh-CN"/>
        </w:rPr>
        <w:t>年底按周通报，</w:t>
      </w:r>
      <w:r>
        <w:rPr>
          <w:rFonts w:hint="eastAsia" w:ascii="方正仿宋_GBK" w:hAnsi="方正仿宋_GBK" w:eastAsia="方正仿宋_GBK" w:cs="方正仿宋_GBK"/>
          <w:b w:val="0"/>
          <w:bCs/>
          <w:sz w:val="30"/>
          <w:szCs w:val="30"/>
        </w:rPr>
        <w:t>并将评价结果作为处室年终评先选优的重要内容。通过明确</w:t>
      </w:r>
      <w:r>
        <w:rPr>
          <w:rFonts w:hint="eastAsia" w:ascii="方正仿宋_GBK" w:hAnsi="方正仿宋_GBK" w:eastAsia="方正仿宋_GBK" w:cs="方正仿宋_GBK"/>
          <w:b w:val="0"/>
          <w:bCs/>
          <w:color w:val="000000"/>
          <w:kern w:val="0"/>
          <w:sz w:val="30"/>
          <w:szCs w:val="30"/>
        </w:rPr>
        <w:t>工作流程、工作任务、工作要求，突出“花钱必问效，无效必问责”的绩效管理理念，将</w:t>
      </w:r>
      <w:r>
        <w:rPr>
          <w:rFonts w:hint="eastAsia" w:ascii="方正仿宋_GBK" w:hAnsi="方正仿宋_GBK" w:eastAsia="方正仿宋_GBK" w:cs="方正仿宋_GBK"/>
          <w:b w:val="0"/>
          <w:bCs/>
          <w:color w:val="000000"/>
          <w:kern w:val="0"/>
          <w:sz w:val="30"/>
          <w:szCs w:val="30"/>
          <w:lang w:eastAsia="zh-CN"/>
        </w:rPr>
        <w:t>预算</w:t>
      </w:r>
      <w:r>
        <w:rPr>
          <w:rFonts w:hint="eastAsia" w:ascii="方正仿宋_GBK" w:hAnsi="方正仿宋_GBK" w:eastAsia="方正仿宋_GBK" w:cs="方正仿宋_GBK"/>
          <w:b w:val="0"/>
          <w:bCs/>
          <w:color w:val="000000"/>
          <w:kern w:val="0"/>
          <w:sz w:val="30"/>
          <w:szCs w:val="30"/>
        </w:rPr>
        <w:t>绩效管理深植于财政资金使用的每个环节，深植于业务工作的每个步骤，保障全面绩效管理工作落地见效。</w:t>
      </w:r>
    </w:p>
    <w:p>
      <w:pPr>
        <w:keepNext w:val="0"/>
        <w:keepLines w:val="0"/>
        <w:pageBreakBefore w:val="0"/>
        <w:widowControl/>
        <w:kinsoku/>
        <w:wordWrap/>
        <w:overflowPunct/>
        <w:topLinePunct w:val="0"/>
        <w:autoSpaceDE/>
        <w:autoSpaceDN/>
        <w:bidi w:val="0"/>
        <w:adjustRightInd/>
        <w:snapToGrid/>
        <w:spacing w:line="560" w:lineRule="exact"/>
        <w:ind w:firstLine="472" w:firstLineChars="147"/>
        <w:textAlignment w:val="auto"/>
        <w:rPr>
          <w:rFonts w:hint="eastAsia" w:ascii="方正仿宋_GBK" w:hAnsi="方正仿宋_GBK" w:eastAsia="方正仿宋_GBK" w:cs="方正仿宋_GBK"/>
          <w:kern w:val="0"/>
          <w:sz w:val="30"/>
          <w:szCs w:val="30"/>
        </w:rPr>
      </w:pPr>
      <w:r>
        <w:rPr>
          <w:rFonts w:hint="eastAsia" w:ascii="方正仿宋_GBK" w:hAnsi="方正仿宋_GBK" w:eastAsia="方正仿宋_GBK" w:cs="方正仿宋_GBK"/>
          <w:b/>
          <w:bCs/>
          <w:kern w:val="0"/>
          <w:sz w:val="32"/>
          <w:szCs w:val="32"/>
          <w:lang w:eastAsia="zh-CN"/>
        </w:rPr>
        <w:t>（二）</w:t>
      </w:r>
      <w:r>
        <w:rPr>
          <w:rFonts w:hint="eastAsia" w:ascii="方正仿宋_GBK" w:hAnsi="方正仿宋_GBK" w:eastAsia="方正仿宋_GBK" w:cs="方正仿宋_GBK"/>
          <w:b/>
          <w:kern w:val="0"/>
          <w:sz w:val="32"/>
          <w:szCs w:val="32"/>
        </w:rPr>
        <w:t>按职责科学合理定绩效、细化量化可持续。</w:t>
      </w:r>
      <w:r>
        <w:rPr>
          <w:rFonts w:hint="eastAsia" w:ascii="方正仿宋_GBK" w:hAnsi="方正仿宋_GBK" w:eastAsia="方正仿宋_GBK" w:cs="方正仿宋_GBK"/>
          <w:kern w:val="0"/>
          <w:sz w:val="30"/>
          <w:szCs w:val="30"/>
        </w:rPr>
        <w:t>严格按照“三定方案”的职责制定绩效指标，每项指标有依据、有出处，数量指标细化到数值，时效指标量化到日，满意度指标符合实际，满足工作需要。年内追加资金的绩效编制与资金使用分配同安排、同部署，确保每项绩效与每笔资金使用相挂钩，使全面绩效管理促进财政资金使用效益，提升自治区医疗保障局财政资金管理水平，促进医疗保障事业发展，</w:t>
      </w:r>
      <w:r>
        <w:rPr>
          <w:rFonts w:hint="eastAsia" w:ascii="方正仿宋_GBK" w:hAnsi="方正仿宋_GBK" w:eastAsia="方正仿宋_GBK" w:cs="方正仿宋_GBK"/>
          <w:sz w:val="30"/>
          <w:szCs w:val="30"/>
        </w:rPr>
        <w:t>确保全局预算绩效管理工作得以顺利实施。</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bCs/>
          <w:sz w:val="32"/>
          <w:szCs w:val="32"/>
          <w:lang w:eastAsia="zh-CN"/>
        </w:rPr>
        <w:t>（三）</w:t>
      </w:r>
      <w:r>
        <w:rPr>
          <w:rFonts w:hint="eastAsia" w:ascii="方正仿宋_GBK" w:hAnsi="方正仿宋_GBK" w:eastAsia="方正仿宋_GBK" w:cs="方正仿宋_GBK"/>
          <w:b/>
          <w:kern w:val="0"/>
          <w:sz w:val="32"/>
          <w:szCs w:val="32"/>
        </w:rPr>
        <w:t>追踪监控绩效运行，加强绩效结果应用。</w:t>
      </w:r>
      <w:r>
        <w:rPr>
          <w:rFonts w:hint="eastAsia" w:ascii="方正仿宋_GBK" w:hAnsi="方正仿宋_GBK" w:eastAsia="方正仿宋_GBK" w:cs="方正仿宋_GBK"/>
          <w:sz w:val="30"/>
          <w:szCs w:val="30"/>
        </w:rPr>
        <w:t>采用按月通报、</w:t>
      </w:r>
      <w:r>
        <w:rPr>
          <w:rFonts w:hint="eastAsia" w:ascii="方正仿宋_GBK" w:hAnsi="方正仿宋_GBK" w:eastAsia="方正仿宋_GBK" w:cs="方正仿宋_GBK"/>
          <w:sz w:val="30"/>
          <w:szCs w:val="30"/>
          <w:lang w:eastAsia="zh-CN"/>
        </w:rPr>
        <w:t>年底按周通报、</w:t>
      </w:r>
      <w:r>
        <w:rPr>
          <w:rFonts w:hint="eastAsia" w:ascii="方正仿宋_GBK" w:hAnsi="方正仿宋_GBK" w:eastAsia="方正仿宋_GBK" w:cs="方正仿宋_GBK"/>
          <w:sz w:val="30"/>
          <w:szCs w:val="30"/>
        </w:rPr>
        <w:t>年底考评等方式对项目资金执行和绩效运行情况进行客观、综合的分析评价，强化落实问责。对监控运行过程中发现的问题，督促整改落实到位。大力推进绩效信息公开，主动向自治区财政厅报告，重要的绩效目标、绩效评价结果与预决算同步向社会公开，自觉接受社会各界监督。</w:t>
      </w:r>
    </w:p>
    <w:p>
      <w:pPr>
        <w:ind w:left="0" w:leftChars="0" w:firstLine="600" w:firstLineChars="200"/>
        <w:rPr>
          <w:rFonts w:hint="default"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四</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b w:val="0"/>
          <w:bCs/>
          <w:sz w:val="30"/>
          <w:szCs w:val="30"/>
          <w:lang w:val="en-US" w:eastAsia="zh-CN"/>
        </w:rPr>
        <w:t>预算资金使用情况：1、基本支出预算</w:t>
      </w:r>
      <w:r>
        <w:rPr>
          <w:rFonts w:hint="eastAsia" w:ascii="方正仿宋_GBK" w:hAnsi="方正仿宋_GBK" w:eastAsia="方正仿宋_GBK" w:cs="方正仿宋_GBK"/>
          <w:b w:val="0"/>
          <w:bCs/>
          <w:i w:val="0"/>
          <w:iCs w:val="0"/>
          <w:caps w:val="0"/>
          <w:color w:val="000000"/>
          <w:spacing w:val="0"/>
          <w:sz w:val="30"/>
          <w:szCs w:val="30"/>
          <w:shd w:val="clear" w:fill="FFFFFF"/>
          <w:lang w:val="en-US" w:eastAsia="zh-CN"/>
        </w:rPr>
        <w:t>1,247.6万，其中运转保障174.49万元,人员保障10,73.11万元,2022年度实际支出1247.6万元,执行率100%；2、</w:t>
      </w: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医疗保障业务系统维护项目预算734万元，此项目2022年实际支付资金为244.26万元，执行率33.28%；3、医疗保障政策制定、管理及实施预算196,954万元,其中财政拨款191,154万元,上年结余结转资金5,800万元,本年度实际支出193,225.15万元,执行率98%。4、医疗保障管理事务支出预算563万元，实际执行数为400万元，执行率为71.06%。5、全民参保及医疗服务经费项目预算57万元，实际执行数46.7万元，执行率为82%。6、医疗保障政策管理项目预算金额为825万元；本年度实际执行资金为589.4万元，执行率为71.44%。</w:t>
      </w:r>
    </w:p>
    <w:p>
      <w:pPr>
        <w:pStyle w:val="2"/>
        <w:rPr>
          <w:rFonts w:hint="default" w:ascii="方正正黑_GBK" w:hAnsi="方正正黑_GBK" w:eastAsia="方正正黑_GBK" w:cs="方正正黑_GBK"/>
          <w:sz w:val="32"/>
          <w:szCs w:val="32"/>
          <w:lang w:val="en-US" w:eastAsia="zh-CN"/>
        </w:rPr>
      </w:pPr>
      <w:r>
        <w:rPr>
          <w:rFonts w:hint="eastAsia" w:ascii="方正正黑_GBK" w:hAnsi="方正正黑_GBK" w:eastAsia="方正正黑_GBK" w:cs="方正正黑_GBK"/>
          <w:sz w:val="32"/>
          <w:szCs w:val="32"/>
          <w:lang w:val="en-US" w:eastAsia="zh-CN"/>
        </w:rPr>
        <w:t>三、部门单位专项组织实施情况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b/>
          <w:kern w:val="0"/>
          <w:sz w:val="32"/>
          <w:szCs w:val="32"/>
        </w:rPr>
        <w:t>（一）</w:t>
      </w:r>
      <w:r>
        <w:rPr>
          <w:rFonts w:hint="eastAsia" w:ascii="方正仿宋_GBK" w:hAnsi="方正仿宋_GBK" w:eastAsia="方正仿宋_GBK" w:cs="方正仿宋_GBK"/>
          <w:b/>
          <w:bCs w:val="0"/>
          <w:kern w:val="0"/>
          <w:sz w:val="32"/>
          <w:szCs w:val="32"/>
        </w:rPr>
        <w:t>基本支出</w:t>
      </w:r>
      <w:r>
        <w:rPr>
          <w:rFonts w:hint="eastAsia" w:ascii="方正仿宋_GBK" w:hAnsi="方正仿宋_GBK" w:eastAsia="方正仿宋_GBK" w:cs="方正仿宋_GBK"/>
          <w:b/>
          <w:bCs w:val="0"/>
          <w:i w:val="0"/>
          <w:iCs w:val="0"/>
          <w:caps w:val="0"/>
          <w:color w:val="000000"/>
          <w:spacing w:val="0"/>
          <w:sz w:val="30"/>
          <w:szCs w:val="30"/>
          <w:shd w:val="clear" w:fill="FFFFFF"/>
          <w:lang w:val="en-US" w:eastAsia="zh-CN"/>
        </w:rPr>
        <w:t>1,247.6万元</w:t>
      </w:r>
      <w:r>
        <w:rPr>
          <w:rFonts w:hint="eastAsia" w:ascii="方正仿宋_GBK" w:hAnsi="方正仿宋_GBK" w:eastAsia="方正仿宋_GBK" w:cs="方正仿宋_GBK"/>
          <w:b/>
          <w:bCs w:val="0"/>
          <w:kern w:val="0"/>
          <w:sz w:val="32"/>
          <w:szCs w:val="32"/>
        </w:rPr>
        <w:t>。</w:t>
      </w:r>
      <w:r>
        <w:rPr>
          <w:rFonts w:hint="eastAsia" w:ascii="方正仿宋_GBK" w:hAnsi="方正仿宋_GBK" w:eastAsia="方正仿宋_GBK" w:cs="方正仿宋_GBK"/>
          <w:color w:val="000000"/>
          <w:sz w:val="30"/>
          <w:szCs w:val="30"/>
        </w:rPr>
        <w:t>年初</w:t>
      </w:r>
      <w:r>
        <w:rPr>
          <w:rFonts w:hint="eastAsia" w:ascii="方正仿宋_GBK" w:hAnsi="方正仿宋_GBK" w:eastAsia="方正仿宋_GBK" w:cs="方正仿宋_GBK"/>
          <w:color w:val="000000"/>
          <w:sz w:val="30"/>
          <w:szCs w:val="30"/>
          <w:lang w:val="en-US" w:eastAsia="zh-CN"/>
        </w:rPr>
        <w:t>预算为1247.6万元</w:t>
      </w:r>
      <w:r>
        <w:rPr>
          <w:rFonts w:hint="eastAsia" w:ascii="方正仿宋_GBK" w:hAnsi="方正仿宋_GBK" w:eastAsia="方正仿宋_GBK" w:cs="方正仿宋_GBK"/>
          <w:color w:val="000000"/>
          <w:sz w:val="30"/>
          <w:szCs w:val="30"/>
        </w:rPr>
        <w:t>执行率</w:t>
      </w:r>
      <w:r>
        <w:rPr>
          <w:rFonts w:hint="eastAsia" w:ascii="方正仿宋_GBK" w:hAnsi="方正仿宋_GBK" w:eastAsia="方正仿宋_GBK" w:cs="方正仿宋_GBK"/>
          <w:color w:val="000000"/>
          <w:sz w:val="30"/>
          <w:szCs w:val="30"/>
          <w:lang w:val="en-US" w:eastAsia="zh-CN"/>
        </w:rPr>
        <w:t>100</w:t>
      </w:r>
      <w:r>
        <w:rPr>
          <w:rFonts w:hint="eastAsia" w:ascii="方正仿宋_GBK" w:hAnsi="方正仿宋_GBK" w:eastAsia="方正仿宋_GBK" w:cs="方正仿宋_GBK"/>
          <w:color w:val="000000"/>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
          <w:kern w:val="0"/>
          <w:sz w:val="32"/>
          <w:szCs w:val="32"/>
        </w:rPr>
      </w:pPr>
      <w:r>
        <w:rPr>
          <w:rFonts w:hint="eastAsia" w:ascii="方正仿宋_GBK" w:hAnsi="方正仿宋_GBK" w:eastAsia="方正仿宋_GBK" w:cs="方正仿宋_GBK"/>
          <w:b/>
          <w:kern w:val="0"/>
          <w:sz w:val="32"/>
          <w:szCs w:val="32"/>
        </w:rPr>
        <w:t>（二）自治区本级财政资金安排项目资金</w:t>
      </w:r>
      <w:r>
        <w:rPr>
          <w:rFonts w:hint="eastAsia" w:ascii="方正仿宋_GBK" w:hAnsi="方正仿宋_GBK" w:eastAsia="方正仿宋_GBK" w:cs="方正仿宋_GBK"/>
          <w:b/>
          <w:bCs/>
          <w:i w:val="0"/>
          <w:iCs w:val="0"/>
          <w:caps w:val="0"/>
          <w:color w:val="000000"/>
          <w:spacing w:val="0"/>
          <w:sz w:val="30"/>
          <w:szCs w:val="30"/>
          <w:shd w:val="clear" w:fill="FFFFFF"/>
          <w:lang w:val="en-US" w:eastAsia="zh-CN"/>
        </w:rPr>
        <w:t>199,133</w:t>
      </w:r>
      <w:r>
        <w:rPr>
          <w:rFonts w:hint="eastAsia" w:ascii="方正仿宋_GBK" w:hAnsi="方正仿宋_GBK" w:eastAsia="方正仿宋_GBK" w:cs="方正仿宋_GBK"/>
          <w:b/>
          <w:kern w:val="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color w:val="000000"/>
          <w:sz w:val="30"/>
          <w:szCs w:val="30"/>
        </w:rPr>
        <w:t>1</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城乡居民医保自治区政府补助资金预算金额169,230万元；预算执行率为100%。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2、区属困难企业离退休人员医疗补助资金预算金额240万元，执行率100%。</w:t>
      </w:r>
    </w:p>
    <w:p>
      <w:pPr>
        <w:keepNext w:val="0"/>
        <w:keepLines w:val="0"/>
        <w:pageBreakBefore w:val="0"/>
        <w:widowControl w:val="0"/>
        <w:kinsoku/>
        <w:wordWrap/>
        <w:overflowPunct/>
        <w:topLinePunct w:val="0"/>
        <w:autoSpaceDE/>
        <w:autoSpaceDN/>
        <w:bidi w:val="0"/>
        <w:adjustRightInd/>
        <w:snapToGrid/>
        <w:spacing w:line="560" w:lineRule="exact"/>
        <w:ind w:left="19" w:leftChars="9" w:firstLine="561" w:firstLineChars="187"/>
        <w:textAlignment w:val="auto"/>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 xml:space="preserve">3、全民参保及医疗服务经费项目预算金额667万元截止2022年12月31日实际支出656.7万元,执行率为98.46%。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方正仿宋_GBK" w:hAnsi="方正仿宋_GBK" w:eastAsia="方正仿宋_GBK" w:cs="方正仿宋_GBK"/>
          <w:b w:val="0"/>
          <w:bCs w:val="0"/>
          <w:i w:val="0"/>
          <w:iCs w:val="0"/>
          <w:caps w:val="0"/>
          <w:color w:val="000000"/>
          <w:spacing w:val="0"/>
          <w:sz w:val="30"/>
          <w:szCs w:val="30"/>
          <w:highlight w:val="none"/>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4、</w:t>
      </w:r>
      <w:r>
        <w:rPr>
          <w:rFonts w:hint="eastAsia" w:ascii="方正仿宋_GBK" w:hAnsi="方正仿宋_GBK" w:eastAsia="方正仿宋_GBK" w:cs="方正仿宋_GBK"/>
          <w:b w:val="0"/>
          <w:bCs w:val="0"/>
          <w:i w:val="0"/>
          <w:iCs w:val="0"/>
          <w:caps w:val="0"/>
          <w:color w:val="000000"/>
          <w:spacing w:val="0"/>
          <w:sz w:val="30"/>
          <w:szCs w:val="30"/>
          <w:highlight w:val="none"/>
          <w:shd w:val="clear" w:fill="FFFFFF"/>
          <w:lang w:val="en-US" w:eastAsia="zh-CN"/>
        </w:rPr>
        <w:t>人身意外伤害保险自治区财政补助经费项目预算15000万元，根据《关于提前下达2022年自治区财政人身意外伤害报销补助资金预算的通知》</w:t>
      </w:r>
      <w:r>
        <w:rPr>
          <w:rFonts w:hint="eastAsia" w:ascii="方正仿宋_GBK" w:hAnsi="方正仿宋_GBK" w:eastAsia="方正仿宋_GBK" w:cs="方正仿宋_GBK"/>
          <w:b w:val="0"/>
          <w:bCs/>
          <w:color w:val="000000"/>
          <w:kern w:val="0"/>
          <w:sz w:val="30"/>
          <w:szCs w:val="30"/>
          <w:highlight w:val="none"/>
        </w:rPr>
        <w:t>（新</w:t>
      </w:r>
      <w:r>
        <w:rPr>
          <w:rFonts w:hint="eastAsia" w:ascii="方正仿宋_GBK" w:hAnsi="方正仿宋_GBK" w:eastAsia="方正仿宋_GBK" w:cs="方正仿宋_GBK"/>
          <w:b w:val="0"/>
          <w:bCs/>
          <w:color w:val="000000"/>
          <w:kern w:val="0"/>
          <w:sz w:val="30"/>
          <w:szCs w:val="30"/>
          <w:highlight w:val="none"/>
          <w:lang w:val="en-US" w:eastAsia="zh-CN"/>
        </w:rPr>
        <w:t>财社</w:t>
      </w:r>
      <w:r>
        <w:rPr>
          <w:rFonts w:hint="eastAsia" w:ascii="方正仿宋_GBK" w:hAnsi="方正仿宋_GBK" w:eastAsia="方正仿宋_GBK" w:cs="方正仿宋_GBK"/>
          <w:b w:val="0"/>
          <w:bCs/>
          <w:color w:val="000000"/>
          <w:kern w:val="0"/>
          <w:sz w:val="30"/>
          <w:szCs w:val="30"/>
          <w:highlight w:val="none"/>
        </w:rPr>
        <w:t>〔20</w:t>
      </w:r>
      <w:r>
        <w:rPr>
          <w:rFonts w:hint="eastAsia" w:ascii="方正仿宋_GBK" w:hAnsi="方正仿宋_GBK" w:eastAsia="方正仿宋_GBK" w:cs="方正仿宋_GBK"/>
          <w:b w:val="0"/>
          <w:bCs/>
          <w:color w:val="000000"/>
          <w:kern w:val="0"/>
          <w:sz w:val="30"/>
          <w:szCs w:val="30"/>
          <w:highlight w:val="none"/>
          <w:lang w:val="en-US" w:eastAsia="zh-CN"/>
        </w:rPr>
        <w:t>21</w:t>
      </w:r>
      <w:r>
        <w:rPr>
          <w:rFonts w:hint="eastAsia" w:ascii="方正仿宋_GBK" w:hAnsi="方正仿宋_GBK" w:eastAsia="方正仿宋_GBK" w:cs="方正仿宋_GBK"/>
          <w:b w:val="0"/>
          <w:bCs/>
          <w:color w:val="000000"/>
          <w:kern w:val="0"/>
          <w:sz w:val="30"/>
          <w:szCs w:val="30"/>
          <w:highlight w:val="none"/>
        </w:rPr>
        <w:t>〕</w:t>
      </w:r>
      <w:r>
        <w:rPr>
          <w:rFonts w:hint="eastAsia" w:ascii="方正仿宋_GBK" w:hAnsi="方正仿宋_GBK" w:eastAsia="方正仿宋_GBK" w:cs="方正仿宋_GBK"/>
          <w:b w:val="0"/>
          <w:bCs/>
          <w:color w:val="000000"/>
          <w:kern w:val="0"/>
          <w:sz w:val="30"/>
          <w:szCs w:val="30"/>
          <w:highlight w:val="none"/>
          <w:lang w:val="en-US" w:eastAsia="zh-CN"/>
        </w:rPr>
        <w:t>265</w:t>
      </w:r>
      <w:r>
        <w:rPr>
          <w:rFonts w:hint="eastAsia" w:ascii="方正仿宋_GBK" w:hAnsi="方正仿宋_GBK" w:eastAsia="方正仿宋_GBK" w:cs="方正仿宋_GBK"/>
          <w:b w:val="0"/>
          <w:bCs/>
          <w:color w:val="000000"/>
          <w:kern w:val="0"/>
          <w:sz w:val="30"/>
          <w:szCs w:val="30"/>
          <w:highlight w:val="none"/>
        </w:rPr>
        <w:t>号）</w:t>
      </w:r>
      <w:r>
        <w:rPr>
          <w:rFonts w:hint="eastAsia" w:ascii="方正仿宋_GBK" w:hAnsi="方正仿宋_GBK" w:eastAsia="方正仿宋_GBK" w:cs="方正仿宋_GBK"/>
          <w:b w:val="0"/>
          <w:bCs w:val="0"/>
          <w:i w:val="0"/>
          <w:iCs w:val="0"/>
          <w:caps w:val="0"/>
          <w:color w:val="000000"/>
          <w:spacing w:val="0"/>
          <w:sz w:val="30"/>
          <w:szCs w:val="30"/>
          <w:highlight w:val="none"/>
          <w:shd w:val="clear" w:fill="FFFFFF"/>
          <w:lang w:val="en-US" w:eastAsia="zh-CN"/>
        </w:rPr>
        <w:t>，下达金额为11，271.15万元，上年结余结转资金5,856.18万元，故医疗保障局未申请追加预算。实际到位资金11，271.15万元，执行数据11，271.15万元,执行率为75%。</w:t>
      </w:r>
    </w:p>
    <w:p>
      <w:pPr>
        <w:ind w:left="0" w:leftChars="0" w:firstLine="600" w:firstLineChars="200"/>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highlight w:val="none"/>
          <w:shd w:val="clear" w:fill="FFFFFF"/>
          <w:lang w:val="en-US" w:eastAsia="zh-CN"/>
        </w:rPr>
        <w:t>5、</w:t>
      </w: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医疗保障管理事务支出项目预算563万元，该项目一是因</w:t>
      </w:r>
      <w:r>
        <w:rPr>
          <w:rFonts w:hint="eastAsia" w:ascii="方正仿宋_GBK" w:hAnsi="方正仿宋_GBK" w:eastAsia="方正仿宋_GBK" w:cs="方正仿宋_GBK"/>
          <w:sz w:val="30"/>
          <w:szCs w:val="30"/>
        </w:rPr>
        <w:t>干部培训工作受今年疫情影响</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只进行了部分培训，未完成全部计划</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sz w:val="30"/>
          <w:szCs w:val="30"/>
          <w:lang w:val="en-US" w:eastAsia="zh-CN"/>
        </w:rPr>
        <w:t>二是</w:t>
      </w:r>
      <w:r>
        <w:rPr>
          <w:rFonts w:hint="eastAsia" w:ascii="方正仿宋_GBK" w:hAnsi="方正仿宋_GBK" w:eastAsia="方正仿宋_GBK" w:cs="方正仿宋_GBK"/>
          <w:sz w:val="30"/>
          <w:szCs w:val="30"/>
        </w:rPr>
        <w:t>《新疆医疗保障》杂志还未到付款期，于</w:t>
      </w:r>
      <w:r>
        <w:rPr>
          <w:rFonts w:hint="eastAsia" w:ascii="方正仿宋_GBK" w:hAnsi="方正仿宋_GBK" w:eastAsia="方正仿宋_GBK" w:cs="方正仿宋_GBK"/>
          <w:sz w:val="30"/>
          <w:szCs w:val="30"/>
          <w:lang w:val="en-US" w:eastAsia="zh-CN"/>
        </w:rPr>
        <w:t>次年1月</w:t>
      </w:r>
      <w:r>
        <w:rPr>
          <w:rFonts w:hint="eastAsia" w:ascii="方正仿宋_GBK" w:hAnsi="方正仿宋_GBK" w:eastAsia="方正仿宋_GBK" w:cs="方正仿宋_GBK"/>
          <w:sz w:val="30"/>
          <w:szCs w:val="30"/>
        </w:rPr>
        <w:t>支付</w:t>
      </w:r>
      <w:r>
        <w:rPr>
          <w:rFonts w:hint="eastAsia" w:ascii="方正仿宋_GBK" w:hAnsi="方正仿宋_GBK" w:eastAsia="方正仿宋_GBK" w:cs="方正仿宋_GBK"/>
          <w:sz w:val="30"/>
          <w:szCs w:val="30"/>
          <w:lang w:val="en-US" w:eastAsia="zh-CN"/>
        </w:rPr>
        <w:t>上年后半</w:t>
      </w:r>
      <w:r>
        <w:rPr>
          <w:rFonts w:hint="eastAsia" w:ascii="方正仿宋_GBK" w:hAnsi="方正仿宋_GBK" w:eastAsia="方正仿宋_GBK" w:cs="方正仿宋_GBK"/>
          <w:sz w:val="30"/>
          <w:szCs w:val="30"/>
        </w:rPr>
        <w:t>年出版费用</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实际执行数为400万元，执行率为71.06%。</w:t>
      </w:r>
    </w:p>
    <w:p>
      <w:pPr>
        <w:ind w:firstLine="600" w:firstLineChars="200"/>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6、医疗保障业务系统维护项目预算734万元，此项目2022年实际支付资金为244.26万元，执行率33.28%，执行率低的原因为：</w:t>
      </w:r>
      <w:r>
        <w:rPr>
          <w:rFonts w:hint="eastAsia" w:ascii="方正仿宋_GBK" w:hAnsi="方正仿宋_GBK" w:eastAsia="方正仿宋_GBK" w:cs="方正仿宋_GBK"/>
          <w:sz w:val="30"/>
          <w:szCs w:val="30"/>
          <w:lang w:val="en-US" w:eastAsia="zh-CN"/>
        </w:rPr>
        <w:t>2022年度自治区财政预算安排卫生健康支出/医疗保障管理支出/医疗保障业务系统维护经费项目资金734万元，主要用于医疗保障数据安全运营服务，项目主要考虑自治区医疗保障信息平台2021年底已全面建成上线并投入使用，以及国家新的《数据安全保护法》、《个人信息保护法》颁布后网信及国家局数据分级分类保护的相关新要求开展的。2022年6月就已完成方案拟定、论证及审批，同月开展了招标采购申报等工作，2022年7月正式挂网采购，受新冠疫情影响，开标工作一再推迟，至11月方完成采购及合同签定工作。资金按合同约定支付，全部资金支付预计至2023年底按合同全部完成，目前相关服务正常开展。另，医保信息平台建设完全按照国家局要求及初步设计如期开展，已完成立项所有建设内容并如期投入使用，没有出现项目建设工作进展滞后问题，自治区发改委竣工验收因需先完成国家局验收，再申请发改委验收，受疫情影响于2023年1月10日完成国家局验收，目前正在按发改委验收规范再次整理项目档案编目等工作，已在开展竣工验收工作，将于近期提交发改委验收申请。2022年根据项目收尾情况及国家局要求进行的增补变更建设目前已全部完成初验并投入试运行，项目将对后续运维期进一步优化运维、深化平台应用提供良好基础，项目将严格按照合同履行资金支付，与发改委竣工验收并不冲突。</w:t>
      </w:r>
    </w:p>
    <w:p>
      <w:pPr>
        <w:numPr>
          <w:ilvl w:val="0"/>
          <w:numId w:val="0"/>
        </w:numPr>
        <w:ind w:firstLine="300" w:firstLineChars="100"/>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7、医疗保障政策管理项目预算金额为825万元；本年度实际执行资金为589.4万元，执行率为71.44%，主要原因一是</w:t>
      </w:r>
      <w:r>
        <w:rPr>
          <w:rFonts w:hint="eastAsia" w:ascii="方正仿宋_GBK" w:hAnsi="方正仿宋_GBK" w:eastAsia="方正仿宋_GBK" w:cs="方正仿宋_GBK"/>
          <w:sz w:val="30"/>
          <w:szCs w:val="30"/>
        </w:rPr>
        <w:t>医保基金监管飞行检查工作因上半年疫情影响开展受阻，</w:t>
      </w:r>
      <w:r>
        <w:rPr>
          <w:rFonts w:hint="eastAsia" w:ascii="方正仿宋_GBK" w:hAnsi="方正仿宋_GBK" w:eastAsia="方正仿宋_GBK" w:cs="方正仿宋_GBK"/>
          <w:sz w:val="30"/>
          <w:szCs w:val="30"/>
          <w:lang w:val="en-US" w:eastAsia="zh-CN"/>
        </w:rPr>
        <w:t>以及交叉检查等工作因疫情受阻；二是</w:t>
      </w:r>
      <w:r>
        <w:rPr>
          <w:rFonts w:hint="eastAsia" w:ascii="方正仿宋_GBK" w:hAnsi="方正仿宋_GBK" w:eastAsia="方正仿宋_GBK" w:cs="方正仿宋_GBK"/>
          <w:sz w:val="30"/>
          <w:szCs w:val="30"/>
        </w:rPr>
        <w:t>医保政策宣传工作（宣传片制作、抖音短视频制作等）</w:t>
      </w:r>
      <w:r>
        <w:rPr>
          <w:rFonts w:hint="eastAsia" w:ascii="方正仿宋_GBK" w:hAnsi="方正仿宋_GBK" w:eastAsia="方正仿宋_GBK" w:cs="方正仿宋_GBK"/>
          <w:sz w:val="30"/>
          <w:szCs w:val="30"/>
          <w:lang w:val="en-US" w:eastAsia="zh-CN"/>
        </w:rPr>
        <w:t>等工作受疫情影响延期进行。</w:t>
      </w:r>
    </w:p>
    <w:p>
      <w:pPr>
        <w:numPr>
          <w:ilvl w:val="0"/>
          <w:numId w:val="0"/>
        </w:numPr>
        <w:ind w:firstLine="300" w:firstLineChars="100"/>
        <w:rPr>
          <w:rFonts w:hint="default"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8、自治区本级离休人员医疗费预算金额5120万元；其中5000万元为上年结余结转资金，120万元为今年预算资金，实际支付资金5120万元，执行率为100%。</w:t>
      </w:r>
    </w:p>
    <w:p>
      <w:pPr>
        <w:numPr>
          <w:ilvl w:val="0"/>
          <w:numId w:val="0"/>
        </w:numPr>
        <w:ind w:firstLine="300" w:firstLineChars="100"/>
        <w:rPr>
          <w:rFonts w:hint="default"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9、自治区本级优抚对象（二乙人员）医疗费资金项目预算金额864万元；其中800万元为上年街与结转资金，64万是今年预算金额，实际支付金额864万元，执行率100%。</w:t>
      </w:r>
    </w:p>
    <w:p>
      <w:pPr>
        <w:numPr>
          <w:ilvl w:val="0"/>
          <w:numId w:val="0"/>
        </w:numPr>
        <w:ind w:firstLine="300" w:firstLineChars="100"/>
        <w:rPr>
          <w:rFonts w:hint="default"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10、自治区本级政府大额医疗补助金项目预算资金4410万元；实际支付资金4410万元，执行率100%。</w:t>
      </w:r>
    </w:p>
    <w:p>
      <w:pPr>
        <w:numPr>
          <w:ilvl w:val="0"/>
          <w:numId w:val="0"/>
        </w:numPr>
        <w:ind w:firstLine="300" w:firstLineChars="100"/>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pPr>
      <w:r>
        <w:rPr>
          <w:rFonts w:hint="eastAsia" w:ascii="方正仿宋_GBK" w:hAnsi="方正仿宋_GBK" w:eastAsia="方正仿宋_GBK" w:cs="方正仿宋_GBK"/>
          <w:b w:val="0"/>
          <w:bCs w:val="0"/>
          <w:i w:val="0"/>
          <w:iCs w:val="0"/>
          <w:caps w:val="0"/>
          <w:color w:val="000000"/>
          <w:spacing w:val="0"/>
          <w:sz w:val="30"/>
          <w:szCs w:val="30"/>
          <w:shd w:val="clear" w:fill="FFFFFF"/>
          <w:lang w:val="en-US" w:eastAsia="zh-CN"/>
        </w:rPr>
        <w:t>11、高校大学生医疗补助经费项目预算金额1480万元；该笔资金是财政直接支付高校资金，已全额支付，执行率100%。</w:t>
      </w:r>
    </w:p>
    <w:p>
      <w:pPr>
        <w:pStyle w:val="11"/>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default" w:ascii="方正黑体_GBK" w:hAnsi="方正黑体_GBK" w:eastAsia="方正黑体_GBK" w:cs="方正黑体_GBK"/>
          <w:sz w:val="32"/>
          <w:szCs w:val="32"/>
          <w:lang w:val="en-US"/>
        </w:rPr>
      </w:pPr>
      <w:r>
        <w:rPr>
          <w:rFonts w:hint="eastAsia" w:ascii="方正黑体_GBK" w:hAnsi="方正黑体_GBK" w:eastAsia="方正黑体_GBK" w:cs="方正黑体_GBK"/>
          <w:sz w:val="32"/>
          <w:szCs w:val="32"/>
          <w:lang w:val="en-US" w:eastAsia="zh-CN"/>
        </w:rPr>
        <w:t>四、部门整体单位支出绩效情况</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年自治区医疗保障局完成以下绩效管理工作：</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一）</w:t>
      </w: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年1月完成部门预算中绩效公开工作和</w:t>
      </w:r>
      <w:r>
        <w:rPr>
          <w:rFonts w:hint="eastAsia" w:ascii="方正仿宋_GBK" w:hAnsi="方正仿宋_GBK" w:eastAsia="方正仿宋_GBK" w:cs="方正仿宋_GBK"/>
          <w:sz w:val="30"/>
          <w:szCs w:val="30"/>
          <w:lang w:eastAsia="zh-CN"/>
        </w:rPr>
        <w:t>绩效</w:t>
      </w:r>
      <w:r>
        <w:rPr>
          <w:rFonts w:hint="eastAsia" w:ascii="方正仿宋_GBK" w:hAnsi="方正仿宋_GBK" w:eastAsia="方正仿宋_GBK" w:cs="方正仿宋_GBK"/>
          <w:sz w:val="30"/>
          <w:szCs w:val="30"/>
        </w:rPr>
        <w:t>目标申报。</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highlight w:val="red"/>
        </w:rPr>
      </w:pPr>
      <w:r>
        <w:rPr>
          <w:rFonts w:hint="eastAsia" w:ascii="方正仿宋_GBK" w:hAnsi="方正仿宋_GBK" w:eastAsia="方正仿宋_GBK" w:cs="方正仿宋_GBK"/>
          <w:sz w:val="30"/>
          <w:szCs w:val="30"/>
        </w:rPr>
        <w:t>（二）</w:t>
      </w: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lang w:val="en-US" w:eastAsia="zh-CN"/>
        </w:rPr>
        <w:t>2</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lang w:val="en-US" w:eastAsia="zh-CN"/>
        </w:rPr>
        <w:t>完成</w:t>
      </w:r>
      <w:r>
        <w:rPr>
          <w:rFonts w:hint="eastAsia" w:ascii="方正仿宋_GBK" w:hAnsi="方正仿宋_GBK" w:eastAsia="方正仿宋_GBK" w:cs="方正仿宋_GBK"/>
          <w:sz w:val="30"/>
          <w:szCs w:val="30"/>
          <w:lang w:eastAsia="zh-CN"/>
        </w:rPr>
        <w:t>国家医疗保障局</w:t>
      </w:r>
      <w:r>
        <w:rPr>
          <w:rFonts w:hint="eastAsia" w:ascii="方正仿宋_GBK" w:hAnsi="方正仿宋_GBK" w:eastAsia="方正仿宋_GBK" w:cs="方正仿宋_GBK"/>
          <w:sz w:val="30"/>
          <w:szCs w:val="30"/>
        </w:rPr>
        <w:t>医疗服务与保障能力提升补助资金</w:t>
      </w:r>
      <w:r>
        <w:rPr>
          <w:rFonts w:hint="eastAsia" w:ascii="方正仿宋_GBK" w:hAnsi="方正仿宋_GBK" w:eastAsia="方正仿宋_GBK" w:cs="方正仿宋_GBK"/>
          <w:sz w:val="30"/>
          <w:szCs w:val="30"/>
          <w:lang w:val="en-US" w:eastAsia="zh-CN"/>
        </w:rPr>
        <w:t>绩效评价资料上报</w:t>
      </w:r>
      <w:r>
        <w:rPr>
          <w:rFonts w:hint="eastAsia" w:ascii="方正仿宋_GBK" w:hAnsi="方正仿宋_GBK" w:eastAsia="方正仿宋_GBK" w:cs="方正仿宋_GBK"/>
          <w:sz w:val="30"/>
          <w:szCs w:val="30"/>
        </w:rPr>
        <w:t xml:space="preserve">。 </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（三）</w:t>
      </w: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lang w:val="en-US" w:eastAsia="zh-CN"/>
        </w:rPr>
        <w:t>5</w:t>
      </w:r>
      <w:r>
        <w:rPr>
          <w:rFonts w:hint="eastAsia" w:ascii="方正仿宋_GBK" w:hAnsi="方正仿宋_GBK" w:eastAsia="方正仿宋_GBK" w:cs="方正仿宋_GBK"/>
          <w:sz w:val="30"/>
          <w:szCs w:val="30"/>
        </w:rPr>
        <w:t>月完成</w:t>
      </w:r>
      <w:r>
        <w:rPr>
          <w:rFonts w:hint="eastAsia" w:ascii="方正仿宋_GBK" w:hAnsi="方正仿宋_GBK" w:eastAsia="方正仿宋_GBK" w:cs="方正仿宋_GBK"/>
          <w:sz w:val="30"/>
          <w:szCs w:val="30"/>
          <w:lang w:eastAsia="zh-CN"/>
        </w:rPr>
        <w:t>绩效</w:t>
      </w:r>
      <w:r>
        <w:rPr>
          <w:rFonts w:hint="eastAsia" w:ascii="方正仿宋_GBK" w:hAnsi="方正仿宋_GBK" w:eastAsia="方正仿宋_GBK" w:cs="方正仿宋_GBK"/>
          <w:sz w:val="30"/>
          <w:szCs w:val="30"/>
        </w:rPr>
        <w:t>监控表的整改及审核。</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（四）</w:t>
      </w: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lang w:val="en-US" w:eastAsia="zh-CN"/>
        </w:rPr>
        <w:t>6</w:t>
      </w:r>
      <w:r>
        <w:rPr>
          <w:rFonts w:hint="eastAsia" w:ascii="方正仿宋_GBK" w:hAnsi="方正仿宋_GBK" w:eastAsia="方正仿宋_GBK" w:cs="方正仿宋_GBK"/>
          <w:sz w:val="30"/>
          <w:szCs w:val="30"/>
        </w:rPr>
        <w:t>月完成整体绩效监控报告和监控表的填写。</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（五）</w:t>
      </w: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lang w:val="en-US" w:eastAsia="zh-CN"/>
        </w:rPr>
        <w:t>7</w:t>
      </w:r>
      <w:r>
        <w:rPr>
          <w:rFonts w:hint="eastAsia" w:ascii="方正仿宋_GBK" w:hAnsi="方正仿宋_GBK" w:eastAsia="方正仿宋_GBK" w:cs="方正仿宋_GBK"/>
          <w:sz w:val="30"/>
          <w:szCs w:val="30"/>
        </w:rPr>
        <w:t>月监控表的整改及审核。</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（六）</w:t>
      </w:r>
      <w:r>
        <w:rPr>
          <w:rFonts w:hint="eastAsia" w:ascii="方正仿宋_GBK" w:hAnsi="方正仿宋_GBK" w:eastAsia="方正仿宋_GBK" w:cs="方正仿宋_GBK"/>
          <w:sz w:val="30"/>
          <w:szCs w:val="30"/>
          <w:lang w:eastAsia="zh-CN"/>
        </w:rPr>
        <w:t>2022</w:t>
      </w:r>
      <w:r>
        <w:rPr>
          <w:rFonts w:hint="eastAsia" w:ascii="方正仿宋_GBK" w:hAnsi="方正仿宋_GBK" w:eastAsia="方正仿宋_GBK" w:cs="方正仿宋_GBK"/>
          <w:sz w:val="30"/>
          <w:szCs w:val="30"/>
        </w:rPr>
        <w:t>年1</w:t>
      </w:r>
      <w:r>
        <w:rPr>
          <w:rFonts w:hint="eastAsia" w:ascii="方正仿宋_GBK" w:hAnsi="方正仿宋_GBK" w:eastAsia="方正仿宋_GBK" w:cs="方正仿宋_GBK"/>
          <w:sz w:val="30"/>
          <w:szCs w:val="30"/>
          <w:lang w:val="en-US" w:eastAsia="zh-CN"/>
        </w:rPr>
        <w:t>2</w:t>
      </w:r>
      <w:r>
        <w:rPr>
          <w:rFonts w:hint="eastAsia" w:ascii="方正仿宋_GBK" w:hAnsi="方正仿宋_GBK" w:eastAsia="方正仿宋_GBK" w:cs="方正仿宋_GBK"/>
          <w:sz w:val="30"/>
          <w:szCs w:val="30"/>
        </w:rPr>
        <w:t>月对2022年度年初预计完成整体监控报告及监控表的申报，及项目支出绩效评价报告的整改。</w:t>
      </w:r>
    </w:p>
    <w:p>
      <w:pPr>
        <w:pStyle w:val="11"/>
        <w:keepNext w:val="0"/>
        <w:keepLines w:val="0"/>
        <w:pageBreakBefore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b w:val="0"/>
          <w:bCs/>
          <w:sz w:val="30"/>
          <w:szCs w:val="30"/>
          <w:lang w:val="en-US" w:eastAsia="zh-CN"/>
        </w:rPr>
      </w:pPr>
      <w:r>
        <w:rPr>
          <w:rFonts w:hint="eastAsia" w:ascii="方正仿宋_GBK" w:hAnsi="方正仿宋_GBK" w:eastAsia="方正仿宋_GBK" w:cs="方正仿宋_GBK"/>
          <w:b w:val="0"/>
          <w:bCs/>
          <w:sz w:val="30"/>
          <w:szCs w:val="30"/>
          <w:lang w:eastAsia="zh-CN"/>
        </w:rPr>
        <w:t>（</w:t>
      </w:r>
      <w:r>
        <w:rPr>
          <w:rFonts w:hint="eastAsia" w:ascii="方正仿宋_GBK" w:hAnsi="方正仿宋_GBK" w:eastAsia="方正仿宋_GBK" w:cs="方正仿宋_GBK"/>
          <w:b w:val="0"/>
          <w:bCs/>
          <w:sz w:val="30"/>
          <w:szCs w:val="30"/>
          <w:lang w:val="en-US" w:eastAsia="zh-CN"/>
        </w:rPr>
        <w:t>七</w:t>
      </w:r>
      <w:r>
        <w:rPr>
          <w:rFonts w:hint="eastAsia" w:ascii="方正仿宋_GBK" w:hAnsi="方正仿宋_GBK" w:eastAsia="方正仿宋_GBK" w:cs="方正仿宋_GBK"/>
          <w:b w:val="0"/>
          <w:bCs/>
          <w:sz w:val="30"/>
          <w:szCs w:val="30"/>
          <w:lang w:eastAsia="zh-CN"/>
        </w:rPr>
        <w:t>）</w:t>
      </w:r>
      <w:r>
        <w:rPr>
          <w:rFonts w:hint="eastAsia" w:ascii="方正仿宋_GBK" w:hAnsi="方正仿宋_GBK" w:eastAsia="方正仿宋_GBK" w:cs="方正仿宋_GBK"/>
          <w:b w:val="0"/>
          <w:bCs/>
          <w:sz w:val="30"/>
          <w:szCs w:val="30"/>
          <w:lang w:val="en-US" w:eastAsia="zh-CN"/>
        </w:rPr>
        <w:t>2022年12月对2022年度绩效评价做准备工作，包括国家局评价、复评；国家财政部绩效评价、自治区财政绩效评价。</w:t>
      </w:r>
    </w:p>
    <w:p>
      <w:pPr>
        <w:pStyle w:val="2"/>
        <w:numPr>
          <w:ilvl w:val="0"/>
          <w:numId w:val="0"/>
        </w:numPr>
        <w:rPr>
          <w:rFonts w:hint="eastAsia" w:ascii="方正正黑_GBK" w:hAnsi="方正正黑_GBK" w:eastAsia="方正正黑_GBK" w:cs="方正正黑_GBK"/>
          <w:b w:val="0"/>
          <w:bCs/>
          <w:kern w:val="2"/>
          <w:sz w:val="32"/>
          <w:szCs w:val="32"/>
          <w:lang w:val="en-US" w:eastAsia="zh-CN" w:bidi="ar-SA"/>
        </w:rPr>
      </w:pPr>
      <w:r>
        <w:rPr>
          <w:rFonts w:hint="eastAsia" w:ascii="方正正黑_GBK" w:hAnsi="方正正黑_GBK" w:eastAsia="方正正黑_GBK" w:cs="方正正黑_GBK"/>
          <w:b w:val="0"/>
          <w:bCs/>
          <w:kern w:val="2"/>
          <w:sz w:val="32"/>
          <w:szCs w:val="32"/>
          <w:lang w:val="en-US" w:eastAsia="zh-CN" w:bidi="ar-SA"/>
        </w:rPr>
        <w:t>五、存在问题及分析</w:t>
      </w:r>
    </w:p>
    <w:p>
      <w:pPr>
        <w:pStyle w:val="2"/>
        <w:numPr>
          <w:ilvl w:val="0"/>
          <w:numId w:val="0"/>
        </w:numPr>
        <w:ind w:firstLine="600" w:firstLineChars="200"/>
        <w:rPr>
          <w:rFonts w:hint="eastAsia" w:ascii="方正仿宋_GBK" w:hAnsi="方正仿宋_GBK" w:eastAsia="方正仿宋_GBK" w:cs="方正仿宋_GBK"/>
          <w:b w:val="0"/>
          <w:bCs/>
          <w:sz w:val="30"/>
          <w:szCs w:val="30"/>
        </w:rPr>
      </w:pPr>
      <w:r>
        <w:rPr>
          <w:rFonts w:hint="eastAsia" w:ascii="方正仿宋_GBK" w:hAnsi="方正仿宋_GBK" w:eastAsia="方正仿宋_GBK" w:cs="方正仿宋_GBK"/>
          <w:b w:val="0"/>
          <w:bCs/>
          <w:kern w:val="0"/>
          <w:sz w:val="30"/>
          <w:szCs w:val="30"/>
        </w:rPr>
        <w:t>一是</w:t>
      </w:r>
      <w:r>
        <w:rPr>
          <w:rFonts w:hint="eastAsia" w:ascii="方正仿宋_GBK" w:hAnsi="方正仿宋_GBK" w:eastAsia="方正仿宋_GBK" w:cs="方正仿宋_GBK"/>
          <w:b w:val="0"/>
          <w:bCs/>
          <w:sz w:val="30"/>
          <w:szCs w:val="30"/>
        </w:rPr>
        <w:t>对全面绩效管理的认识需进一步提升。在财政预算资金执行过程中，个别处室对全面推进预算绩效管理，实施财政资金绩效评价工作的重要性的认识仍然不到位。</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b w:val="0"/>
          <w:bCs/>
          <w:sz w:val="30"/>
          <w:szCs w:val="30"/>
        </w:rPr>
      </w:pPr>
      <w:r>
        <w:rPr>
          <w:rFonts w:hint="eastAsia" w:ascii="方正仿宋_GBK" w:hAnsi="方正仿宋_GBK" w:eastAsia="方正仿宋_GBK" w:cs="方正仿宋_GBK"/>
          <w:b w:val="0"/>
          <w:bCs/>
          <w:kern w:val="0"/>
          <w:sz w:val="30"/>
          <w:szCs w:val="30"/>
        </w:rPr>
        <w:t>二是</w:t>
      </w:r>
      <w:r>
        <w:rPr>
          <w:rFonts w:hint="eastAsia" w:ascii="方正仿宋_GBK" w:hAnsi="方正仿宋_GBK" w:eastAsia="方正仿宋_GBK" w:cs="方正仿宋_GBK"/>
          <w:b w:val="0"/>
          <w:bCs/>
          <w:sz w:val="30"/>
          <w:szCs w:val="30"/>
        </w:rPr>
        <w:t>政策和项目绩效目标指标体系的设置还需进一步完善。针对具体的政策和项目而言，指标体系的设置大多体现在定性的指标上，需要增加和完善可量化的</w:t>
      </w:r>
      <w:r>
        <w:rPr>
          <w:rFonts w:hint="eastAsia" w:ascii="方正仿宋_GBK" w:hAnsi="方正仿宋_GBK" w:eastAsia="方正仿宋_GBK" w:cs="方正仿宋_GBK"/>
          <w:b w:val="0"/>
          <w:bCs/>
          <w:sz w:val="30"/>
          <w:szCs w:val="30"/>
          <w:lang w:val="en-US" w:eastAsia="zh-CN"/>
        </w:rPr>
        <w:t>定量</w:t>
      </w:r>
      <w:bookmarkStart w:id="0" w:name="_GoBack"/>
      <w:bookmarkEnd w:id="0"/>
      <w:r>
        <w:rPr>
          <w:rFonts w:hint="eastAsia" w:ascii="方正仿宋_GBK" w:hAnsi="方正仿宋_GBK" w:eastAsia="方正仿宋_GBK" w:cs="方正仿宋_GBK"/>
          <w:b w:val="0"/>
          <w:bCs/>
          <w:sz w:val="30"/>
          <w:szCs w:val="30"/>
        </w:rPr>
        <w:t>指标。</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方正黑体_GBK" w:hAnsi="方正黑体_GBK" w:eastAsia="方正黑体_GBK" w:cs="方正黑体_GBK"/>
          <w:kern w:val="2"/>
          <w:sz w:val="32"/>
          <w:szCs w:val="32"/>
          <w:lang w:val="en-US" w:eastAsia="zh-CN" w:bidi="ar-SA"/>
        </w:rPr>
      </w:pPr>
      <w:r>
        <w:rPr>
          <w:rFonts w:hint="eastAsia" w:ascii="方正黑体_GBK" w:hAnsi="方正黑体_GBK" w:eastAsia="方正黑体_GBK" w:cs="方正黑体_GBK"/>
          <w:kern w:val="2"/>
          <w:sz w:val="32"/>
          <w:szCs w:val="32"/>
          <w:lang w:val="en-US" w:eastAsia="zh-CN" w:bidi="ar-SA"/>
        </w:rPr>
        <w:t>六、改进措施及建议</w:t>
      </w:r>
    </w:p>
    <w:p>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kern w:val="0"/>
          <w:sz w:val="30"/>
          <w:szCs w:val="30"/>
        </w:rPr>
        <w:t>一是</w:t>
      </w:r>
      <w:r>
        <w:rPr>
          <w:rFonts w:hint="eastAsia" w:ascii="方正仿宋_GBK" w:hAnsi="方正仿宋_GBK" w:eastAsia="方正仿宋_GBK" w:cs="方正仿宋_GBK"/>
          <w:spacing w:val="-4"/>
          <w:sz w:val="30"/>
          <w:szCs w:val="30"/>
        </w:rPr>
        <w:t>进一步强化预算绩效管理意识。</w:t>
      </w:r>
      <w:r>
        <w:rPr>
          <w:rFonts w:hint="eastAsia" w:ascii="方正仿宋_GBK" w:hAnsi="方正仿宋_GBK" w:eastAsia="方正仿宋_GBK" w:cs="方正仿宋_GBK"/>
          <w:sz w:val="30"/>
          <w:szCs w:val="30"/>
        </w:rPr>
        <w:t>明确绩效监控工作任务及职责。</w:t>
      </w:r>
      <w:r>
        <w:rPr>
          <w:rFonts w:hint="eastAsia" w:ascii="方正仿宋_GBK" w:hAnsi="方正仿宋_GBK" w:eastAsia="方正仿宋_GBK" w:cs="方正仿宋_GBK"/>
          <w:sz w:val="30"/>
          <w:szCs w:val="30"/>
          <w:lang w:eastAsia="zh-CN"/>
        </w:rPr>
        <w:t>坚持</w:t>
      </w:r>
      <w:r>
        <w:rPr>
          <w:rFonts w:hint="eastAsia" w:ascii="方正仿宋_GBK" w:hAnsi="方正仿宋_GBK" w:eastAsia="方正仿宋_GBK" w:cs="方正仿宋_GBK"/>
          <w:sz w:val="30"/>
          <w:szCs w:val="30"/>
        </w:rPr>
        <w:t>绩效监控引领业务工作的重要性，深入开展财政绩效管理宣传工作，让预算绩效管理渗透进单位的各项管理中。</w:t>
      </w:r>
    </w:p>
    <w:p>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kern w:val="0"/>
          <w:sz w:val="30"/>
          <w:szCs w:val="30"/>
        </w:rPr>
        <w:t>二是</w:t>
      </w:r>
      <w:r>
        <w:rPr>
          <w:rFonts w:hint="eastAsia" w:ascii="方正仿宋_GBK" w:hAnsi="方正仿宋_GBK" w:eastAsia="方正仿宋_GBK" w:cs="方正仿宋_GBK"/>
          <w:sz w:val="30"/>
          <w:szCs w:val="30"/>
        </w:rPr>
        <w:t>进一步完善预算绩效的管理流程。将绩效目标的设置、监控、评价和应用贯穿于政策或项目的全流程管理当中，形成统一的管理体系和动态调控体系。将绩效管理与预算编制、预算执行相结合，理顺关系，将绩效工作纳入资金申请之前，先明确绩效目标，再申请资金预算，最后根据绩效目标执行情况拨付资金，使绩效管理融入预算管理、财务支出各环节。保证绩效目标更</w:t>
      </w:r>
      <w:r>
        <w:rPr>
          <w:rFonts w:hint="eastAsia" w:ascii="方正仿宋_GBK" w:hAnsi="方正仿宋_GBK" w:eastAsia="方正仿宋_GBK" w:cs="方正仿宋_GBK"/>
          <w:sz w:val="30"/>
          <w:szCs w:val="30"/>
          <w:lang w:eastAsia="zh-CN"/>
        </w:rPr>
        <w:t>加</w:t>
      </w:r>
      <w:r>
        <w:rPr>
          <w:rFonts w:hint="eastAsia" w:ascii="方正仿宋_GBK" w:hAnsi="方正仿宋_GBK" w:eastAsia="方正仿宋_GBK" w:cs="方正仿宋_GBK"/>
          <w:sz w:val="30"/>
          <w:szCs w:val="30"/>
        </w:rPr>
        <w:t>切合实际</w:t>
      </w:r>
      <w:r>
        <w:rPr>
          <w:rFonts w:hint="eastAsia" w:ascii="方正仿宋_GBK" w:hAnsi="方正仿宋_GBK" w:eastAsia="方正仿宋_GBK" w:cs="方正仿宋_GBK"/>
          <w:sz w:val="30"/>
          <w:szCs w:val="30"/>
          <w:lang w:eastAsia="zh-CN"/>
        </w:rPr>
        <w:t>并</w:t>
      </w:r>
      <w:r>
        <w:rPr>
          <w:rFonts w:hint="eastAsia" w:ascii="方正仿宋_GBK" w:hAnsi="方正仿宋_GBK" w:eastAsia="方正仿宋_GBK" w:cs="方正仿宋_GBK"/>
          <w:sz w:val="30"/>
          <w:szCs w:val="30"/>
        </w:rPr>
        <w:t>在实践中完善。</w:t>
      </w:r>
    </w:p>
    <w:p>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kern w:val="0"/>
          <w:sz w:val="30"/>
          <w:szCs w:val="30"/>
        </w:rPr>
        <w:t>三是</w:t>
      </w:r>
      <w:r>
        <w:rPr>
          <w:rFonts w:hint="eastAsia" w:ascii="方正仿宋_GBK" w:hAnsi="方正仿宋_GBK" w:eastAsia="方正仿宋_GBK" w:cs="方正仿宋_GBK"/>
          <w:sz w:val="30"/>
          <w:szCs w:val="30"/>
        </w:rPr>
        <w:t>进一步细化预算绩效评估评价方法和手段。针对不同政策和项目的绩效进行有效的评估评价，采用的方式方法更加符合政策和项目的特点。除综合运用成本效益分析法、比较法、因素分析法等方法外，探索市场调查和抽样的方法，提高绩效评估评价结果的准确性和客观性。</w:t>
      </w:r>
    </w:p>
    <w:p>
      <w:pPr>
        <w:keepNext w:val="0"/>
        <w:keepLines w:val="0"/>
        <w:pageBreakBefore w:val="0"/>
        <w:kinsoku/>
        <w:wordWrap/>
        <w:overflowPunct/>
        <w:topLinePunct w:val="0"/>
        <w:autoSpaceDE/>
        <w:autoSpaceDN/>
        <w:bidi w:val="0"/>
        <w:adjustRightInd/>
        <w:snapToGrid/>
        <w:spacing w:line="560" w:lineRule="exact"/>
        <w:ind w:firstLine="750" w:firstLineChars="250"/>
        <w:textAlignment w:val="auto"/>
        <w:rPr>
          <w:rFonts w:ascii="仿宋_GB2312" w:hAnsi="仿宋_GB2312" w:eastAsia="仿宋_GB2312" w:cs="仿宋_GB2312"/>
          <w:sz w:val="30"/>
          <w:szCs w:val="30"/>
        </w:rPr>
      </w:pP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自治区医疗保障局</w:t>
      </w:r>
    </w:p>
    <w:p>
      <w:pPr>
        <w:keepNext w:val="0"/>
        <w:keepLines w:val="0"/>
        <w:pageBreakBefore w:val="0"/>
        <w:kinsoku/>
        <w:wordWrap/>
        <w:overflowPunct/>
        <w:topLinePunct w:val="0"/>
        <w:autoSpaceDE/>
        <w:autoSpaceDN/>
        <w:bidi w:val="0"/>
        <w:adjustRightInd/>
        <w:snapToGrid/>
        <w:spacing w:line="560" w:lineRule="exact"/>
        <w:ind w:firstLine="5600" w:firstLineChars="1750"/>
        <w:textAlignment w:val="auto"/>
        <w:rPr>
          <w:rFonts w:ascii="仿宋_GB2312" w:hAnsi="仿宋_GB2312" w:eastAsia="仿宋_GB2312" w:cs="仿宋_GB2312"/>
          <w:sz w:val="32"/>
          <w:szCs w:val="32"/>
        </w:rPr>
      </w:pPr>
      <w:r>
        <w:rPr>
          <w:rFonts w:hint="default"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w:t>
      </w:r>
    </w:p>
    <w:p>
      <w:pPr>
        <w:bidi w:val="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5FA88D-CD24-4D84-8026-CB0D64A9BE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91B0047-BC1B-4654-837E-09778F82767C}"/>
  </w:font>
  <w:font w:name="方正小标宋简体">
    <w:panose1 w:val="02000000000000000000"/>
    <w:charset w:val="86"/>
    <w:family w:val="auto"/>
    <w:pitch w:val="default"/>
    <w:sig w:usb0="00000001" w:usb1="08000000" w:usb2="00000000" w:usb3="00000000" w:csb0="00040000" w:csb1="00000000"/>
    <w:embedRegular r:id="rId3" w:fontKey="{A2ADB10F-DFA6-4E4F-A2E9-80F5BBF9F27E}"/>
  </w:font>
  <w:font w:name="方正小标宋_GBK">
    <w:panose1 w:val="02000000000000000000"/>
    <w:charset w:val="86"/>
    <w:family w:val="script"/>
    <w:pitch w:val="default"/>
    <w:sig w:usb0="A00002BF" w:usb1="38CF7CFA" w:usb2="00082016" w:usb3="00000000" w:csb0="00040001" w:csb1="00000000"/>
    <w:embedRegular r:id="rId4" w:fontKey="{7E88771E-9315-4ABA-BB7C-9C75F93CFAC6}"/>
  </w:font>
  <w:font w:name="方正正黑_GBK">
    <w:panose1 w:val="02000000000000000000"/>
    <w:charset w:val="86"/>
    <w:family w:val="auto"/>
    <w:pitch w:val="default"/>
    <w:sig w:usb0="A00002BF" w:usb1="38CF7CFA" w:usb2="00082016" w:usb3="00000000" w:csb0="00040001" w:csb1="00000000"/>
    <w:embedRegular r:id="rId5" w:fontKey="{DE821EA5-667C-4D41-A33D-72593701D474}"/>
  </w:font>
  <w:font w:name="方正仿宋简体">
    <w:altName w:val="方正仿宋_GBK"/>
    <w:panose1 w:val="02010601030101010101"/>
    <w:charset w:val="86"/>
    <w:family w:val="auto"/>
    <w:pitch w:val="default"/>
    <w:sig w:usb0="00000000" w:usb1="00000000" w:usb2="00000000" w:usb3="00000000" w:csb0="00040000" w:csb1="00000000"/>
    <w:embedRegular r:id="rId6" w:fontKey="{8157C304-8F8E-4E17-9604-6E1353EF1B86}"/>
  </w:font>
  <w:font w:name="方正仿宋_GBK">
    <w:panose1 w:val="02000000000000000000"/>
    <w:charset w:val="86"/>
    <w:family w:val="auto"/>
    <w:pitch w:val="default"/>
    <w:sig w:usb0="A00002BF" w:usb1="38CF7CFA" w:usb2="00082016" w:usb3="00000000" w:csb0="00040001" w:csb1="00000000"/>
    <w:embedRegular r:id="rId7" w:fontKey="{2E9A3CED-4F75-4751-A6C8-BD934C74EF60}"/>
  </w:font>
  <w:font w:name="仿宋_GB2312">
    <w:altName w:val="仿宋"/>
    <w:panose1 w:val="02010609030101010101"/>
    <w:charset w:val="86"/>
    <w:family w:val="modern"/>
    <w:pitch w:val="default"/>
    <w:sig w:usb0="00000000" w:usb1="00000000" w:usb2="00000000" w:usb3="00000000" w:csb0="00040000" w:csb1="00000000"/>
    <w:embedRegular r:id="rId8" w:fontKey="{1C6404BD-C856-47EB-BABF-67B04D5D66D1}"/>
  </w:font>
  <w:font w:name="仿宋">
    <w:panose1 w:val="02010609060101010101"/>
    <w:charset w:val="86"/>
    <w:family w:val="modern"/>
    <w:pitch w:val="default"/>
    <w:sig w:usb0="800002BF" w:usb1="38CF7CFA" w:usb2="00000016" w:usb3="00000000" w:csb0="00040001" w:csb1="00000000"/>
    <w:embedRegular r:id="rId9" w:fontKey="{17727BF4-C098-4471-93F1-20F040D4139D}"/>
  </w:font>
  <w:font w:name="方正黑体_GBK">
    <w:altName w:val="微软雅黑"/>
    <w:panose1 w:val="02000000000000000000"/>
    <w:charset w:val="86"/>
    <w:family w:val="auto"/>
    <w:pitch w:val="default"/>
    <w:sig w:usb0="00000000" w:usb1="00000000" w:usb2="00000000" w:usb3="00000000" w:csb0="00040000" w:csb1="00000000"/>
    <w:embedRegular r:id="rId10" w:fontKey="{564C13E6-D4BA-4620-B367-DFC43FEB186C}"/>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89F67"/>
    <w:multiLevelType w:val="singleLevel"/>
    <w:tmpl w:val="8DD89F6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iYjZiMzI3OTcwMmFjYTJkZGQ2NmU4MjdjYjZhZDYifQ=="/>
  </w:docVars>
  <w:rsids>
    <w:rsidRoot w:val="246C1DC9"/>
    <w:rsid w:val="01557A3F"/>
    <w:rsid w:val="01913B72"/>
    <w:rsid w:val="01B92872"/>
    <w:rsid w:val="051C1768"/>
    <w:rsid w:val="06A82192"/>
    <w:rsid w:val="07100621"/>
    <w:rsid w:val="0B7C5866"/>
    <w:rsid w:val="116D02A8"/>
    <w:rsid w:val="170C2C5F"/>
    <w:rsid w:val="18767CB3"/>
    <w:rsid w:val="1D2B1F2E"/>
    <w:rsid w:val="1DA43419"/>
    <w:rsid w:val="1DA439C8"/>
    <w:rsid w:val="1FD27BC4"/>
    <w:rsid w:val="2302327F"/>
    <w:rsid w:val="2411343C"/>
    <w:rsid w:val="246C1DC9"/>
    <w:rsid w:val="266F3B45"/>
    <w:rsid w:val="293607E6"/>
    <w:rsid w:val="2F902EAC"/>
    <w:rsid w:val="2FF1307F"/>
    <w:rsid w:val="306A3972"/>
    <w:rsid w:val="35F400F3"/>
    <w:rsid w:val="36FA779C"/>
    <w:rsid w:val="394010D4"/>
    <w:rsid w:val="39932516"/>
    <w:rsid w:val="39BD2849"/>
    <w:rsid w:val="3DFE2160"/>
    <w:rsid w:val="443D42BC"/>
    <w:rsid w:val="4819662E"/>
    <w:rsid w:val="497A0750"/>
    <w:rsid w:val="49EB12D5"/>
    <w:rsid w:val="4DB22EFF"/>
    <w:rsid w:val="562C0D34"/>
    <w:rsid w:val="57A314E8"/>
    <w:rsid w:val="5D3A0883"/>
    <w:rsid w:val="5E747306"/>
    <w:rsid w:val="62AD3F24"/>
    <w:rsid w:val="6F56029A"/>
    <w:rsid w:val="716A2A1A"/>
    <w:rsid w:val="73D97A3C"/>
    <w:rsid w:val="75C500C8"/>
    <w:rsid w:val="769B1707"/>
    <w:rsid w:val="EEFEC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outlineLvl w:val="0"/>
    </w:pPr>
    <w:rPr>
      <w:rFonts w:ascii="Times New Roman" w:hAnsi="Times New Roman" w:eastAsia="黑体" w:cs="Times New Roman"/>
      <w:bCs/>
      <w:kern w:val="44"/>
      <w:sz w:val="32"/>
      <w:szCs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3"/>
    <w:basedOn w:val="1"/>
    <w:next w:val="1"/>
    <w:qFormat/>
    <w:uiPriority w:val="9"/>
    <w:pPr>
      <w:spacing w:beforeAutospacing="1" w:afterAutospacing="1"/>
      <w:jc w:val="left"/>
      <w:outlineLvl w:val="2"/>
    </w:pPr>
    <w:rPr>
      <w:rFonts w:hint="eastAsia" w:ascii="宋体" w:hAnsi="宋体" w:eastAsia="宋体"/>
      <w:b/>
      <w:kern w:val="0"/>
      <w:sz w:val="27"/>
      <w:szCs w:val="27"/>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200" w:firstLineChars="200"/>
    </w:pPr>
    <w:rPr>
      <w:rFonts w:ascii="Calibri" w:hAnsi="Calibri"/>
      <w:sz w:val="28"/>
      <w:szCs w:val="20"/>
    </w:rPr>
  </w:style>
  <w:style w:type="paragraph" w:styleId="6">
    <w:name w:val="Body Text"/>
    <w:basedOn w:val="1"/>
    <w:qFormat/>
    <w:uiPriority w:val="99"/>
    <w:pPr>
      <w:jc w:val="center"/>
    </w:pPr>
    <w:rPr>
      <w:rFonts w:ascii="Calibri" w:hAnsi="Calibri" w:eastAsia="方正小标宋简体"/>
      <w:b/>
      <w:bCs/>
      <w:sz w:val="44"/>
    </w:rPr>
  </w:style>
  <w:style w:type="paragraph" w:styleId="7">
    <w:name w:val="footer"/>
    <w:basedOn w:val="1"/>
    <w:semiHidden/>
    <w:qFormat/>
    <w:uiPriority w:val="99"/>
    <w:pPr>
      <w:tabs>
        <w:tab w:val="center" w:pos="4153"/>
        <w:tab w:val="right" w:pos="8306"/>
      </w:tabs>
      <w:snapToGrid w:val="0"/>
      <w:jc w:val="left"/>
    </w:pPr>
    <w:rPr>
      <w:sz w:val="18"/>
      <w:szCs w:val="18"/>
    </w:rPr>
  </w:style>
  <w:style w:type="paragraph" w:customStyle="1" w:styleId="10">
    <w:name w:val="Char"/>
    <w:basedOn w:val="1"/>
    <w:qFormat/>
    <w:uiPriority w:val="0"/>
    <w:pPr>
      <w:widowControl/>
      <w:spacing w:after="160" w:line="240" w:lineRule="exact"/>
      <w:jc w:val="left"/>
    </w:pPr>
    <w:rPr>
      <w:rFonts w:ascii="Times New Roman" w:hAnsi="Times New Roman" w:eastAsia="宋体" w:cs="Times New Roman"/>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3814</Words>
  <Characters>4234</Characters>
  <Lines>0</Lines>
  <Paragraphs>0</Paragraphs>
  <TotalTime>159</TotalTime>
  <ScaleCrop>false</ScaleCrop>
  <LinksUpToDate>false</LinksUpToDate>
  <CharactersWithSpaces>4306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2021-11-05T17:08:00Z</dcterms:created>
  <dc:creator>lenovo</dc:creator>
  <cp:lastModifiedBy>AA</cp:lastModifiedBy>
  <dcterms:modified xsi:type="dcterms:W3CDTF">2023-04-19T01:44:04Z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961846EDB8E34C41ABAF8065708BC8CB</vt:lpwstr>
  </property>
</Properties>
</file>