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bookmarkStart w:id="16" w:name="_GoBack"/>
      <w:bookmarkEnd w:id="16"/>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ind w:left="0" w:leftChars="0"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自治区第一次全国自然灾害综合风险普查项目支出绩效</w:t>
      </w:r>
      <w:r>
        <w:rPr>
          <w:rFonts w:hint="eastAsia" w:ascii="方正小标宋简体" w:hAnsi="黑体" w:eastAsia="方正小标宋简体" w:cs="黑体"/>
          <w:bCs/>
          <w:sz w:val="48"/>
          <w:szCs w:val="48"/>
          <w:lang w:val="en-US" w:eastAsia="zh-CN"/>
        </w:rPr>
        <w:t>自评</w:t>
      </w:r>
      <w:r>
        <w:rPr>
          <w:rFonts w:hint="eastAsia" w:ascii="方正小标宋简体" w:hAnsi="黑体" w:eastAsia="方正小标宋简体" w:cs="黑体"/>
          <w:bCs/>
          <w:sz w:val="48"/>
          <w:szCs w:val="48"/>
        </w:rPr>
        <w:t>报告</w:t>
      </w: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keepNext w:val="0"/>
        <w:keepLines w:val="0"/>
        <w:pageBreakBefore w:val="0"/>
        <w:widowControl w:val="0"/>
        <w:kinsoku/>
        <w:wordWrap/>
        <w:overflowPunct/>
        <w:topLinePunct w:val="0"/>
        <w:autoSpaceDE/>
        <w:autoSpaceDN/>
        <w:bidi w:val="0"/>
        <w:adjustRightInd/>
        <w:snapToGrid/>
        <w:spacing w:line="360" w:lineRule="auto"/>
        <w:ind w:firstLine="750" w:firstLineChars="250"/>
        <w:jc w:val="left"/>
        <w:textAlignment w:val="auto"/>
        <w:rPr>
          <w:rFonts w:hAnsi="宋体" w:eastAsia="仿宋_GB2312" w:cs="宋体"/>
          <w:kern w:val="0"/>
          <w:sz w:val="36"/>
          <w:szCs w:val="36"/>
        </w:rPr>
      </w:pPr>
      <w:r>
        <w:rPr>
          <w:rFonts w:hint="eastAsia" w:ascii="黑体" w:eastAsia="黑体"/>
          <w:color w:val="000000"/>
          <w:sz w:val="30"/>
          <w:szCs w:val="30"/>
        </w:rPr>
        <w:t>项目名称：</w:t>
      </w:r>
      <w:r>
        <w:rPr>
          <w:rFonts w:hint="eastAsia" w:ascii="黑体" w:hAnsi="Times New Roman" w:eastAsia="黑体" w:cs="Times New Roman"/>
          <w:color w:val="000000"/>
          <w:sz w:val="30"/>
          <w:szCs w:val="30"/>
        </w:rPr>
        <w:t>自治区第一次全国自然灾害综合风险普查</w:t>
      </w:r>
    </w:p>
    <w:p>
      <w:pPr>
        <w:keepNext w:val="0"/>
        <w:keepLines w:val="0"/>
        <w:pageBreakBefore w:val="0"/>
        <w:widowControl w:val="0"/>
        <w:kinsoku/>
        <w:wordWrap/>
        <w:overflowPunct/>
        <w:topLinePunct w:val="0"/>
        <w:autoSpaceDE/>
        <w:autoSpaceDN/>
        <w:bidi w:val="0"/>
        <w:adjustRightInd/>
        <w:snapToGrid/>
        <w:spacing w:line="360" w:lineRule="auto"/>
        <w:ind w:firstLine="750" w:firstLineChars="250"/>
        <w:jc w:val="left"/>
        <w:textAlignment w:val="auto"/>
        <w:rPr>
          <w:rFonts w:ascii="黑体" w:eastAsia="黑体"/>
          <w:color w:val="000000"/>
          <w:sz w:val="30"/>
          <w:szCs w:val="30"/>
        </w:rPr>
      </w:pPr>
      <w:r>
        <w:rPr>
          <w:rFonts w:hint="eastAsia" w:ascii="黑体" w:hAnsi="Times New Roman" w:eastAsia="黑体" w:cs="Times New Roman"/>
          <w:color w:val="000000"/>
          <w:sz w:val="30"/>
          <w:szCs w:val="30"/>
        </w:rPr>
        <w:t>实施单位：新疆维吾尔自治区应急管理厅</w:t>
      </w:r>
    </w:p>
    <w:p>
      <w:pPr>
        <w:keepNext w:val="0"/>
        <w:keepLines w:val="0"/>
        <w:pageBreakBefore w:val="0"/>
        <w:widowControl w:val="0"/>
        <w:kinsoku/>
        <w:wordWrap/>
        <w:overflowPunct/>
        <w:topLinePunct w:val="0"/>
        <w:autoSpaceDE/>
        <w:autoSpaceDN/>
        <w:bidi w:val="0"/>
        <w:adjustRightInd/>
        <w:snapToGrid/>
        <w:spacing w:line="360" w:lineRule="auto"/>
        <w:ind w:firstLine="750" w:firstLineChars="250"/>
        <w:textAlignment w:val="auto"/>
        <w:rPr>
          <w:rFonts w:hint="eastAsia" w:ascii="黑体" w:hAnsi="Times New Roman" w:eastAsia="黑体" w:cs="Times New Roman"/>
          <w:color w:val="000000"/>
          <w:sz w:val="30"/>
          <w:szCs w:val="30"/>
        </w:rPr>
      </w:pPr>
      <w:r>
        <w:rPr>
          <w:rFonts w:hint="eastAsia" w:ascii="黑体" w:eastAsia="黑体"/>
          <w:color w:val="000000"/>
          <w:sz w:val="30"/>
          <w:szCs w:val="30"/>
        </w:rPr>
        <w:t>主管部门：</w:t>
      </w:r>
      <w:r>
        <w:rPr>
          <w:rFonts w:hint="eastAsia" w:ascii="黑体" w:hAnsi="Times New Roman" w:eastAsia="黑体" w:cs="Times New Roman"/>
          <w:color w:val="000000"/>
          <w:sz w:val="30"/>
          <w:szCs w:val="30"/>
        </w:rPr>
        <w:t>新疆维吾尔自治区应急管理厅</w:t>
      </w:r>
    </w:p>
    <w:p>
      <w:pPr>
        <w:spacing w:line="540" w:lineRule="exact"/>
        <w:ind w:firstLine="750" w:firstLineChars="250"/>
        <w:rPr>
          <w:rFonts w:hint="eastAsia" w:ascii="黑体" w:hAnsi="Times New Roman" w:eastAsia="黑体" w:cs="Times New Roman"/>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titlePg/>
          <w:docGrid w:type="lines" w:linePitch="408" w:charSpace="0"/>
        </w:sectPr>
      </w:pPr>
    </w:p>
    <w:p>
      <w:pPr>
        <w:spacing w:line="240" w:lineRule="atLeast"/>
        <w:ind w:firstLine="720"/>
        <w:jc w:val="center"/>
        <w:rPr>
          <w:rFonts w:hint="eastAsia" w:ascii="黑体" w:hAnsi="黑体" w:eastAsia="黑体" w:cs="黑体"/>
          <w:bCs/>
          <w:sz w:val="36"/>
          <w:szCs w:val="36"/>
        </w:rPr>
      </w:pPr>
      <w:r>
        <w:rPr>
          <w:rFonts w:hint="eastAsia" w:ascii="黑体" w:hAnsi="黑体" w:eastAsia="黑体" w:cs="黑体"/>
          <w:bCs/>
          <w:sz w:val="36"/>
          <w:szCs w:val="36"/>
        </w:rPr>
        <w:t>自治区第一次全国自然灾害综合风险普查项目</w:t>
      </w:r>
    </w:p>
    <w:p>
      <w:pPr>
        <w:spacing w:line="240" w:lineRule="atLeast"/>
        <w:ind w:firstLine="720"/>
        <w:jc w:val="center"/>
        <w:rPr>
          <w:rFonts w:ascii="黑体" w:hAnsi="黑体" w:eastAsia="黑体" w:cs="黑体"/>
          <w:bCs/>
          <w:sz w:val="36"/>
          <w:szCs w:val="36"/>
        </w:rPr>
      </w:pPr>
      <w:r>
        <w:rPr>
          <w:rFonts w:hint="eastAsia" w:ascii="黑体" w:hAnsi="黑体" w:eastAsia="黑体" w:cs="黑体"/>
          <w:bCs/>
          <w:sz w:val="36"/>
          <w:szCs w:val="36"/>
        </w:rPr>
        <w:t>支出绩效</w:t>
      </w:r>
      <w:r>
        <w:rPr>
          <w:rFonts w:hint="eastAsia" w:ascii="黑体" w:hAnsi="黑体" w:eastAsia="黑体" w:cs="黑体"/>
          <w:bCs/>
          <w:sz w:val="36"/>
          <w:szCs w:val="36"/>
          <w:lang w:val="en-US" w:eastAsia="zh-CN"/>
        </w:rPr>
        <w:t>自评</w:t>
      </w:r>
      <w:r>
        <w:rPr>
          <w:rFonts w:hint="eastAsia" w:ascii="黑体" w:hAnsi="黑体" w:eastAsia="黑体" w:cs="黑体"/>
          <w:bCs/>
          <w:sz w:val="36"/>
          <w:szCs w:val="36"/>
        </w:rPr>
        <w:t>报告</w:t>
      </w:r>
    </w:p>
    <w:p>
      <w:pPr>
        <w:pStyle w:val="3"/>
        <w:ind w:firstLine="640"/>
        <w:rPr>
          <w:szCs w:val="32"/>
        </w:rPr>
      </w:pPr>
      <w:r>
        <w:rPr>
          <w:rFonts w:hint="eastAsia"/>
          <w:szCs w:val="32"/>
        </w:rPr>
        <w:t>一、基本情况</w:t>
      </w:r>
    </w:p>
    <w:p>
      <w:pPr>
        <w:pStyle w:val="4"/>
        <w:ind w:firstLine="643"/>
        <w:rPr>
          <w:rFonts w:ascii="楷体_GB2312" w:eastAsia="楷体_GB2312"/>
          <w:szCs w:val="32"/>
        </w:rPr>
      </w:pPr>
      <w:r>
        <w:rPr>
          <w:rFonts w:hint="eastAsia" w:ascii="楷体_GB2312" w:eastAsia="楷体_GB2312"/>
          <w:szCs w:val="32"/>
        </w:rPr>
        <w:t>（一）项目概况</w:t>
      </w:r>
    </w:p>
    <w:p>
      <w:pPr>
        <w:pStyle w:val="5"/>
        <w:ind w:firstLine="643"/>
        <w:rPr>
          <w:sz w:val="32"/>
        </w:rPr>
      </w:pPr>
      <w:r>
        <w:rPr>
          <w:rFonts w:hint="eastAsia"/>
          <w:sz w:val="32"/>
        </w:rPr>
        <w:t>1.项目背景</w:t>
      </w:r>
    </w:p>
    <w:p>
      <w:pPr>
        <w:keepNext w:val="0"/>
        <w:keepLines w:val="0"/>
        <w:pageBreakBefore w:val="0"/>
        <w:widowControl w:val="0"/>
        <w:kinsoku/>
        <w:wordWrap/>
        <w:topLinePunct w:val="0"/>
        <w:bidi w:val="0"/>
        <w:adjustRightInd/>
        <w:snapToGrid/>
        <w:spacing w:line="560" w:lineRule="exact"/>
        <w:ind w:left="0" w:leftChars="0" w:firstLine="640" w:firstLineChars="200"/>
        <w:jc w:val="both"/>
        <w:textAlignment w:val="auto"/>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rPr>
        <w:t>2018年10月，习近平总书记在中央财经委员第三次会议上发表重要讲话，强调指出“针对关键领域和薄弱环节，推动实施灾害风险调查和重点隐患排查等自然灾害防治重点工程。”2020年5月31日，国务院办公厅印发《关于开展第一次全国自然灾害综合风险普查的通知》（国办发〔2020〕12号)，明确部署2020年至2022年在全国范围内开展第一次全国自然灾害综合风险普查工作。</w:t>
      </w:r>
    </w:p>
    <w:p>
      <w:pPr>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w w:val="100"/>
          <w:sz w:val="32"/>
          <w:szCs w:val="32"/>
        </w:rPr>
        <w:t>为认真贯彻落实</w:t>
      </w:r>
      <w:r>
        <w:rPr>
          <w:rFonts w:hint="eastAsia" w:ascii="仿宋_GB2312" w:hAnsi="仿宋_GB2312" w:eastAsia="仿宋_GB2312" w:cs="仿宋_GB2312"/>
          <w:w w:val="100"/>
          <w:sz w:val="32"/>
          <w:szCs w:val="32"/>
          <w:lang w:val="en-US" w:eastAsia="zh-CN"/>
        </w:rPr>
        <w:t>习近平总书记关于提高自然灾害防治能力的重要论述</w:t>
      </w:r>
      <w:r>
        <w:rPr>
          <w:rFonts w:hint="eastAsia" w:ascii="仿宋_GB2312" w:hAnsi="仿宋_GB2312" w:eastAsia="仿宋_GB2312" w:cs="仿宋_GB2312"/>
          <w:color w:val="000000"/>
          <w:w w:val="100"/>
          <w:sz w:val="32"/>
          <w:szCs w:val="32"/>
          <w:u w:val="none"/>
          <w:lang w:val="en-US" w:eastAsia="zh-CN"/>
        </w:rPr>
        <w:t>精神，贯彻落实</w:t>
      </w:r>
      <w:r>
        <w:rPr>
          <w:rFonts w:hint="eastAsia" w:ascii="仿宋_GB2312" w:hAnsi="仿宋_GB2312" w:eastAsia="仿宋_GB2312" w:cs="仿宋_GB2312"/>
          <w:color w:val="000000"/>
          <w:w w:val="100"/>
          <w:sz w:val="32"/>
          <w:szCs w:val="32"/>
          <w:u w:val="none"/>
        </w:rPr>
        <w:t>国务院关于开展自然灾害综合风险普查</w:t>
      </w:r>
      <w:r>
        <w:rPr>
          <w:rFonts w:hint="eastAsia" w:ascii="仿宋_GB2312" w:hAnsi="仿宋_GB2312" w:eastAsia="仿宋_GB2312" w:cs="仿宋_GB2312"/>
          <w:color w:val="000000"/>
          <w:w w:val="100"/>
          <w:sz w:val="32"/>
          <w:szCs w:val="32"/>
          <w:u w:val="none"/>
          <w:lang w:val="en-US" w:eastAsia="zh-CN"/>
        </w:rPr>
        <w:t>的决策部署</w:t>
      </w:r>
      <w:r>
        <w:rPr>
          <w:rFonts w:hint="eastAsia" w:ascii="仿宋_GB2312" w:hAnsi="仿宋_GB2312" w:eastAsia="仿宋_GB2312" w:cs="仿宋_GB2312"/>
          <w:color w:val="000000"/>
          <w:w w:val="100"/>
          <w:sz w:val="32"/>
          <w:szCs w:val="32"/>
          <w:u w:val="none"/>
        </w:rPr>
        <w:t>，</w:t>
      </w:r>
      <w:r>
        <w:rPr>
          <w:rFonts w:hint="eastAsia" w:ascii="仿宋_GB2312" w:hAnsi="仿宋_GB2312" w:eastAsia="仿宋_GB2312" w:cs="仿宋_GB2312"/>
          <w:color w:val="000000"/>
          <w:w w:val="100"/>
          <w:sz w:val="32"/>
          <w:szCs w:val="32"/>
          <w:u w:val="none"/>
          <w:lang w:val="en-US" w:eastAsia="zh-CN"/>
        </w:rPr>
        <w:t>自治</w:t>
      </w:r>
      <w:r>
        <w:rPr>
          <w:rFonts w:hint="eastAsia" w:ascii="仿宋_GB2312" w:hAnsi="仿宋_GB2312" w:eastAsia="仿宋_GB2312" w:cs="仿宋_GB2312"/>
          <w:w w:val="100"/>
          <w:sz w:val="32"/>
          <w:szCs w:val="32"/>
          <w:lang w:val="en-US" w:eastAsia="zh-CN"/>
        </w:rPr>
        <w:t>区党委、自治区人民政府高度重视，</w:t>
      </w:r>
      <w:r>
        <w:rPr>
          <w:rFonts w:hint="eastAsia" w:ascii="仿宋_GB2312" w:hAnsi="仿宋_GB2312" w:eastAsia="仿宋_GB2312" w:cs="仿宋_GB2312"/>
          <w:b w:val="0"/>
          <w:i w:val="0"/>
          <w:caps w:val="0"/>
          <w:spacing w:val="0"/>
          <w:w w:val="100"/>
          <w:sz w:val="32"/>
          <w:szCs w:val="32"/>
          <w:lang w:val="en-US" w:eastAsia="zh-CN"/>
        </w:rPr>
        <w:t>多次召开专题会议进行安排部署，并明确我区自</w:t>
      </w:r>
      <w:r>
        <w:rPr>
          <w:rFonts w:hint="eastAsia" w:ascii="仿宋_GB2312" w:hAnsi="仿宋_GB2312" w:eastAsia="仿宋_GB2312" w:cs="仿宋_GB2312"/>
          <w:color w:val="auto"/>
          <w:kern w:val="2"/>
          <w:sz w:val="32"/>
          <w:szCs w:val="32"/>
          <w:lang w:val="en-US" w:eastAsia="zh-CN" w:bidi="ar-SA"/>
        </w:rPr>
        <w:t>2020年6月至2021年3月完成3个县市试点任务，2021年6月至2022年5月，完成93个县域调查任务，2022年12月底前，由自治区各行业部门完成区、地、县三级评估与区划任务，并汇总形成普查成果</w:t>
      </w:r>
      <w:r>
        <w:rPr>
          <w:rFonts w:hint="eastAsia" w:ascii="仿宋_GB2312" w:hAnsi="仿宋_GB2312" w:eastAsia="仿宋_GB2312" w:cs="仿宋_GB2312"/>
          <w:sz w:val="32"/>
          <w:szCs w:val="32"/>
          <w:lang w:eastAsia="zh-CN"/>
        </w:rPr>
        <w:t>。</w:t>
      </w:r>
    </w:p>
    <w:p>
      <w:pPr>
        <w:ind w:firstLine="640"/>
        <w:rPr>
          <w:rFonts w:hint="eastAsia"/>
          <w:sz w:val="32"/>
        </w:rPr>
      </w:pPr>
      <w:r>
        <w:rPr>
          <w:rFonts w:hint="eastAsia"/>
          <w:sz w:val="32"/>
        </w:rPr>
        <w:t>2.主要内容及实施情况</w:t>
      </w:r>
    </w:p>
    <w:p>
      <w:pPr>
        <w:ind w:firstLine="640"/>
        <w:rPr>
          <w:rFonts w:hint="eastAsia" w:ascii="仿宋_GB2312" w:hAnsi="仿宋_GB2312" w:eastAsia="仿宋_GB2312" w:cs="仿宋_GB2312"/>
          <w:b w:val="0"/>
          <w:i w:val="0"/>
          <w:caps w:val="0"/>
          <w:spacing w:val="0"/>
          <w:w w:val="100"/>
          <w:kern w:val="2"/>
          <w:sz w:val="32"/>
          <w:szCs w:val="32"/>
          <w:lang w:val="en-US" w:eastAsia="zh-CN" w:bidi="ar-SA"/>
        </w:rPr>
      </w:pPr>
      <w:r>
        <w:rPr>
          <w:rFonts w:hint="eastAsia" w:ascii="楷体_GB2312" w:hAnsi="楷体_GB2312" w:eastAsia="楷体_GB2312" w:cs="楷体_GB2312"/>
          <w:b/>
          <w:bCs/>
          <w:color w:val="auto"/>
          <w:spacing w:val="1"/>
          <w:kern w:val="2"/>
          <w:sz w:val="32"/>
          <w:szCs w:val="32"/>
          <w:highlight w:val="none"/>
          <w:lang w:val="en-US" w:eastAsia="zh-CN" w:bidi="ar-SA"/>
        </w:rPr>
        <w:t>（1）</w:t>
      </w:r>
      <w:r>
        <w:rPr>
          <w:rFonts w:hint="default" w:ascii="Times New Roman" w:hAnsi="Times New Roman" w:eastAsia="楷体_GB2312" w:cs="Times New Roman"/>
          <w:b/>
          <w:bCs/>
          <w:kern w:val="0"/>
          <w:sz w:val="32"/>
          <w:szCs w:val="32"/>
          <w:lang w:val="en-US" w:eastAsia="zh-CN" w:bidi="ar"/>
        </w:rPr>
        <w:t>自治区党委政府高位部署推动普查工作</w:t>
      </w:r>
      <w:r>
        <w:rPr>
          <w:rFonts w:hint="eastAsia" w:ascii="楷体_GB2312" w:hAnsi="楷体_GB2312" w:eastAsia="楷体_GB2312" w:cs="楷体_GB2312"/>
          <w:b/>
          <w:bCs/>
          <w:color w:val="auto"/>
          <w:spacing w:val="1"/>
          <w:kern w:val="2"/>
          <w:sz w:val="32"/>
          <w:szCs w:val="32"/>
          <w:highlight w:val="none"/>
          <w:lang w:val="en-US" w:eastAsia="zh-CN" w:bidi="ar-SA"/>
        </w:rPr>
        <w:t>。</w:t>
      </w:r>
      <w:r>
        <w:rPr>
          <w:rFonts w:hint="eastAsia" w:ascii="Times New Roman" w:hAnsi="Times New Roman" w:eastAsia="仿宋_GB2312" w:cs="Times New Roman"/>
          <w:b w:val="0"/>
          <w:i w:val="0"/>
          <w:caps w:val="0"/>
          <w:spacing w:val="0"/>
          <w:w w:val="100"/>
          <w:kern w:val="2"/>
          <w:sz w:val="32"/>
          <w:szCs w:val="32"/>
          <w:lang w:val="en-US" w:eastAsia="zh-CN" w:bidi="ar-SA"/>
        </w:rPr>
        <w:t>2020年5月，国务院办公厅《关于开展第一次全国自然灾害综合风险普查的通知》印发后，自治区党委、政府高度重视，切实加强普查工作组织领导，立即于2020年7月7日召开了自治区普查工作专题会议，印发了工作方案，明确成立由自治区党委、政府分管领导为组长、副组长</w:t>
      </w:r>
      <w:r>
        <w:rPr>
          <w:rFonts w:hint="default" w:ascii="Times New Roman" w:hAnsi="Times New Roman" w:eastAsia="仿宋_GB2312" w:cs="Times New Roman"/>
          <w:b w:val="0"/>
          <w:i w:val="0"/>
          <w:caps w:val="0"/>
          <w:spacing w:val="0"/>
          <w:w w:val="100"/>
          <w:kern w:val="2"/>
          <w:sz w:val="32"/>
          <w:szCs w:val="32"/>
          <w:lang w:val="en-US" w:eastAsia="zh-CN" w:bidi="ar-SA"/>
        </w:rPr>
        <w:t>，</w:t>
      </w:r>
      <w:r>
        <w:rPr>
          <w:rFonts w:hint="eastAsia" w:ascii="Times New Roman" w:hAnsi="Times New Roman" w:eastAsia="仿宋_GB2312" w:cs="Times New Roman"/>
          <w:b w:val="0"/>
          <w:i w:val="0"/>
          <w:caps w:val="0"/>
          <w:spacing w:val="0"/>
          <w:w w:val="100"/>
          <w:kern w:val="2"/>
          <w:sz w:val="32"/>
          <w:szCs w:val="32"/>
          <w:lang w:val="en-US" w:eastAsia="zh-CN" w:bidi="ar-SA"/>
        </w:rPr>
        <w:t>29个相关部门分管领导为成员</w:t>
      </w:r>
      <w:r>
        <w:rPr>
          <w:rFonts w:hint="default" w:ascii="Times New Roman" w:hAnsi="Times New Roman" w:eastAsia="仿宋_GB2312" w:cs="Times New Roman"/>
          <w:b w:val="0"/>
          <w:i w:val="0"/>
          <w:caps w:val="0"/>
          <w:spacing w:val="0"/>
          <w:w w:val="100"/>
          <w:kern w:val="2"/>
          <w:sz w:val="32"/>
          <w:szCs w:val="32"/>
          <w:lang w:val="en-US" w:eastAsia="zh-CN" w:bidi="ar-SA"/>
        </w:rPr>
        <w:t>的</w:t>
      </w:r>
      <w:r>
        <w:rPr>
          <w:rFonts w:hint="eastAsia" w:ascii="Times New Roman" w:hAnsi="Times New Roman" w:eastAsia="仿宋_GB2312" w:cs="Times New Roman"/>
          <w:b w:val="0"/>
          <w:i w:val="0"/>
          <w:caps w:val="0"/>
          <w:spacing w:val="0"/>
          <w:w w:val="100"/>
          <w:kern w:val="2"/>
          <w:sz w:val="32"/>
          <w:szCs w:val="32"/>
          <w:lang w:val="en-US" w:eastAsia="zh-CN" w:bidi="ar-SA"/>
        </w:rPr>
        <w:t>自治区第一次全国自然灾害综合风险普查领导小组。2021年6月22日，国务院召开普查工作电视电话会议后，自治区随即召开普查全面铺开工作部署会，对全区普查试点工作进行了阶段性总结，并对自治区普查全面铺开工作进行了具体部署。2022年3月22日，自治区组织召开</w:t>
      </w:r>
      <w:r>
        <w:rPr>
          <w:rFonts w:hint="default" w:ascii="Times New Roman" w:hAnsi="Times New Roman" w:eastAsia="仿宋_GB2312" w:cs="Times New Roman"/>
          <w:b w:val="0"/>
          <w:i w:val="0"/>
          <w:caps w:val="0"/>
          <w:spacing w:val="0"/>
          <w:w w:val="100"/>
          <w:kern w:val="2"/>
          <w:sz w:val="32"/>
          <w:szCs w:val="32"/>
          <w:lang w:val="en-US" w:eastAsia="zh-CN" w:bidi="ar-SA"/>
        </w:rPr>
        <w:t>推进普查工作电视电话会议</w:t>
      </w:r>
      <w:r>
        <w:rPr>
          <w:rFonts w:hint="eastAsia" w:ascii="Times New Roman" w:hAnsi="Times New Roman" w:eastAsia="仿宋_GB2312" w:cs="Times New Roman"/>
          <w:b w:val="0"/>
          <w:i w:val="0"/>
          <w:caps w:val="0"/>
          <w:spacing w:val="0"/>
          <w:w w:val="100"/>
          <w:kern w:val="2"/>
          <w:sz w:val="32"/>
          <w:szCs w:val="32"/>
          <w:lang w:val="en-US" w:eastAsia="zh-CN" w:bidi="ar-SA"/>
        </w:rPr>
        <w:t>，对我区</w:t>
      </w:r>
      <w:r>
        <w:rPr>
          <w:rFonts w:hint="default" w:ascii="Times New Roman" w:hAnsi="Times New Roman" w:eastAsia="仿宋_GB2312" w:cs="Times New Roman"/>
          <w:b w:val="0"/>
          <w:i w:val="0"/>
          <w:caps w:val="0"/>
          <w:spacing w:val="0"/>
          <w:w w:val="100"/>
          <w:kern w:val="2"/>
          <w:sz w:val="32"/>
          <w:szCs w:val="32"/>
          <w:lang w:val="en-US" w:eastAsia="zh-CN" w:bidi="ar-SA"/>
        </w:rPr>
        <w:t>普查工作进展情况</w:t>
      </w:r>
      <w:r>
        <w:rPr>
          <w:rFonts w:hint="eastAsia" w:ascii="Times New Roman" w:hAnsi="Times New Roman" w:eastAsia="仿宋_GB2312" w:cs="Times New Roman"/>
          <w:b w:val="0"/>
          <w:i w:val="0"/>
          <w:caps w:val="0"/>
          <w:spacing w:val="0"/>
          <w:w w:val="100"/>
          <w:kern w:val="2"/>
          <w:sz w:val="32"/>
          <w:szCs w:val="32"/>
          <w:lang w:val="en-US" w:eastAsia="zh-CN" w:bidi="ar-SA"/>
        </w:rPr>
        <w:t>进行了</w:t>
      </w:r>
      <w:r>
        <w:rPr>
          <w:rFonts w:hint="default" w:ascii="Times New Roman" w:hAnsi="Times New Roman" w:eastAsia="仿宋_GB2312" w:cs="Times New Roman"/>
          <w:b w:val="0"/>
          <w:i w:val="0"/>
          <w:caps w:val="0"/>
          <w:spacing w:val="0"/>
          <w:w w:val="100"/>
          <w:kern w:val="2"/>
          <w:sz w:val="32"/>
          <w:szCs w:val="32"/>
          <w:lang w:val="en-US" w:eastAsia="zh-CN" w:bidi="ar-SA"/>
        </w:rPr>
        <w:t>通报</w:t>
      </w:r>
      <w:r>
        <w:rPr>
          <w:rFonts w:hint="eastAsia" w:ascii="Times New Roman" w:hAnsi="Times New Roman" w:eastAsia="仿宋_GB2312" w:cs="Times New Roman"/>
          <w:b w:val="0"/>
          <w:i w:val="0"/>
          <w:caps w:val="0"/>
          <w:spacing w:val="0"/>
          <w:w w:val="100"/>
          <w:kern w:val="2"/>
          <w:sz w:val="32"/>
          <w:szCs w:val="32"/>
          <w:lang w:val="en-US" w:eastAsia="zh-CN" w:bidi="ar-SA"/>
        </w:rPr>
        <w:t>，从落实各级财政保障、全面完成各类调查任务等六个方面对普查工作进行了再动员再安排再部署。在每年召开的全区防灾减灾救灾、安全生产暨消防安全工作电视电话会议上，普查工作都被纳入年度重点工作。</w:t>
      </w:r>
    </w:p>
    <w:p>
      <w:pPr>
        <w:keepNext w:val="0"/>
        <w:keepLines w:val="0"/>
        <w:pageBreakBefore w:val="0"/>
        <w:widowControl/>
        <w:suppressLineNumbers w:val="0"/>
        <w:kinsoku/>
        <w:wordWrap/>
        <w:overflowPunct w:val="0"/>
        <w:topLinePunct w:val="0"/>
        <w:autoSpaceDE w:val="0"/>
        <w:autoSpaceDN w:val="0"/>
        <w:bidi w:val="0"/>
        <w:adjustRightInd/>
        <w:snapToGrid/>
        <w:spacing w:line="560" w:lineRule="exact"/>
        <w:ind w:left="0" w:leftChars="0" w:firstLine="647" w:firstLineChars="200"/>
        <w:jc w:val="both"/>
        <w:textAlignment w:val="auto"/>
        <w:rPr>
          <w:rFonts w:hint="eastAsia"/>
          <w:lang w:val="en-US" w:eastAsia="zh-CN"/>
        </w:rPr>
      </w:pPr>
      <w:r>
        <w:rPr>
          <w:rFonts w:hint="eastAsia" w:ascii="楷体_GB2312" w:hAnsi="楷体_GB2312" w:eastAsia="楷体_GB2312" w:cs="楷体_GB2312"/>
          <w:b/>
          <w:bCs/>
          <w:color w:val="auto"/>
          <w:spacing w:val="1"/>
          <w:kern w:val="2"/>
          <w:sz w:val="32"/>
          <w:szCs w:val="32"/>
          <w:highlight w:val="none"/>
          <w:lang w:val="en-US" w:eastAsia="zh-CN" w:bidi="ar-SA"/>
        </w:rPr>
        <w:t>（2）切实加强普查工作组织统筹</w:t>
      </w:r>
      <w:r>
        <w:rPr>
          <w:rFonts w:hint="eastAsia" w:ascii="Times New Roman" w:hAnsi="Times New Roman" w:eastAsia="仿宋_GB2312" w:cs="Times New Roman"/>
          <w:b w:val="0"/>
          <w:i w:val="0"/>
          <w:caps w:val="0"/>
          <w:spacing w:val="0"/>
          <w:w w:val="100"/>
          <w:sz w:val="32"/>
          <w:szCs w:val="32"/>
          <w:lang w:val="en-US" w:eastAsia="zh-CN"/>
        </w:rPr>
        <w:t>。</w:t>
      </w:r>
      <w:r>
        <w:rPr>
          <w:rFonts w:hint="eastAsia" w:ascii="仿宋_GB2312" w:hAnsi="仿宋_GB2312" w:eastAsia="仿宋_GB2312" w:cs="仿宋_GB2312"/>
          <w:b w:val="0"/>
          <w:i w:val="0"/>
          <w:caps w:val="0"/>
          <w:spacing w:val="0"/>
          <w:w w:val="100"/>
          <w:sz w:val="32"/>
          <w:szCs w:val="32"/>
          <w:lang w:val="en-US" w:eastAsia="zh-CN"/>
        </w:rPr>
        <w:t>根据自治区普查领导小组安排，全区自上而下建立健全了普查组织体系，所有地州、县市全部成立了普查组织机构，多数地州、县市普查领导小组组长由政府主要领导担任。自治区普查办抽调普查主要成员单位13名工作人员统一在应急管理厅集中办公，普查办内设工作组、技术组，专项负责全区普查的组织统筹和技术把关。普查办成立以来，认真及时传达贯彻落实国务院、自治区领导批示要求，贯彻落实国普办各类会议文件精神</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b w:val="0"/>
          <w:i w:val="0"/>
          <w:caps w:val="0"/>
          <w:spacing w:val="0"/>
          <w:w w:val="100"/>
          <w:kern w:val="2"/>
          <w:sz w:val="32"/>
          <w:szCs w:val="32"/>
          <w:lang w:val="en-US" w:eastAsia="zh-CN" w:bidi="ar-SA"/>
        </w:rPr>
        <w:t>横向与</w:t>
      </w:r>
      <w:r>
        <w:rPr>
          <w:rFonts w:hint="default" w:ascii="仿宋_GB2312" w:hAnsi="仿宋_GB2312" w:eastAsia="仿宋_GB2312" w:cs="仿宋_GB2312"/>
          <w:b w:val="0"/>
          <w:i w:val="0"/>
          <w:caps w:val="0"/>
          <w:spacing w:val="0"/>
          <w:w w:val="100"/>
          <w:kern w:val="2"/>
          <w:sz w:val="32"/>
          <w:szCs w:val="32"/>
          <w:lang w:val="en-US" w:eastAsia="zh-CN" w:bidi="ar-SA"/>
        </w:rPr>
        <w:t>29</w:t>
      </w:r>
      <w:r>
        <w:rPr>
          <w:rFonts w:hint="eastAsia" w:ascii="仿宋_GB2312" w:hAnsi="仿宋_GB2312" w:eastAsia="仿宋_GB2312" w:cs="仿宋_GB2312"/>
          <w:b w:val="0"/>
          <w:i w:val="0"/>
          <w:caps w:val="0"/>
          <w:spacing w:val="0"/>
          <w:w w:val="100"/>
          <w:kern w:val="2"/>
          <w:sz w:val="32"/>
          <w:szCs w:val="32"/>
          <w:lang w:val="en-US" w:eastAsia="zh-CN" w:bidi="ar-SA"/>
        </w:rPr>
        <w:t>个部门建立沟通协调机制，纵向指导各地各部门抓好调查数据质检汇交、评估与区划、成果应用等工作，积极争取经费保障，加大培训宣传力度，不断推进数据共享，</w:t>
      </w:r>
      <w:r>
        <w:rPr>
          <w:rFonts w:hint="eastAsia" w:ascii="仿宋_GB2312" w:hAnsi="仿宋_GB2312" w:eastAsia="仿宋_GB2312" w:cs="仿宋_GB2312"/>
          <w:b w:val="0"/>
          <w:bCs w:val="0"/>
          <w:sz w:val="32"/>
          <w:szCs w:val="32"/>
          <w:lang w:val="en-US" w:eastAsia="zh-CN" w:bidi="ar"/>
        </w:rPr>
        <w:t>先后组织召开各类会议58次，累计印发各类文件通知301份，编发通报简报42期，开展基层调研指导活动15次。</w:t>
      </w:r>
    </w:p>
    <w:p>
      <w:pPr>
        <w:keepNext w:val="0"/>
        <w:keepLines w:val="0"/>
        <w:pageBreakBefore w:val="0"/>
        <w:widowControl w:val="0"/>
        <w:suppressLineNumbers w:val="0"/>
        <w:kinsoku/>
        <w:wordWrap/>
        <w:overflowPunct w:val="0"/>
        <w:topLinePunct w:val="0"/>
        <w:autoSpaceDE w:val="0"/>
        <w:autoSpaceDN w:val="0"/>
        <w:bidi w:val="0"/>
        <w:adjustRightInd/>
        <w:snapToGrid/>
        <w:spacing w:line="560" w:lineRule="exact"/>
        <w:ind w:firstLine="647" w:firstLineChars="200"/>
        <w:jc w:val="both"/>
        <w:textAlignment w:val="auto"/>
        <w:rPr>
          <w:rFonts w:hint="eastAsia" w:ascii="仿宋_GB2312" w:hAnsi="仿宋_GB2312" w:eastAsia="仿宋_GB2312" w:cs="仿宋_GB2312"/>
          <w:b w:val="0"/>
          <w:i w:val="0"/>
          <w:caps w:val="0"/>
          <w:spacing w:val="0"/>
          <w:w w:val="100"/>
          <w:sz w:val="32"/>
          <w:szCs w:val="32"/>
          <w:lang w:val="zh-CN" w:eastAsia="zh-CN"/>
        </w:rPr>
      </w:pPr>
      <w:r>
        <w:rPr>
          <w:rFonts w:hint="eastAsia" w:ascii="楷体" w:hAnsi="楷体" w:eastAsia="楷体" w:cs="楷体"/>
          <w:b/>
          <w:bCs/>
          <w:color w:val="auto"/>
          <w:spacing w:val="1"/>
          <w:kern w:val="2"/>
          <w:sz w:val="32"/>
          <w:szCs w:val="32"/>
          <w:highlight w:val="none"/>
          <w:lang w:val="en-US" w:eastAsia="zh-CN" w:bidi="ar-SA"/>
        </w:rPr>
        <w:t>（3）高标准完成普查调查任务</w:t>
      </w:r>
      <w:r>
        <w:rPr>
          <w:rFonts w:hint="eastAsia" w:ascii="楷体" w:hAnsi="楷体" w:eastAsia="楷体" w:cs="楷体"/>
          <w:b/>
          <w:bCs/>
          <w:color w:val="auto"/>
          <w:sz w:val="32"/>
          <w:szCs w:val="32"/>
          <w:lang w:val="en-US" w:eastAsia="zh-CN"/>
        </w:rPr>
        <w:t>。</w:t>
      </w:r>
      <w:r>
        <w:rPr>
          <w:rFonts w:hint="eastAsia" w:ascii="仿宋_GB2312" w:hAnsi="仿宋_GB2312" w:eastAsia="仿宋_GB2312" w:cs="仿宋_GB2312"/>
          <w:b w:val="0"/>
          <w:i w:val="0"/>
          <w:caps w:val="0"/>
          <w:spacing w:val="0"/>
          <w:w w:val="100"/>
          <w:sz w:val="32"/>
          <w:szCs w:val="32"/>
          <w:lang w:val="en-US" w:eastAsia="zh-CN"/>
        </w:rPr>
        <w:t>全区建立了“普查办组织统筹、行业部门纵向负责、第三方技术指导、基层普查员开展普查”的工作机制，始终</w:t>
      </w:r>
      <w:r>
        <w:rPr>
          <w:rFonts w:hint="default" w:ascii="仿宋_GB2312" w:hAnsi="仿宋_GB2312" w:eastAsia="仿宋_GB2312" w:cs="仿宋_GB2312"/>
          <w:b w:val="0"/>
          <w:i w:val="0"/>
          <w:caps w:val="0"/>
          <w:spacing w:val="0"/>
          <w:w w:val="100"/>
          <w:sz w:val="32"/>
          <w:szCs w:val="32"/>
          <w:lang w:val="en-US" w:eastAsia="zh-CN"/>
        </w:rPr>
        <w:t>把“质量第一”理念贯穿到普查全流程各环节，真正做到数据完整、真实、可信</w:t>
      </w:r>
      <w:r>
        <w:rPr>
          <w:rFonts w:hint="eastAsia" w:ascii="仿宋_GB2312" w:hAnsi="仿宋_GB2312" w:eastAsia="仿宋_GB2312" w:cs="仿宋_GB2312"/>
          <w:b w:val="0"/>
          <w:i w:val="0"/>
          <w:caps w:val="0"/>
          <w:spacing w:val="0"/>
          <w:w w:val="100"/>
          <w:sz w:val="32"/>
          <w:szCs w:val="32"/>
          <w:lang w:val="en-US" w:eastAsia="zh-CN"/>
        </w:rPr>
        <w:t>。如期完成96个县域自然资源、生态环境、交通、水利、应急管理、林草、气象、地震等行业调查和数据质检核查工作，获得5大类16种灾害近1156万条详实空间位置和灾害属性信息。在房屋设施</w:t>
      </w:r>
      <w:r>
        <w:rPr>
          <w:rFonts w:hint="eastAsia" w:ascii="仿宋_GB2312" w:hAnsi="仿宋_GB2312" w:eastAsia="仿宋_GB2312" w:cs="仿宋_GB2312"/>
          <w:b w:val="0"/>
          <w:i w:val="0"/>
          <w:caps w:val="0"/>
          <w:spacing w:val="0"/>
          <w:w w:val="100"/>
          <w:sz w:val="32"/>
          <w:szCs w:val="32"/>
          <w:lang w:val="zh-CN" w:eastAsia="zh-CN"/>
        </w:rPr>
        <w:t>普查任务量大、经费不足的情况下，充分发挥基层组织、</w:t>
      </w:r>
      <w:r>
        <w:rPr>
          <w:rFonts w:hint="eastAsia" w:ascii="仿宋_GB2312" w:hAnsi="仿宋_GB2312" w:eastAsia="仿宋_GB2312" w:cs="仿宋_GB2312"/>
          <w:b w:val="0"/>
          <w:i w:val="0"/>
          <w:caps w:val="0"/>
          <w:spacing w:val="0"/>
          <w:w w:val="100"/>
          <w:sz w:val="32"/>
          <w:szCs w:val="32"/>
          <w:lang w:val="en-US" w:eastAsia="zh-CN"/>
        </w:rPr>
        <w:t>“访惠聚”驻村工作队及</w:t>
      </w:r>
      <w:r>
        <w:rPr>
          <w:rFonts w:hint="eastAsia" w:ascii="仿宋_GB2312" w:hAnsi="仿宋_GB2312" w:eastAsia="仿宋_GB2312" w:cs="仿宋_GB2312"/>
          <w:b w:val="0"/>
          <w:i w:val="0"/>
          <w:caps w:val="0"/>
          <w:spacing w:val="0"/>
          <w:w w:val="100"/>
          <w:sz w:val="32"/>
          <w:szCs w:val="32"/>
          <w:lang w:val="zh-CN" w:eastAsia="zh-CN"/>
        </w:rPr>
        <w:t>返乡大学生等基层力量作用，</w:t>
      </w:r>
      <w:r>
        <w:rPr>
          <w:rFonts w:hint="eastAsia" w:ascii="仿宋_GB2312" w:hAnsi="仿宋_GB2312" w:eastAsia="仿宋_GB2312" w:cs="仿宋_GB2312"/>
          <w:b w:val="0"/>
          <w:i w:val="0"/>
          <w:caps w:val="0"/>
          <w:spacing w:val="0"/>
          <w:w w:val="100"/>
          <w:sz w:val="32"/>
          <w:szCs w:val="32"/>
          <w:lang w:val="en-US" w:eastAsia="zh-CN"/>
        </w:rPr>
        <w:t>采取实操</w:t>
      </w:r>
      <w:r>
        <w:rPr>
          <w:rFonts w:hint="eastAsia" w:ascii="仿宋_GB2312" w:hAnsi="仿宋_GB2312" w:eastAsia="仿宋_GB2312" w:cs="仿宋_GB2312"/>
          <w:b w:val="0"/>
          <w:i w:val="0"/>
          <w:caps w:val="0"/>
          <w:spacing w:val="0"/>
          <w:w w:val="100"/>
          <w:sz w:val="32"/>
          <w:szCs w:val="32"/>
          <w:lang w:val="zh-CN" w:eastAsia="zh-CN"/>
        </w:rPr>
        <w:t>培训</w:t>
      </w:r>
      <w:r>
        <w:rPr>
          <w:rFonts w:hint="eastAsia" w:ascii="仿宋_GB2312" w:hAnsi="仿宋_GB2312" w:eastAsia="仿宋_GB2312" w:cs="仿宋_GB2312"/>
          <w:b w:val="0"/>
          <w:i w:val="0"/>
          <w:caps w:val="0"/>
          <w:spacing w:val="0"/>
          <w:w w:val="100"/>
          <w:sz w:val="32"/>
          <w:szCs w:val="32"/>
          <w:lang w:val="en-US" w:eastAsia="zh-CN"/>
        </w:rPr>
        <w:t>上岗方式，有效解决房屋数据采集力量不足问题，确保如期完成普查任务</w:t>
      </w:r>
      <w:r>
        <w:rPr>
          <w:rFonts w:hint="eastAsia" w:ascii="仿宋_GB2312" w:hAnsi="仿宋_GB2312" w:eastAsia="仿宋_GB2312" w:cs="仿宋_GB2312"/>
          <w:b w:val="0"/>
          <w:i w:val="0"/>
          <w:caps w:val="0"/>
          <w:spacing w:val="0"/>
          <w:w w:val="100"/>
          <w:sz w:val="32"/>
          <w:szCs w:val="32"/>
          <w:lang w:val="zh-CN" w:eastAsia="zh-CN"/>
        </w:rPr>
        <w:t>。</w:t>
      </w:r>
    </w:p>
    <w:p>
      <w:pPr>
        <w:keepNext w:val="0"/>
        <w:keepLines w:val="0"/>
        <w:pageBreakBefore w:val="0"/>
        <w:widowControl w:val="0"/>
        <w:suppressLineNumbers w:val="0"/>
        <w:kinsoku/>
        <w:wordWrap/>
        <w:overflowPunct w:val="0"/>
        <w:topLinePunct w:val="0"/>
        <w:autoSpaceDE w:val="0"/>
        <w:autoSpaceDN w:val="0"/>
        <w:bidi w:val="0"/>
        <w:adjustRightInd/>
        <w:snapToGrid/>
        <w:spacing w:line="560" w:lineRule="exact"/>
        <w:ind w:firstLine="647" w:firstLineChars="200"/>
        <w:jc w:val="both"/>
        <w:textAlignment w:val="auto"/>
        <w:rPr>
          <w:color w:val="FF0000"/>
          <w:sz w:val="32"/>
          <w:szCs w:val="32"/>
        </w:rPr>
      </w:pPr>
      <w:r>
        <w:rPr>
          <w:rFonts w:hint="eastAsia" w:ascii="楷体" w:hAnsi="楷体" w:eastAsia="楷体" w:cs="楷体"/>
          <w:b/>
          <w:bCs/>
          <w:color w:val="auto"/>
          <w:spacing w:val="1"/>
          <w:kern w:val="2"/>
          <w:sz w:val="32"/>
          <w:szCs w:val="32"/>
          <w:highlight w:val="none"/>
          <w:lang w:val="en-US" w:eastAsia="zh-CN" w:bidi="ar-SA"/>
        </w:rPr>
        <w:t>（4）稳步开展评估与区划工作</w:t>
      </w:r>
      <w:r>
        <w:rPr>
          <w:rFonts w:hint="eastAsia" w:ascii="仿宋_GB2312" w:hAnsi="仿宋_GB2312" w:eastAsia="仿宋_GB2312" w:cs="仿宋_GB2312"/>
          <w:b/>
          <w:bCs/>
          <w:color w:val="auto"/>
          <w:spacing w:val="1"/>
          <w:kern w:val="2"/>
          <w:sz w:val="32"/>
          <w:szCs w:val="32"/>
          <w:highlight w:val="none"/>
          <w:lang w:val="en-US" w:eastAsia="zh-CN" w:bidi="ar-SA"/>
        </w:rPr>
        <w:t>。</w:t>
      </w:r>
      <w:r>
        <w:rPr>
          <w:rFonts w:hint="eastAsia" w:ascii="仿宋_GB2312" w:hAnsi="仿宋_GB2312" w:eastAsia="仿宋_GB2312" w:cs="仿宋_GB2312"/>
          <w:b w:val="0"/>
          <w:i w:val="0"/>
          <w:caps w:val="0"/>
          <w:spacing w:val="0"/>
          <w:w w:val="100"/>
          <w:sz w:val="32"/>
          <w:szCs w:val="32"/>
          <w:lang w:val="en-US" w:eastAsia="zh-CN"/>
        </w:rPr>
        <w:t>加强自治区综合评估区划队伍建设，依托区内科研院所和高校本土人才资源，组建覆盖各领域的评估与区划专家库，其中有37人通过国务院普查办专项业务考核。精心组织评估与区划试点工作，印发自治区评估区划工作方案，探索建立沟通协调、数据溯源、成果审核、专家参与等工作机制。组织2535名本土专家参与综合评估与区划指标权重制定工作，形成包含自治区和14个地（州、市）的指标权重报告。积极推动单灾种和综合评估与区划任务落实，自然资源、水利、林草、气象、地震等部门已完成区地县三级单灾种危险性图件成果汇交及审核，正在编制单灾种评估与区划成果1.0版；同时，基于单灾种危险性成果，已编制形成自治区级综合评估与区划系列成果1.0版，正在抓紧开展地县两级综合评估与区划工作。</w:t>
      </w:r>
    </w:p>
    <w:p>
      <w:pPr>
        <w:pStyle w:val="5"/>
        <w:ind w:firstLine="643"/>
        <w:rPr>
          <w:sz w:val="32"/>
        </w:rPr>
      </w:pPr>
      <w:r>
        <w:rPr>
          <w:rFonts w:hint="eastAsia"/>
          <w:sz w:val="32"/>
          <w:lang w:val="en-US" w:eastAsia="zh-CN"/>
        </w:rPr>
        <w:t>3</w:t>
      </w:r>
      <w:r>
        <w:rPr>
          <w:rFonts w:hint="eastAsia"/>
          <w:sz w:val="32"/>
        </w:rPr>
        <w:t>.资金投入和使用情况</w:t>
      </w:r>
    </w:p>
    <w:p>
      <w:pPr>
        <w:ind w:firstLine="640"/>
        <w:rPr>
          <w:sz w:val="32"/>
          <w:szCs w:val="32"/>
        </w:rPr>
      </w:pPr>
      <w:r>
        <w:rPr>
          <w:rFonts w:hint="eastAsia"/>
          <w:sz w:val="32"/>
          <w:szCs w:val="32"/>
        </w:rPr>
        <w:t>（1）</w:t>
      </w:r>
      <w:r>
        <w:rPr>
          <w:rFonts w:hint="eastAsia" w:ascii="仿宋_GB2312" w:hAnsi="仿宋_GB2312" w:eastAsia="仿宋_GB2312" w:cs="仿宋_GB2312"/>
          <w:sz w:val="32"/>
          <w:szCs w:val="32"/>
          <w:highlight w:val="none"/>
          <w:lang w:val="en-US" w:eastAsia="zh-CN"/>
        </w:rPr>
        <w:t>资金投入情况</w:t>
      </w:r>
    </w:p>
    <w:p>
      <w:pPr>
        <w:ind w:firstLine="640"/>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该项目年</w:t>
      </w:r>
      <w:r>
        <w:rPr>
          <w:rFonts w:hint="eastAsia" w:cs="Times New Roman"/>
          <w:sz w:val="32"/>
          <w:szCs w:val="32"/>
          <w:lang w:val="en-US" w:eastAsia="zh-CN"/>
        </w:rPr>
        <w:t>初预算</w:t>
      </w:r>
      <w:r>
        <w:rPr>
          <w:rFonts w:hint="eastAsia" w:ascii="Times New Roman" w:hAnsi="Times New Roman" w:cs="Times New Roman"/>
          <w:sz w:val="32"/>
          <w:szCs w:val="32"/>
          <w:lang w:val="en-US" w:eastAsia="zh-CN"/>
        </w:rPr>
        <w:t>3,293.81万元</w:t>
      </w:r>
      <w:r>
        <w:rPr>
          <w:rFonts w:hint="eastAsia" w:cs="Times New Roman"/>
          <w:sz w:val="32"/>
          <w:szCs w:val="32"/>
          <w:lang w:val="en-US" w:eastAsia="zh-CN"/>
        </w:rPr>
        <w:t>，</w:t>
      </w:r>
      <w:r>
        <w:rPr>
          <w:rFonts w:hint="eastAsia" w:ascii="Times New Roman" w:hAnsi="Times New Roman" w:cs="Times New Roman"/>
          <w:sz w:val="32"/>
          <w:szCs w:val="32"/>
          <w:lang w:val="en-US" w:eastAsia="zh-CN"/>
        </w:rPr>
        <w:t>全年预算数3,293.81万元，实际总投入3,293.81万元，该项目资金已全部落实到位，资金来源为财政资金。</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Times New Roman" w:hAnsi="Times New Roman" w:cs="Times New Roman"/>
          <w:sz w:val="32"/>
          <w:szCs w:val="32"/>
        </w:rPr>
      </w:pPr>
      <w:r>
        <w:rPr>
          <w:rFonts w:hint="eastAsia" w:ascii="仿宋_GB2312" w:hAnsi="仿宋_GB2312" w:eastAsia="仿宋_GB2312" w:cs="仿宋_GB2312"/>
          <w:sz w:val="32"/>
          <w:szCs w:val="32"/>
          <w:highlight w:val="none"/>
          <w:lang w:val="en-US" w:eastAsia="zh-CN"/>
        </w:rPr>
        <w:t>该</w:t>
      </w:r>
      <w:r>
        <w:rPr>
          <w:rFonts w:hint="eastAsia" w:ascii="Times New Roman" w:hAnsi="Times New Roman" w:cs="Times New Roman"/>
          <w:sz w:val="32"/>
          <w:szCs w:val="32"/>
          <w:lang w:val="en-US" w:eastAsia="zh-CN"/>
        </w:rPr>
        <w:t>项目年</w:t>
      </w:r>
      <w:r>
        <w:rPr>
          <w:rFonts w:hint="eastAsia" w:cs="Times New Roman"/>
          <w:sz w:val="32"/>
          <w:szCs w:val="32"/>
          <w:lang w:val="en-US" w:eastAsia="zh-CN"/>
        </w:rPr>
        <w:t>初预算</w:t>
      </w:r>
      <w:r>
        <w:rPr>
          <w:rFonts w:hint="eastAsia" w:ascii="Times New Roman" w:hAnsi="Times New Roman" w:cs="Times New Roman"/>
          <w:sz w:val="32"/>
          <w:szCs w:val="32"/>
          <w:lang w:val="en-US" w:eastAsia="zh-CN"/>
        </w:rPr>
        <w:t>3,293.81万元，全年预算数3,293.81万元,全年执行数</w:t>
      </w:r>
      <w:r>
        <w:rPr>
          <w:rFonts w:hint="eastAsia" w:ascii="Times New Roman" w:hAnsi="Times New Roman" w:cs="Times New Roman"/>
          <w:sz w:val="32"/>
          <w:szCs w:val="32"/>
        </w:rPr>
        <w:t>2</w:t>
      </w:r>
      <w:r>
        <w:rPr>
          <w:rFonts w:hint="eastAsia" w:ascii="Times New Roman" w:hAnsi="Times New Roman" w:cs="Times New Roman"/>
          <w:sz w:val="32"/>
          <w:szCs w:val="32"/>
          <w:lang w:val="en-US" w:eastAsia="zh-CN"/>
        </w:rPr>
        <w:t>,</w:t>
      </w:r>
      <w:r>
        <w:rPr>
          <w:rFonts w:hint="eastAsia" w:ascii="Times New Roman" w:hAnsi="Times New Roman" w:cs="Times New Roman"/>
          <w:sz w:val="32"/>
          <w:szCs w:val="32"/>
        </w:rPr>
        <w:t>302.27</w:t>
      </w:r>
      <w:r>
        <w:rPr>
          <w:rFonts w:hint="eastAsia" w:ascii="Times New Roman" w:hAnsi="Times New Roman" w:cs="Times New Roman"/>
          <w:sz w:val="32"/>
          <w:szCs w:val="32"/>
          <w:lang w:val="en-US" w:eastAsia="zh-CN"/>
        </w:rPr>
        <w:t>万元，预算执行率为</w:t>
      </w:r>
      <w:r>
        <w:rPr>
          <w:rFonts w:hint="eastAsia" w:ascii="Times New Roman" w:hAnsi="Times New Roman" w:cs="Times New Roman"/>
          <w:sz w:val="32"/>
          <w:szCs w:val="32"/>
        </w:rPr>
        <w:t>69.9</w:t>
      </w:r>
      <w:r>
        <w:rPr>
          <w:rFonts w:hint="eastAsia" w:ascii="Times New Roman" w:hAnsi="Times New Roman" w:cs="Times New Roman"/>
          <w:sz w:val="32"/>
          <w:szCs w:val="32"/>
          <w:lang w:val="en-US" w:eastAsia="zh-CN"/>
        </w:rPr>
        <w:t>0</w:t>
      </w:r>
      <w:r>
        <w:rPr>
          <w:rFonts w:hint="eastAsia" w:ascii="Times New Roman" w:hAnsi="Times New Roman" w:cs="Times New Roman"/>
          <w:sz w:val="32"/>
          <w:szCs w:val="32"/>
        </w:rPr>
        <w:t>%</w:t>
      </w:r>
      <w:r>
        <w:rPr>
          <w:rFonts w:hint="eastAsia" w:ascii="Times New Roman" w:hAnsi="Times New Roman" w:cs="Times New Roman"/>
          <w:sz w:val="32"/>
          <w:szCs w:val="32"/>
          <w:lang w:val="en-US" w:eastAsia="zh-CN"/>
        </w:rPr>
        <w:t>，主要用于</w:t>
      </w:r>
      <w:r>
        <w:rPr>
          <w:rFonts w:hint="eastAsia"/>
          <w:sz w:val="32"/>
          <w:szCs w:val="32"/>
          <w:highlight w:val="none"/>
          <w:lang w:val="en-US" w:eastAsia="zh-CN"/>
        </w:rPr>
        <w:t>委托业务</w:t>
      </w:r>
      <w:r>
        <w:rPr>
          <w:rFonts w:hint="eastAsia"/>
          <w:sz w:val="32"/>
          <w:szCs w:val="32"/>
          <w:highlight w:val="none"/>
        </w:rPr>
        <w:t>费用</w:t>
      </w:r>
      <w:r>
        <w:rPr>
          <w:rFonts w:hint="eastAsia" w:ascii="Times New Roman" w:hAnsi="Times New Roman" w:cs="Times New Roman"/>
          <w:sz w:val="32"/>
          <w:szCs w:val="32"/>
          <w:lang w:val="en-US" w:eastAsia="zh-CN"/>
        </w:rPr>
        <w:t>。</w:t>
      </w:r>
    </w:p>
    <w:p>
      <w:pPr>
        <w:pStyle w:val="4"/>
        <w:numPr>
          <w:ilvl w:val="0"/>
          <w:numId w:val="2"/>
        </w:numPr>
        <w:ind w:firstLine="643"/>
        <w:rPr>
          <w:rFonts w:ascii="楷体_GB2312" w:eastAsia="楷体_GB2312"/>
          <w:szCs w:val="32"/>
        </w:rPr>
      </w:pPr>
      <w:r>
        <w:rPr>
          <w:rFonts w:hint="eastAsia" w:ascii="楷体_GB2312" w:eastAsia="楷体_GB2312"/>
          <w:szCs w:val="32"/>
        </w:rPr>
        <w:t>项目绩效目标</w:t>
      </w:r>
    </w:p>
    <w:p>
      <w:pPr>
        <w:pStyle w:val="5"/>
        <w:ind w:firstLine="643"/>
        <w:rPr>
          <w:sz w:val="32"/>
        </w:rPr>
      </w:pPr>
      <w:r>
        <w:rPr>
          <w:rFonts w:hint="eastAsia"/>
          <w:sz w:val="32"/>
        </w:rPr>
        <w:t>1.总体目标</w:t>
      </w:r>
    </w:p>
    <w:p>
      <w:pPr>
        <w:pStyle w:val="5"/>
        <w:ind w:firstLine="643"/>
        <w:rPr>
          <w:rFonts w:hint="eastAsia"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完成96个县域自然资源、生态环境、交通、水利、应急管理、林草、气象、地震等行业调查和数据质检核查工作，获得</w:t>
      </w:r>
      <w:r>
        <w:rPr>
          <w:rFonts w:hint="eastAsia" w:cs="仿宋_GB2312"/>
          <w:b w:val="0"/>
          <w:i w:val="0"/>
          <w:caps w:val="0"/>
          <w:spacing w:val="0"/>
          <w:w w:val="100"/>
          <w:sz w:val="32"/>
          <w:szCs w:val="32"/>
          <w:lang w:val="en-US" w:eastAsia="zh-CN"/>
        </w:rPr>
        <w:t>各类各种</w:t>
      </w:r>
      <w:r>
        <w:rPr>
          <w:rFonts w:hint="eastAsia" w:ascii="仿宋_GB2312" w:hAnsi="仿宋_GB2312" w:eastAsia="仿宋_GB2312" w:cs="仿宋_GB2312"/>
          <w:b w:val="0"/>
          <w:i w:val="0"/>
          <w:caps w:val="0"/>
          <w:spacing w:val="0"/>
          <w:w w:val="100"/>
          <w:sz w:val="32"/>
          <w:szCs w:val="32"/>
          <w:lang w:val="en-US" w:eastAsia="zh-CN"/>
        </w:rPr>
        <w:t>灾害详实空间位置和灾害属性信息</w:t>
      </w:r>
      <w:r>
        <w:rPr>
          <w:rFonts w:hint="eastAsia" w:cs="仿宋_GB2312"/>
          <w:b w:val="0"/>
          <w:i w:val="0"/>
          <w:caps w:val="0"/>
          <w:spacing w:val="0"/>
          <w:w w:val="100"/>
          <w:sz w:val="32"/>
          <w:szCs w:val="32"/>
          <w:lang w:val="en-US" w:eastAsia="zh-CN"/>
        </w:rPr>
        <w:t>。</w:t>
      </w:r>
    </w:p>
    <w:p>
      <w:pPr>
        <w:pStyle w:val="5"/>
        <w:ind w:firstLine="643"/>
        <w:rPr>
          <w:sz w:val="32"/>
        </w:rPr>
      </w:pPr>
      <w:r>
        <w:rPr>
          <w:rFonts w:hint="eastAsia"/>
          <w:sz w:val="32"/>
        </w:rPr>
        <w:t>2.阶段性目标</w:t>
      </w:r>
    </w:p>
    <w:p>
      <w:pPr>
        <w:ind w:firstLine="640"/>
        <w:rPr>
          <w:rFonts w:hint="eastAsia" w:hAnsi="Arial" w:cs="宋体"/>
          <w:bCs/>
          <w:color w:val="000000"/>
          <w:sz w:val="32"/>
          <w:szCs w:val="32"/>
        </w:rPr>
      </w:pPr>
      <w:r>
        <w:rPr>
          <w:rFonts w:hint="eastAsia" w:hAnsi="Arial" w:cs="宋体"/>
          <w:bCs/>
          <w:color w:val="000000"/>
          <w:sz w:val="32"/>
          <w:szCs w:val="32"/>
        </w:rPr>
        <w:t>根据《预算法》</w:t>
      </w:r>
      <w:r>
        <w:rPr>
          <w:rFonts w:hint="eastAsia" w:hAnsi="Arial" w:cs="宋体"/>
          <w:bCs/>
          <w:color w:val="000000"/>
          <w:sz w:val="32"/>
          <w:szCs w:val="32"/>
          <w:lang w:eastAsia="zh-CN"/>
        </w:rPr>
        <w:t>、</w:t>
      </w:r>
      <w:r>
        <w:rPr>
          <w:rFonts w:hint="eastAsia" w:hAnsi="Arial" w:cs="宋体"/>
          <w:bCs/>
          <w:color w:val="000000"/>
          <w:sz w:val="32"/>
          <w:szCs w:val="32"/>
        </w:rPr>
        <w:t>《财政支出绩效评价管理暂行办法》（财预〔2020〕10号）、《中共中央国务院关于全面实施预算绩效管理的意见》（中发〔2018〕34号）、《自治区党委自治区人民政府关于全面实施预算绩效管理的实施意见》（新党发〔2018〕30号）结合项目实施单位的规章制度以及财务相关资料，评价小组对项目</w:t>
      </w:r>
      <w:r>
        <w:rPr>
          <w:rFonts w:hint="eastAsia" w:hAnsi="Arial" w:cs="宋体"/>
          <w:bCs/>
          <w:color w:val="000000"/>
          <w:sz w:val="32"/>
          <w:szCs w:val="32"/>
          <w:lang w:val="en-US" w:eastAsia="zh-CN"/>
        </w:rPr>
        <w:t>阶段目标</w:t>
      </w:r>
      <w:r>
        <w:rPr>
          <w:rFonts w:hint="eastAsia" w:hAnsi="Arial" w:cs="宋体"/>
          <w:bCs/>
          <w:color w:val="000000"/>
          <w:sz w:val="32"/>
          <w:szCs w:val="32"/>
        </w:rPr>
        <w:t>进行了进一步的完善，完善后</w:t>
      </w:r>
      <w:r>
        <w:rPr>
          <w:rFonts w:hint="eastAsia" w:hAnsi="Arial" w:cs="宋体"/>
          <w:bCs/>
          <w:color w:val="000000"/>
          <w:sz w:val="32"/>
          <w:szCs w:val="32"/>
          <w:lang w:val="en-US" w:eastAsia="zh-CN"/>
        </w:rPr>
        <w:t>主要</w:t>
      </w:r>
      <w:r>
        <w:rPr>
          <w:rFonts w:hint="eastAsia" w:hAnsi="Arial" w:cs="宋体"/>
          <w:bCs/>
          <w:color w:val="000000"/>
          <w:sz w:val="32"/>
          <w:szCs w:val="32"/>
        </w:rPr>
        <w:t>目标如下：</w:t>
      </w:r>
    </w:p>
    <w:p>
      <w:pPr>
        <w:pStyle w:val="5"/>
        <w:ind w:firstLine="643"/>
        <w:rPr>
          <w:rFonts w:hint="eastAsia" w:ascii="仿宋_GB2312" w:hAnsi="仿宋_GB2312" w:eastAsia="仿宋_GB2312" w:cs="仿宋_GB2312"/>
          <w:b w:val="0"/>
          <w:i w:val="0"/>
          <w:caps w:val="0"/>
          <w:spacing w:val="0"/>
          <w:w w:val="100"/>
          <w:sz w:val="32"/>
          <w:szCs w:val="32"/>
          <w:lang w:val="en-US" w:eastAsia="zh-CN"/>
        </w:rPr>
      </w:pPr>
      <w:r>
        <w:rPr>
          <w:rFonts w:hint="eastAsia" w:cs="仿宋_GB2312"/>
          <w:b w:val="0"/>
          <w:i w:val="0"/>
          <w:caps w:val="0"/>
          <w:spacing w:val="0"/>
          <w:w w:val="100"/>
          <w:sz w:val="32"/>
          <w:szCs w:val="32"/>
          <w:lang w:val="en-US" w:eastAsia="zh-CN"/>
        </w:rPr>
        <w:t>（1）</w:t>
      </w:r>
      <w:r>
        <w:rPr>
          <w:rFonts w:hint="eastAsia" w:ascii="仿宋_GB2312" w:hAnsi="仿宋_GB2312" w:eastAsia="仿宋_GB2312" w:cs="仿宋_GB2312"/>
          <w:b w:val="0"/>
          <w:i w:val="0"/>
          <w:caps w:val="0"/>
          <w:spacing w:val="0"/>
          <w:w w:val="100"/>
          <w:sz w:val="32"/>
          <w:szCs w:val="32"/>
          <w:lang w:val="en-US" w:eastAsia="zh-CN"/>
        </w:rPr>
        <w:t>建立健全普查体系；</w:t>
      </w:r>
    </w:p>
    <w:p>
      <w:pPr>
        <w:pStyle w:val="5"/>
        <w:ind w:firstLine="643"/>
        <w:rPr>
          <w:rFonts w:hint="default" w:cs="仿宋_GB2312"/>
          <w:b w:val="0"/>
          <w:i w:val="0"/>
          <w:caps w:val="0"/>
          <w:spacing w:val="0"/>
          <w:w w:val="100"/>
          <w:sz w:val="32"/>
          <w:szCs w:val="32"/>
          <w:lang w:val="en-US" w:eastAsia="zh-CN"/>
        </w:rPr>
      </w:pPr>
      <w:r>
        <w:rPr>
          <w:rFonts w:hint="eastAsia" w:cs="仿宋_GB2312"/>
          <w:b w:val="0"/>
          <w:i w:val="0"/>
          <w:caps w:val="0"/>
          <w:spacing w:val="0"/>
          <w:w w:val="100"/>
          <w:sz w:val="32"/>
          <w:szCs w:val="32"/>
          <w:lang w:val="en-US" w:eastAsia="zh-CN"/>
        </w:rPr>
        <w:t>（2）基本完成全国普查的调查任务；</w:t>
      </w:r>
    </w:p>
    <w:p>
      <w:pPr>
        <w:pStyle w:val="5"/>
        <w:ind w:firstLine="643"/>
        <w:rPr>
          <w:rFonts w:hint="default" w:ascii="仿宋_GB2312" w:hAnsi="仿宋_GB2312" w:eastAsia="仿宋_GB2312" w:cs="仿宋_GB2312"/>
          <w:b w:val="0"/>
          <w:i w:val="0"/>
          <w:caps w:val="0"/>
          <w:spacing w:val="0"/>
          <w:w w:val="100"/>
          <w:sz w:val="32"/>
          <w:szCs w:val="32"/>
          <w:lang w:val="en-US" w:eastAsia="zh-CN"/>
        </w:rPr>
      </w:pPr>
      <w:r>
        <w:rPr>
          <w:rFonts w:hint="eastAsia" w:cs="仿宋_GB2312"/>
          <w:b w:val="0"/>
          <w:i w:val="0"/>
          <w:caps w:val="0"/>
          <w:spacing w:val="0"/>
          <w:w w:val="100"/>
          <w:sz w:val="32"/>
          <w:szCs w:val="32"/>
          <w:lang w:val="en-US" w:eastAsia="zh-CN"/>
        </w:rPr>
        <w:t>（3）</w:t>
      </w:r>
      <w:r>
        <w:rPr>
          <w:rFonts w:hint="eastAsia" w:ascii="仿宋_GB2312" w:hAnsi="仿宋_GB2312" w:eastAsia="仿宋_GB2312" w:cs="仿宋_GB2312"/>
          <w:b w:val="0"/>
          <w:i w:val="0"/>
          <w:caps w:val="0"/>
          <w:spacing w:val="0"/>
          <w:w w:val="100"/>
          <w:sz w:val="32"/>
          <w:szCs w:val="32"/>
          <w:lang w:val="en-US" w:eastAsia="zh-CN"/>
        </w:rPr>
        <w:t>形成灾害风险调查数据集；</w:t>
      </w:r>
    </w:p>
    <w:p>
      <w:pPr>
        <w:pStyle w:val="5"/>
        <w:ind w:firstLine="643"/>
        <w:rPr>
          <w:rFonts w:hint="default"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w:t>
      </w:r>
      <w:r>
        <w:rPr>
          <w:rFonts w:hint="eastAsia" w:cs="仿宋_GB2312"/>
          <w:b w:val="0"/>
          <w:i w:val="0"/>
          <w:caps w:val="0"/>
          <w:spacing w:val="0"/>
          <w:w w:val="100"/>
          <w:sz w:val="32"/>
          <w:szCs w:val="32"/>
          <w:lang w:val="en-US" w:eastAsia="zh-CN"/>
        </w:rPr>
        <w:t>4</w:t>
      </w:r>
      <w:r>
        <w:rPr>
          <w:rFonts w:hint="eastAsia" w:ascii="仿宋_GB2312" w:hAnsi="仿宋_GB2312" w:eastAsia="仿宋_GB2312" w:cs="仿宋_GB2312"/>
          <w:b w:val="0"/>
          <w:i w:val="0"/>
          <w:caps w:val="0"/>
          <w:spacing w:val="0"/>
          <w:w w:val="100"/>
          <w:sz w:val="32"/>
          <w:szCs w:val="32"/>
          <w:lang w:val="en-US" w:eastAsia="zh-CN"/>
        </w:rPr>
        <w:t>）完成自治区评估与区划任务；</w:t>
      </w:r>
    </w:p>
    <w:p>
      <w:pPr>
        <w:pStyle w:val="5"/>
        <w:ind w:firstLine="643"/>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w:t>
      </w:r>
      <w:r>
        <w:rPr>
          <w:rFonts w:hint="eastAsia" w:cs="仿宋_GB2312"/>
          <w:b w:val="0"/>
          <w:i w:val="0"/>
          <w:caps w:val="0"/>
          <w:spacing w:val="0"/>
          <w:w w:val="100"/>
          <w:sz w:val="32"/>
          <w:szCs w:val="32"/>
          <w:lang w:val="en-US" w:eastAsia="zh-CN"/>
        </w:rPr>
        <w:t>5</w:t>
      </w:r>
      <w:r>
        <w:rPr>
          <w:rFonts w:hint="eastAsia" w:ascii="仿宋_GB2312" w:hAnsi="仿宋_GB2312" w:eastAsia="仿宋_GB2312" w:cs="仿宋_GB2312"/>
          <w:b w:val="0"/>
          <w:i w:val="0"/>
          <w:caps w:val="0"/>
          <w:spacing w:val="0"/>
          <w:w w:val="100"/>
          <w:sz w:val="32"/>
          <w:szCs w:val="32"/>
          <w:lang w:val="en-US" w:eastAsia="zh-CN"/>
        </w:rPr>
        <w:t>）初步建成自然灾害综合风险基础数据库</w:t>
      </w:r>
      <w:r>
        <w:rPr>
          <w:rFonts w:hint="eastAsia" w:cs="仿宋_GB2312"/>
          <w:b w:val="0"/>
          <w:i w:val="0"/>
          <w:caps w:val="0"/>
          <w:spacing w:val="0"/>
          <w:w w:val="100"/>
          <w:sz w:val="32"/>
          <w:szCs w:val="32"/>
          <w:lang w:val="en-US" w:eastAsia="zh-CN"/>
        </w:rPr>
        <w:t>；</w:t>
      </w:r>
    </w:p>
    <w:p>
      <w:pPr>
        <w:pStyle w:val="5"/>
        <w:ind w:firstLine="643"/>
        <w:rPr>
          <w:rFonts w:hint="default"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w:t>
      </w:r>
      <w:r>
        <w:rPr>
          <w:rFonts w:hint="eastAsia" w:cs="仿宋_GB2312"/>
          <w:b w:val="0"/>
          <w:i w:val="0"/>
          <w:caps w:val="0"/>
          <w:spacing w:val="0"/>
          <w:w w:val="100"/>
          <w:sz w:val="32"/>
          <w:szCs w:val="32"/>
          <w:lang w:val="en-US" w:eastAsia="zh-CN"/>
        </w:rPr>
        <w:t>6</w:t>
      </w:r>
      <w:r>
        <w:rPr>
          <w:rFonts w:hint="eastAsia" w:ascii="仿宋_GB2312" w:hAnsi="仿宋_GB2312" w:eastAsia="仿宋_GB2312" w:cs="仿宋_GB2312"/>
          <w:b w:val="0"/>
          <w:i w:val="0"/>
          <w:caps w:val="0"/>
          <w:spacing w:val="0"/>
          <w:w w:val="100"/>
          <w:sz w:val="32"/>
          <w:szCs w:val="32"/>
          <w:lang w:val="en-US" w:eastAsia="zh-CN"/>
        </w:rPr>
        <w:t>）加强普查培训学习。</w:t>
      </w:r>
    </w:p>
    <w:p>
      <w:pPr>
        <w:pStyle w:val="3"/>
        <w:ind w:firstLine="640"/>
        <w:rPr>
          <w:szCs w:val="32"/>
        </w:rPr>
      </w:pPr>
      <w:r>
        <w:rPr>
          <w:rFonts w:hint="eastAsia"/>
          <w:szCs w:val="32"/>
        </w:rPr>
        <w:t>二、</w:t>
      </w:r>
      <w:r>
        <w:rPr>
          <w:rFonts w:hint="eastAsia"/>
          <w:szCs w:val="32"/>
          <w:lang w:val="en-US" w:eastAsia="zh-CN"/>
        </w:rPr>
        <w:t>调查数据采集</w:t>
      </w:r>
      <w:r>
        <w:rPr>
          <w:rFonts w:hint="eastAsia"/>
          <w:szCs w:val="32"/>
        </w:rPr>
        <w:t>评价工作开展情况</w:t>
      </w:r>
    </w:p>
    <w:p>
      <w:pPr>
        <w:pStyle w:val="4"/>
        <w:numPr>
          <w:ilvl w:val="0"/>
          <w:numId w:val="3"/>
        </w:numPr>
        <w:ind w:firstLine="643"/>
        <w:rPr>
          <w:rFonts w:ascii="楷体_GB2312" w:eastAsia="楷体_GB2312"/>
          <w:szCs w:val="32"/>
        </w:rPr>
      </w:pPr>
      <w:bookmarkStart w:id="0" w:name="_Toc12868"/>
      <w:bookmarkStart w:id="1" w:name="_Toc22922"/>
      <w:bookmarkStart w:id="2" w:name="_Toc26632"/>
      <w:bookmarkStart w:id="3" w:name="_Toc21664"/>
      <w:bookmarkStart w:id="4" w:name="_Toc480473081"/>
      <w:bookmarkStart w:id="5" w:name="_Toc22169_WPSOffice_Level2"/>
      <w:bookmarkStart w:id="6" w:name="_Toc5258"/>
      <w:bookmarkStart w:id="7" w:name="_Toc5462343"/>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pPr>
        <w:pStyle w:val="5"/>
        <w:ind w:firstLine="643"/>
        <w:rPr>
          <w:sz w:val="32"/>
        </w:rPr>
      </w:pPr>
      <w:r>
        <w:rPr>
          <w:rFonts w:hint="eastAsia"/>
          <w:sz w:val="32"/>
        </w:rPr>
        <w:t>1.</w:t>
      </w:r>
      <w:r>
        <w:rPr>
          <w:rFonts w:hint="eastAsia" w:hAnsi="楷体" w:cs="楷体"/>
          <w:sz w:val="32"/>
        </w:rPr>
        <w:t>绩效评价的目的</w:t>
      </w:r>
    </w:p>
    <w:p>
      <w:pPr>
        <w:spacing w:line="600" w:lineRule="exact"/>
        <w:ind w:firstLine="640"/>
        <w:rPr>
          <w:sz w:val="32"/>
          <w:szCs w:val="32"/>
        </w:rPr>
      </w:pPr>
      <w:r>
        <w:rPr>
          <w:rFonts w:hint="eastAsia"/>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643"/>
        <w:rPr>
          <w:sz w:val="32"/>
        </w:rPr>
      </w:pPr>
      <w:r>
        <w:rPr>
          <w:rFonts w:hint="eastAsia"/>
          <w:sz w:val="32"/>
        </w:rPr>
        <w:t>2.绩效评价的对象和范围</w:t>
      </w:r>
    </w:p>
    <w:p>
      <w:pPr>
        <w:ind w:firstLine="640"/>
        <w:rPr>
          <w:sz w:val="32"/>
          <w:szCs w:val="32"/>
        </w:rPr>
      </w:pPr>
      <w:r>
        <w:rPr>
          <w:rFonts w:hint="eastAsia"/>
          <w:sz w:val="32"/>
          <w:szCs w:val="32"/>
        </w:rPr>
        <w:t>此次我单位根据《财政支出绩效评价管理暂行办法》（财预〔2020〕10号）文件要求对202</w:t>
      </w:r>
      <w:r>
        <w:rPr>
          <w:rFonts w:hint="eastAsia"/>
          <w:sz w:val="32"/>
          <w:szCs w:val="32"/>
          <w:lang w:val="en-US" w:eastAsia="zh-CN"/>
        </w:rPr>
        <w:t>2</w:t>
      </w:r>
      <w:r>
        <w:rPr>
          <w:rFonts w:hint="eastAsia"/>
          <w:sz w:val="32"/>
          <w:szCs w:val="32"/>
        </w:rPr>
        <w:t>年度我单位实施的</w:t>
      </w:r>
      <w:r>
        <w:rPr>
          <w:rFonts w:hint="eastAsia" w:ascii="Times New Roman" w:hAnsi="Times New Roman" w:cs="Times New Roman"/>
          <w:sz w:val="32"/>
          <w:szCs w:val="32"/>
        </w:rPr>
        <w:t>自治区第一次全国自然灾害综合风险普查项目</w:t>
      </w:r>
      <w:r>
        <w:rPr>
          <w:rFonts w:hint="eastAsia"/>
          <w:sz w:val="32"/>
          <w:szCs w:val="32"/>
        </w:rPr>
        <w:t>开展部门绩效评价，本次绩效评价主要围绕项目</w:t>
      </w:r>
      <w:r>
        <w:rPr>
          <w:sz w:val="32"/>
          <w:szCs w:val="32"/>
        </w:rPr>
        <w:t>资金使用情况、财务管理状况和资产配置、使用、处置及其收益管理情况</w:t>
      </w:r>
      <w:r>
        <w:rPr>
          <w:rFonts w:hint="eastAsia"/>
          <w:sz w:val="32"/>
          <w:szCs w:val="32"/>
        </w:rPr>
        <w:t>；项目管理</w:t>
      </w:r>
      <w:r>
        <w:rPr>
          <w:sz w:val="32"/>
          <w:szCs w:val="32"/>
        </w:rPr>
        <w:t>相关制度</w:t>
      </w:r>
      <w:r>
        <w:rPr>
          <w:rFonts w:hint="eastAsia"/>
          <w:sz w:val="32"/>
          <w:szCs w:val="32"/>
        </w:rPr>
        <w:t>及</w:t>
      </w:r>
      <w:r>
        <w:rPr>
          <w:sz w:val="32"/>
          <w:szCs w:val="32"/>
        </w:rPr>
        <w:t>措施</w:t>
      </w:r>
      <w:r>
        <w:rPr>
          <w:rFonts w:hint="eastAsia"/>
          <w:sz w:val="32"/>
          <w:szCs w:val="32"/>
        </w:rPr>
        <w:t>是否被认真执行</w:t>
      </w:r>
      <w:r>
        <w:rPr>
          <w:sz w:val="32"/>
          <w:szCs w:val="32"/>
        </w:rPr>
        <w:t>；绩效目标的实现程度，包括是否达到预定产出和效果等</w:t>
      </w:r>
      <w:r>
        <w:rPr>
          <w:rFonts w:hint="eastAsia"/>
          <w:sz w:val="32"/>
          <w:szCs w:val="32"/>
        </w:rPr>
        <w:t>方面进行部门绩效评价。</w:t>
      </w:r>
    </w:p>
    <w:p>
      <w:pPr>
        <w:pStyle w:val="4"/>
        <w:numPr>
          <w:ilvl w:val="0"/>
          <w:numId w:val="3"/>
        </w:numPr>
        <w:ind w:firstLine="643"/>
        <w:rPr>
          <w:rFonts w:ascii="楷体_GB2312" w:eastAsia="楷体_GB2312"/>
          <w:szCs w:val="32"/>
        </w:rPr>
      </w:pPr>
      <w:r>
        <w:rPr>
          <w:rFonts w:hint="eastAsia" w:ascii="楷体_GB2312" w:eastAsia="楷体_GB2312"/>
          <w:szCs w:val="32"/>
        </w:rPr>
        <w:t>评价工作简述</w:t>
      </w:r>
    </w:p>
    <w:p>
      <w:pPr>
        <w:pStyle w:val="5"/>
        <w:ind w:firstLine="643"/>
        <w:rPr>
          <w:sz w:val="32"/>
        </w:rPr>
      </w:pPr>
      <w:r>
        <w:rPr>
          <w:rFonts w:hint="eastAsia"/>
          <w:sz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预算法》、《财政支出绩效评价管理暂行办法》（财预〔2020〕10号）、《中共中央国务院关于全面实施预算绩效管理的意见》（中发〔2018〕34号）、《自治区党委自治区人民政府关于全面实施预算绩效管理的实施意见》（新党发〔2018〕30号）</w:t>
      </w:r>
      <w:r>
        <w:rPr>
          <w:rFonts w:hint="eastAsia"/>
          <w:sz w:val="32"/>
          <w:szCs w:val="32"/>
        </w:rPr>
        <w:t>等要求，本次绩效评价秉承科学规范、公正公开、分级分类、绩效相关等原则，按照从投入、过程到产出效果和影响的绩效逻辑路径，结合</w:t>
      </w:r>
      <w:r>
        <w:rPr>
          <w:rFonts w:hint="eastAsia" w:ascii="Times New Roman" w:hAnsi="Times New Roman" w:cs="Times New Roman"/>
          <w:sz w:val="32"/>
          <w:szCs w:val="32"/>
        </w:rPr>
        <w:t>自治区第一次全国自然灾害综合风险普查项目</w:t>
      </w:r>
      <w:r>
        <w:rPr>
          <w:rFonts w:hint="eastAsia"/>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根据以上原则，绩效评价应遵循如下要求：</w:t>
      </w:r>
    </w:p>
    <w:p>
      <w:pPr>
        <w:spacing w:line="600" w:lineRule="exact"/>
        <w:ind w:firstLine="640"/>
        <w:rPr>
          <w:sz w:val="32"/>
          <w:szCs w:val="32"/>
        </w:rPr>
      </w:pPr>
      <w:r>
        <w:rPr>
          <w:rFonts w:hint="eastAsia"/>
          <w:sz w:val="32"/>
          <w:szCs w:val="32"/>
        </w:rPr>
        <w:t>（1）在数据采集时，采取客观数据，主管部门审查、社会中介组织复查，与问卷调查相结合的形式，以保证各项指标的真实性。</w:t>
      </w:r>
    </w:p>
    <w:p>
      <w:pPr>
        <w:spacing w:line="600" w:lineRule="exact"/>
        <w:ind w:firstLine="640"/>
        <w:rPr>
          <w:sz w:val="32"/>
          <w:szCs w:val="32"/>
        </w:rPr>
      </w:pPr>
      <w:r>
        <w:rPr>
          <w:rFonts w:hint="eastAsia"/>
          <w:sz w:val="32"/>
          <w:szCs w:val="32"/>
        </w:rPr>
        <w:t>（2）保证评价结果的真实性、公正性，提高评价报告的公信力。</w:t>
      </w:r>
    </w:p>
    <w:p>
      <w:pPr>
        <w:spacing w:line="600" w:lineRule="exact"/>
        <w:ind w:firstLine="640"/>
        <w:rPr>
          <w:sz w:val="32"/>
          <w:szCs w:val="32"/>
        </w:rPr>
      </w:pPr>
      <w:r>
        <w:rPr>
          <w:rFonts w:hint="eastAsia"/>
          <w:sz w:val="32"/>
          <w:szCs w:val="32"/>
        </w:rPr>
        <w:t>（3）绩效评价报告应当简明扼要，除了对绩效评价的过程、结果描述外，还应总结经验，指出问题，并就共性问题提出可操作性改进建议。</w:t>
      </w:r>
    </w:p>
    <w:p>
      <w:pPr>
        <w:pStyle w:val="5"/>
        <w:ind w:firstLine="643"/>
        <w:rPr>
          <w:sz w:val="32"/>
        </w:rPr>
      </w:pPr>
      <w:bookmarkStart w:id="8" w:name="_Toc419984722"/>
      <w:bookmarkStart w:id="9" w:name="_Toc1913"/>
      <w:bookmarkStart w:id="10" w:name="_Toc26131"/>
      <w:bookmarkStart w:id="11" w:name="_Toc428278230"/>
      <w:r>
        <w:rPr>
          <w:rFonts w:hint="eastAsia"/>
          <w:sz w:val="32"/>
        </w:rPr>
        <w:t>2.绩效评价指标体系及绩效评价</w:t>
      </w:r>
      <w:bookmarkEnd w:id="8"/>
      <w:bookmarkEnd w:id="9"/>
      <w:bookmarkEnd w:id="10"/>
      <w:bookmarkEnd w:id="11"/>
      <w:r>
        <w:rPr>
          <w:rFonts w:hint="eastAsia"/>
          <w:sz w:val="32"/>
        </w:rPr>
        <w:t>标准</w:t>
      </w:r>
    </w:p>
    <w:p>
      <w:pPr>
        <w:spacing w:line="600" w:lineRule="exact"/>
        <w:ind w:firstLine="640"/>
        <w:rPr>
          <w:sz w:val="32"/>
          <w:szCs w:val="32"/>
        </w:rPr>
      </w:pPr>
      <w:r>
        <w:rPr>
          <w:rFonts w:hint="eastAsia"/>
          <w:sz w:val="32"/>
          <w:szCs w:val="32"/>
        </w:rPr>
        <w:t>我单位</w:t>
      </w:r>
      <w:r>
        <w:rPr>
          <w:rFonts w:hint="eastAsia"/>
          <w:sz w:val="32"/>
          <w:szCs w:val="32"/>
          <w:lang w:val="zh-TW" w:eastAsia="zh-TW"/>
        </w:rPr>
        <w:t>根据项目的</w:t>
      </w:r>
      <w:r>
        <w:rPr>
          <w:rFonts w:hint="eastAsia"/>
          <w:sz w:val="32"/>
          <w:szCs w:val="32"/>
        </w:rPr>
        <w:t>实施</w:t>
      </w:r>
      <w:r>
        <w:rPr>
          <w:rFonts w:hint="eastAsia"/>
          <w:sz w:val="32"/>
          <w:szCs w:val="32"/>
          <w:lang w:val="zh-TW" w:eastAsia="zh-TW"/>
        </w:rPr>
        <w:t>资料研读及前期调研，结合项目的实际开展情况，将项目的指标体系进行了调整和完善</w:t>
      </w:r>
      <w:r>
        <w:rPr>
          <w:rFonts w:hint="eastAsia"/>
          <w:sz w:val="32"/>
          <w:szCs w:val="32"/>
          <w:lang w:val="zh-TW"/>
        </w:rPr>
        <w:t>，</w:t>
      </w:r>
      <w:r>
        <w:rPr>
          <w:rFonts w:hint="eastAsia"/>
          <w:sz w:val="32"/>
          <w:szCs w:val="32"/>
          <w:lang w:val="zh-TW" w:eastAsia="zh-TW"/>
        </w:rPr>
        <w:t>最终形成了项目绩效评价指标体系</w:t>
      </w:r>
      <w:r>
        <w:rPr>
          <w:rFonts w:hint="eastAsia"/>
          <w:sz w:val="32"/>
          <w:szCs w:val="32"/>
          <w:lang w:val="zh-TW"/>
        </w:rPr>
        <w:t>，</w:t>
      </w:r>
      <w:r>
        <w:rPr>
          <w:rFonts w:hint="eastAsia"/>
          <w:sz w:val="32"/>
          <w:szCs w:val="32"/>
        </w:rPr>
        <w:t>指标体系结构如下：</w:t>
      </w:r>
    </w:p>
    <w:tbl>
      <w:tblPr>
        <w:tblStyle w:val="18"/>
        <w:tblW w:w="874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827"/>
        <w:gridCol w:w="1200"/>
        <w:gridCol w:w="2136"/>
        <w:gridCol w:w="37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tblHeader/>
          <w:jc w:val="center"/>
        </w:trPr>
        <w:tc>
          <w:tcPr>
            <w:tcW w:w="861"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一级指标</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二级指标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三级指标</w:t>
            </w:r>
          </w:p>
        </w:tc>
        <w:tc>
          <w:tcPr>
            <w:tcW w:w="2136"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指标解释</w:t>
            </w:r>
          </w:p>
        </w:tc>
        <w:tc>
          <w:tcPr>
            <w:tcW w:w="3719"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决策</w:t>
            </w:r>
          </w:p>
        </w:tc>
        <w:tc>
          <w:tcPr>
            <w:tcW w:w="827" w:type="dxa"/>
            <w:vMerge w:val="restart"/>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项目立项</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立项依据</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充分性</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项目立项是否符合法律法规、相关政策、发展规划以及部门职责，用以反映和考核项目立项依据情况。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①项目立项是否符合国家法律法规、国民经济发展规划和相关政策；</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②项目立项是否符合行业发展规划和政策要求；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③项目立项是否与部门职责范围相符，属于部门履职所需；</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④项目是否属于公共财政支持范围，是否符合中央、地方事权支出责任划分原则；</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立项程序</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规范性</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项目申请、设立过程是否符合相关要求，用以反映和考核项目立项的规范情况。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①项目是否按照规定的程序申请设立；</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②审批文件、材料是否符合相关要求；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绩效目标　</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绩效目标</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项目所设定的绩效目标是否依据充分，是否符合客观实际，用以反映和考核项目绩效目标与项目实施的相符情况。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（如未设定预算绩效目标，也可考核其他工作任务目标）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①项目是否有绩效目标；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②项目绩效目标与实际工作内容是否具有相关性；</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③项目预期产出效益和效果是否符合正常的业绩水平；</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决策　</w:t>
            </w:r>
          </w:p>
        </w:tc>
        <w:tc>
          <w:tcPr>
            <w:tcW w:w="827"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绩效目标</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绩效指标</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明确性</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依据绩效目标设定的绩效指标是否清晰、细化、可衡量等，用以反映和考核项目绩效目标的明细化情况。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①是否将项目绩效目标细化分解为具体的绩效指标；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②是否通过清晰、可衡量的指标值予以体现；</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资金投入</w:t>
            </w:r>
          </w:p>
          <w:p>
            <w:pPr>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预算编制</w:t>
            </w:r>
          </w:p>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科学性</w:t>
            </w:r>
          </w:p>
        </w:tc>
        <w:tc>
          <w:tcPr>
            <w:tcW w:w="2136" w:type="dxa"/>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项目预算编制是否经过科学论证、有明确标准，资金额度与年度目标是否相适应，用以反映和考核项目预算编制的科学性、合理性情况。</w:t>
            </w:r>
          </w:p>
        </w:tc>
        <w:tc>
          <w:tcPr>
            <w:tcW w:w="3719" w:type="dxa"/>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①预算编制是否经过科学论证；</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②预算内容与项目内容是否匹配；</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③预算额度测算依据是否充分，是否按照标准编制；</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资金分配</w:t>
            </w:r>
          </w:p>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项目预算资金分配是否有测算依据，与补助单位或地方实际是否相适应，用以反映和考核项目预算资金分配的科学性、合理性情况。</w:t>
            </w:r>
          </w:p>
        </w:tc>
        <w:tc>
          <w:tcPr>
            <w:tcW w:w="3719" w:type="dxa"/>
            <w:shd w:val="clear" w:color="auto" w:fill="FFFFFF"/>
            <w:vAlign w:val="center"/>
          </w:tcPr>
          <w:p>
            <w:pPr>
              <w:widowControl/>
              <w:snapToGrid w:val="0"/>
              <w:spacing w:line="240" w:lineRule="auto"/>
              <w:ind w:firstLine="0" w:firstLineChars="0"/>
              <w:jc w:val="both"/>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①预算资金分配依据是否充分；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过程</w:t>
            </w:r>
          </w:p>
        </w:tc>
        <w:tc>
          <w:tcPr>
            <w:tcW w:w="827"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资金到位率</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实际到位资金与预算资金的比率，用以反映和考核资金落实情况对项目实施的总体保障程度。</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资金到位率=（实际到位资金/预算资金）×100%。</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实际到位资金：一定时期（本年度或项目期）内落实到具体项目的资金。</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left"/>
              <w:rPr>
                <w:rFonts w:ascii="仿宋_GB2312" w:hAnsi="仿宋_GB2312" w:cs="仿宋_GB2312"/>
                <w:color w:val="000000"/>
                <w:kern w:val="0"/>
                <w:sz w:val="24"/>
              </w:rPr>
            </w:pPr>
          </w:p>
        </w:tc>
        <w:tc>
          <w:tcPr>
            <w:tcW w:w="827" w:type="dxa"/>
            <w:vMerge w:val="continue"/>
            <w:shd w:val="clear" w:color="auto" w:fill="FFFFFF"/>
            <w:vAlign w:val="center"/>
          </w:tcPr>
          <w:p>
            <w:pPr>
              <w:snapToGrid w:val="0"/>
              <w:spacing w:line="240" w:lineRule="auto"/>
              <w:ind w:firstLine="0" w:firstLineChars="0"/>
              <w:jc w:val="left"/>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预算执行率</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项目预算资金是否按照计划执行，用以反映或考核项目预算执行情况。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预算执行率=（实际支出资金/实际到位资金）×100%。</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　</w:t>
            </w:r>
          </w:p>
          <w:p>
            <w:pPr>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过程　</w:t>
            </w:r>
          </w:p>
        </w:tc>
        <w:tc>
          <w:tcPr>
            <w:tcW w:w="827"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资金使用</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合规性</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项目资金使用是否符合相关的财务管理制度规定，用以反映和考核项目资金的规范运行情况。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①是否符合国家财经法规和财务管理制度以及有关专项资金管理办法的规定；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②资金的拨付是否有完整的审批程序和手续；</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③是否符合项目预算批复或合同规定的用途；</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left"/>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组织实施</w:t>
            </w:r>
          </w:p>
          <w:p>
            <w:pPr>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管理制度</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健全性</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项目实施单位的财务和业务管理制度是否健全，用以反映和考核财务和业务管理制度对项目顺利实施的保障情况。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①是否已制定或具有相应的财务和业务管理制度；</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制度执行</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有效性</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项目实施是否符合相关管理规定，用以反映和考核相关管理制度的有效执行情况。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①是否遵守相关法律法规和相关管理规定；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②项目调整及支出调整手续是否完备；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③项目合同书、验收报告、技术鉴定等资料是否齐全并及时归档；</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产出</w:t>
            </w:r>
          </w:p>
        </w:tc>
        <w:tc>
          <w:tcPr>
            <w:tcW w:w="827"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产出数量</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实际完成率</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项目实施的实际产出数与计划产出数的比率，用以反映和考核项目产出数量目标的实现程度。</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实际完成率=（实际产出数/计划产出数）×100%。</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实际产出数：一定时期（本年度或项目期）内项目实际产出的产品或提供的服务数量。</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产出</w:t>
            </w:r>
          </w:p>
        </w:tc>
        <w:tc>
          <w:tcPr>
            <w:tcW w:w="827"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产出质量</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质量达标率</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项目完成的质量达标产出数与实际产出数的比率，用以反映和考核项目产出质量目标的实现程度。</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质量达标率=（质量达标产出数/实际产出数）×100%。</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产出时效</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完成及时性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项目实际完成时间与计划完成时间的比较，用以反映和考核项目产出时效目标的实现程度。</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实际完成时间：项目实施单位完成该项目实际所耗用的时间。</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产出成本</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成本节约率</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完成项目计划工作目标的实际节约成本与计划成本的比率，用以反映和考核项目的成本节约程度。</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成本节约率=[（计划成本-实际成本）/计划成本]×100%。</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实际成本：项目实施单位如期、保质、保量完成既定工作目标实际所耗费的支出。</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效益　</w:t>
            </w:r>
          </w:p>
        </w:tc>
        <w:tc>
          <w:tcPr>
            <w:tcW w:w="827" w:type="dxa"/>
            <w:vMerge w:val="restart"/>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项目效益　</w:t>
            </w: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实施效益</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项目实施所产生的效益。</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满意度</w:t>
            </w:r>
          </w:p>
        </w:tc>
        <w:tc>
          <w:tcPr>
            <w:tcW w:w="2136"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社会公众或服务对象对项目实施效果的满意程度。</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社会公众或服务对象是指因该项目实施而受到影响的部门（单位）、群体或个人。一般采取社会调查的方式。</w:t>
            </w:r>
          </w:p>
        </w:tc>
      </w:tr>
    </w:tbl>
    <w:p>
      <w:pPr>
        <w:pStyle w:val="5"/>
        <w:ind w:firstLine="643"/>
        <w:rPr>
          <w:sz w:val="32"/>
        </w:rPr>
      </w:pPr>
      <w:r>
        <w:rPr>
          <w:rFonts w:hint="eastAsia"/>
          <w:sz w:val="32"/>
        </w:rPr>
        <w:t>3.评价方法</w:t>
      </w:r>
    </w:p>
    <w:p>
      <w:pPr>
        <w:ind w:firstLine="640"/>
        <w:rPr>
          <w:sz w:val="32"/>
          <w:szCs w:val="32"/>
        </w:rPr>
      </w:pPr>
      <w:r>
        <w:rPr>
          <w:rFonts w:hint="eastAsia"/>
          <w:sz w:val="32"/>
          <w:szCs w:val="32"/>
        </w:rPr>
        <w:t>本次绩效评价采用的方法是比较法、</w:t>
      </w:r>
      <w:r>
        <w:rPr>
          <w:rFonts w:hint="eastAsia"/>
          <w:sz w:val="32"/>
          <w:szCs w:val="32"/>
          <w:lang w:val="en-US" w:eastAsia="zh-CN"/>
        </w:rPr>
        <w:t>行业</w:t>
      </w:r>
      <w:r>
        <w:rPr>
          <w:rFonts w:hint="eastAsia"/>
          <w:sz w:val="32"/>
          <w:szCs w:val="32"/>
        </w:rPr>
        <w:t>评判法对项目绩效目标预期指标值与实施情况进行比较，以及采取</w:t>
      </w:r>
      <w:r>
        <w:rPr>
          <w:rFonts w:hint="eastAsia"/>
          <w:sz w:val="32"/>
          <w:szCs w:val="32"/>
          <w:lang w:val="en-US" w:eastAsia="zh-CN"/>
        </w:rPr>
        <w:t>行业</w:t>
      </w:r>
      <w:r>
        <w:rPr>
          <w:rFonts w:hint="eastAsia"/>
          <w:sz w:val="32"/>
          <w:szCs w:val="32"/>
        </w:rPr>
        <w:t>问卷及抽样调查等方式进行评判的方法对该项目进行评价。</w:t>
      </w:r>
    </w:p>
    <w:p>
      <w:pPr>
        <w:pStyle w:val="5"/>
        <w:ind w:firstLine="643"/>
        <w:rPr>
          <w:sz w:val="32"/>
        </w:rPr>
      </w:pPr>
      <w:r>
        <w:rPr>
          <w:rFonts w:hint="eastAsia"/>
          <w:sz w:val="32"/>
        </w:rPr>
        <w:t>4.评价标准</w:t>
      </w:r>
    </w:p>
    <w:p>
      <w:pPr>
        <w:ind w:firstLine="640"/>
        <w:rPr>
          <w:color w:val="FF0000"/>
          <w:sz w:val="32"/>
          <w:szCs w:val="32"/>
        </w:rPr>
      </w:pPr>
      <w:r>
        <w:rPr>
          <w:rFonts w:hint="eastAsia"/>
          <w:sz w:val="32"/>
          <w:szCs w:val="32"/>
        </w:rPr>
        <w:t>本次绩效评价采用的标准</w:t>
      </w:r>
      <w:r>
        <w:rPr>
          <w:rFonts w:hint="eastAsia"/>
          <w:sz w:val="32"/>
          <w:szCs w:val="32"/>
          <w:lang w:val="en-US" w:eastAsia="zh-CN"/>
        </w:rPr>
        <w:t>为</w:t>
      </w:r>
      <w:r>
        <w:rPr>
          <w:rFonts w:hint="eastAsia"/>
          <w:sz w:val="32"/>
          <w:szCs w:val="32"/>
        </w:rPr>
        <w:t>计划标准</w:t>
      </w:r>
      <w:r>
        <w:rPr>
          <w:rFonts w:hint="eastAsia"/>
          <w:sz w:val="32"/>
          <w:szCs w:val="32"/>
          <w:lang w:val="en-US" w:eastAsia="zh-CN"/>
        </w:rPr>
        <w:t>与</w:t>
      </w:r>
      <w:r>
        <w:rPr>
          <w:rFonts w:hint="eastAsia"/>
          <w:sz w:val="32"/>
          <w:szCs w:val="32"/>
        </w:rPr>
        <w:t>绩效指标完成情况进行对比。</w:t>
      </w:r>
    </w:p>
    <w:p>
      <w:pPr>
        <w:pStyle w:val="4"/>
        <w:ind w:left="420" w:firstLine="0" w:firstLineChars="0"/>
        <w:rPr>
          <w:szCs w:val="32"/>
        </w:rPr>
      </w:pPr>
      <w:r>
        <w:rPr>
          <w:rFonts w:hint="eastAsia"/>
          <w:szCs w:val="32"/>
        </w:rPr>
        <w:t>（三）绩效评价工作过程</w:t>
      </w:r>
    </w:p>
    <w:p>
      <w:pPr>
        <w:ind w:firstLine="640"/>
        <w:rPr>
          <w:rFonts w:hint="eastAsia"/>
          <w:sz w:val="32"/>
          <w:szCs w:val="32"/>
          <w:highlight w:val="none"/>
        </w:rPr>
      </w:pPr>
      <w:r>
        <w:rPr>
          <w:rFonts w:hint="eastAsia"/>
          <w:sz w:val="32"/>
          <w:szCs w:val="32"/>
          <w:highlight w:val="none"/>
        </w:rPr>
        <w:t>本次评价成立了评价工作组，成员如下：</w:t>
      </w:r>
    </w:p>
    <w:p>
      <w:pPr>
        <w:pStyle w:val="11"/>
        <w:ind w:left="0" w:leftChars="0" w:firstLine="624" w:firstLineChars="200"/>
      </w:pPr>
      <w:r>
        <w:rPr>
          <w:rStyle w:val="16"/>
          <w:rFonts w:hint="eastAsia" w:ascii="仿宋_GB2312" w:hAnsi="仿宋_GB2312" w:eastAsia="仿宋_GB2312" w:cs="仿宋_GB2312"/>
          <w:b w:val="0"/>
          <w:bCs w:val="0"/>
          <w:spacing w:val="-4"/>
          <w:sz w:val="32"/>
          <w:szCs w:val="32"/>
          <w:lang w:val="en-US" w:eastAsia="zh-CN"/>
        </w:rPr>
        <w:t xml:space="preserve">组长：丁刚  负责全面主持开展绩效评价工作 </w:t>
      </w:r>
      <w:r>
        <w:rPr>
          <w:rStyle w:val="16"/>
          <w:rFonts w:hint="eastAsia" w:ascii="仿宋_GB2312" w:hAnsi="仿宋_GB2312" w:eastAsia="仿宋_GB2312" w:cs="仿宋_GB2312"/>
          <w:b w:val="0"/>
          <w:bCs w:val="0"/>
          <w:spacing w:val="-4"/>
          <w:sz w:val="32"/>
          <w:szCs w:val="32"/>
          <w:lang w:val="en-US" w:eastAsia="zh-CN"/>
        </w:rPr>
        <w:cr/>
      </w:r>
      <w:r>
        <w:rPr>
          <w:rStyle w:val="16"/>
          <w:rFonts w:hint="eastAsia" w:ascii="仿宋_GB2312" w:hAnsi="仿宋_GB2312" w:eastAsia="仿宋_GB2312" w:cs="仿宋_GB2312"/>
          <w:b w:val="0"/>
          <w:bCs w:val="0"/>
          <w:spacing w:val="-4"/>
          <w:sz w:val="32"/>
          <w:szCs w:val="32"/>
          <w:lang w:val="en-US" w:eastAsia="zh-CN"/>
        </w:rPr>
        <w:t xml:space="preserve">    成员：玛依努尔·吐尔逊，刘喆  负责具体实施绩效评价工作。</w:t>
      </w:r>
    </w:p>
    <w:p>
      <w:pPr>
        <w:ind w:firstLine="640"/>
        <w:rPr>
          <w:sz w:val="32"/>
          <w:szCs w:val="32"/>
        </w:rPr>
      </w:pPr>
      <w:r>
        <w:rPr>
          <w:rFonts w:hint="eastAsia"/>
          <w:sz w:val="32"/>
          <w:szCs w:val="32"/>
        </w:rPr>
        <w:t>本次评价设计了评价方案、评价指标体系，通过资料分析、调研、访谈满意度调查等方式形成评价结论，确定评价意见，并出具评价报告。</w:t>
      </w:r>
    </w:p>
    <w:p>
      <w:pPr>
        <w:pStyle w:val="3"/>
        <w:numPr>
          <w:ilvl w:val="0"/>
          <w:numId w:val="4"/>
        </w:numPr>
        <w:ind w:firstLine="640"/>
        <w:rPr>
          <w:szCs w:val="32"/>
        </w:rPr>
      </w:pPr>
      <w:r>
        <w:rPr>
          <w:rFonts w:hint="eastAsia"/>
          <w:szCs w:val="32"/>
        </w:rPr>
        <w:t>综合评价情况及评价结论</w:t>
      </w:r>
    </w:p>
    <w:p>
      <w:pPr>
        <w:ind w:firstLine="640"/>
        <w:rPr>
          <w:sz w:val="32"/>
          <w:szCs w:val="32"/>
          <w:lang w:val="zh-TW"/>
        </w:rPr>
      </w:pPr>
      <w:r>
        <w:rPr>
          <w:rFonts w:hint="eastAsia"/>
          <w:sz w:val="32"/>
          <w:szCs w:val="32"/>
        </w:rPr>
        <w:t>此次绩效评价</w:t>
      </w:r>
      <w:r>
        <w:rPr>
          <w:rFonts w:hint="eastAsia"/>
          <w:sz w:val="32"/>
          <w:szCs w:val="32"/>
          <w:lang w:val="zh-TW" w:eastAsia="zh-TW"/>
        </w:rPr>
        <w:t>通过</w:t>
      </w:r>
      <w:r>
        <w:rPr>
          <w:rFonts w:hint="eastAsia"/>
          <w:sz w:val="32"/>
          <w:szCs w:val="32"/>
          <w:highlight w:val="none"/>
          <w:lang w:val="zh-TW" w:eastAsia="zh-TW"/>
        </w:rPr>
        <w:t>组论证</w:t>
      </w:r>
      <w:r>
        <w:rPr>
          <w:rFonts w:hint="eastAsia"/>
          <w:sz w:val="32"/>
          <w:szCs w:val="32"/>
          <w:lang w:val="zh-TW" w:eastAsia="zh-TW"/>
        </w:rPr>
        <w:t>的评价指标体系及评分标准，</w:t>
      </w:r>
      <w:r>
        <w:rPr>
          <w:rFonts w:hint="eastAsia"/>
          <w:sz w:val="32"/>
          <w:szCs w:val="32"/>
        </w:rPr>
        <w:t>采用比较法、</w:t>
      </w:r>
      <w:r>
        <w:rPr>
          <w:rFonts w:hint="eastAsia"/>
          <w:sz w:val="32"/>
          <w:szCs w:val="32"/>
          <w:lang w:val="en-US" w:eastAsia="zh-CN"/>
        </w:rPr>
        <w:t>行业</w:t>
      </w:r>
      <w:r>
        <w:rPr>
          <w:rFonts w:hint="eastAsia"/>
          <w:sz w:val="32"/>
          <w:szCs w:val="32"/>
        </w:rPr>
        <w:t>评判法，</w:t>
      </w:r>
      <w:r>
        <w:rPr>
          <w:rFonts w:hint="eastAsia"/>
          <w:sz w:val="32"/>
          <w:szCs w:val="32"/>
          <w:lang w:val="zh-TW" w:eastAsia="zh-TW"/>
        </w:rPr>
        <w:t>对</w:t>
      </w:r>
      <w:r>
        <w:rPr>
          <w:rFonts w:hint="eastAsia" w:ascii="Times New Roman" w:hAnsi="Times New Roman" w:cs="Times New Roman"/>
          <w:sz w:val="32"/>
          <w:szCs w:val="32"/>
        </w:rPr>
        <w:t>自治区第一次全国自然灾害综合风险普查项目</w:t>
      </w:r>
      <w:r>
        <w:rPr>
          <w:rFonts w:hint="eastAsia"/>
          <w:sz w:val="32"/>
          <w:szCs w:val="32"/>
        </w:rPr>
        <w:t>项目</w:t>
      </w:r>
      <w:r>
        <w:rPr>
          <w:rFonts w:hint="eastAsia"/>
          <w:sz w:val="32"/>
          <w:szCs w:val="32"/>
          <w:lang w:val="zh-TW" w:eastAsia="zh-TW"/>
        </w:rPr>
        <w:t>绩效进行客观评价，最终评分结果：</w:t>
      </w:r>
      <w:r>
        <w:rPr>
          <w:rFonts w:hint="eastAsia"/>
          <w:sz w:val="32"/>
          <w:szCs w:val="32"/>
          <w:highlight w:val="none"/>
          <w:lang w:val="zh-TW" w:eastAsia="zh-TW"/>
        </w:rPr>
        <w:t>总分为</w:t>
      </w:r>
      <w:r>
        <w:rPr>
          <w:rFonts w:hint="eastAsia"/>
          <w:sz w:val="32"/>
          <w:szCs w:val="32"/>
          <w:highlight w:val="none"/>
        </w:rPr>
        <w:t>8</w:t>
      </w:r>
      <w:r>
        <w:rPr>
          <w:rFonts w:hint="eastAsia"/>
          <w:sz w:val="32"/>
          <w:szCs w:val="32"/>
          <w:highlight w:val="none"/>
          <w:lang w:val="en-US" w:eastAsia="zh-CN"/>
        </w:rPr>
        <w:t>7</w:t>
      </w:r>
      <w:r>
        <w:rPr>
          <w:rFonts w:hint="eastAsia"/>
          <w:sz w:val="32"/>
          <w:szCs w:val="32"/>
          <w:highlight w:val="none"/>
          <w:lang w:val="zh-TW" w:eastAsia="zh-TW"/>
        </w:rPr>
        <w:t>分，绩效评级为“</w:t>
      </w:r>
      <w:r>
        <w:rPr>
          <w:rFonts w:hint="eastAsia"/>
          <w:sz w:val="32"/>
          <w:szCs w:val="32"/>
          <w:highlight w:val="none"/>
        </w:rPr>
        <w:t>良好</w:t>
      </w:r>
      <w:r>
        <w:rPr>
          <w:rFonts w:hint="eastAsia"/>
          <w:sz w:val="32"/>
          <w:szCs w:val="32"/>
          <w:highlight w:val="none"/>
          <w:lang w:val="zh-TW" w:eastAsia="zh-TW"/>
        </w:rPr>
        <w:t>”。各部分权重和绩效</w:t>
      </w:r>
      <w:r>
        <w:rPr>
          <w:rFonts w:hint="eastAsia"/>
          <w:sz w:val="32"/>
          <w:szCs w:val="32"/>
          <w:highlight w:val="none"/>
        </w:rPr>
        <w:t>汇总</w:t>
      </w:r>
      <w:r>
        <w:rPr>
          <w:rFonts w:hint="eastAsia"/>
          <w:sz w:val="32"/>
          <w:szCs w:val="32"/>
          <w:highlight w:val="none"/>
          <w:lang w:val="zh-TW" w:eastAsia="zh-TW"/>
        </w:rPr>
        <w:t>分值如</w:t>
      </w:r>
      <w:r>
        <w:rPr>
          <w:rFonts w:hint="eastAsia"/>
          <w:sz w:val="32"/>
          <w:szCs w:val="32"/>
          <w:lang w:val="zh-TW" w:eastAsia="zh-TW"/>
        </w:rPr>
        <w:t>下表所示：</w:t>
      </w:r>
    </w:p>
    <w:tbl>
      <w:tblPr>
        <w:tblStyle w:val="18"/>
        <w:tblW w:w="8441" w:type="dxa"/>
        <w:jc w:val="center"/>
        <w:tblInd w:w="0" w:type="dxa"/>
        <w:tblLayout w:type="fixed"/>
        <w:tblCellMar>
          <w:top w:w="0" w:type="dxa"/>
          <w:left w:w="0" w:type="dxa"/>
          <w:bottom w:w="0" w:type="dxa"/>
          <w:right w:w="0" w:type="dxa"/>
        </w:tblCellMar>
      </w:tblPr>
      <w:tblGrid>
        <w:gridCol w:w="1391"/>
        <w:gridCol w:w="1307"/>
        <w:gridCol w:w="1360"/>
        <w:gridCol w:w="1360"/>
        <w:gridCol w:w="1527"/>
        <w:gridCol w:w="1496"/>
      </w:tblGrid>
      <w:tr>
        <w:tblPrEx>
          <w:tblLayout w:type="fixed"/>
          <w:tblCellMar>
            <w:top w:w="0" w:type="dxa"/>
            <w:left w:w="0" w:type="dxa"/>
            <w:bottom w:w="0" w:type="dxa"/>
            <w:right w:w="0" w:type="dxa"/>
          </w:tblCellMar>
        </w:tblPrEx>
        <w:trPr>
          <w:trHeight w:val="375" w:hRule="atLeast"/>
          <w:jc w:val="center"/>
        </w:trPr>
        <w:tc>
          <w:tcPr>
            <w:tcW w:w="8441" w:type="dxa"/>
            <w:gridSpan w:val="6"/>
            <w:tcBorders>
              <w:top w:val="nil"/>
              <w:left w:val="nil"/>
              <w:bottom w:val="nil"/>
              <w:right w:val="nil"/>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表3-1：得分表</w:t>
            </w:r>
          </w:p>
        </w:tc>
      </w:tr>
      <w:tr>
        <w:tblPrEx>
          <w:tblLayout w:type="fixed"/>
          <w:tblCellMar>
            <w:top w:w="0" w:type="dxa"/>
            <w:left w:w="0" w:type="dxa"/>
            <w:bottom w:w="0" w:type="dxa"/>
            <w:right w:w="0" w:type="dxa"/>
          </w:tblCellMar>
        </w:tblPrEx>
        <w:trPr>
          <w:trHeight w:val="426" w:hRule="atLeast"/>
          <w:jc w:val="center"/>
        </w:trPr>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指标类别</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项目决策</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过程管理</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项目产出</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项目效益</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合计</w:t>
            </w:r>
          </w:p>
        </w:tc>
      </w:tr>
      <w:tr>
        <w:tblPrEx>
          <w:tblLayout w:type="fixed"/>
          <w:tblCellMar>
            <w:top w:w="0" w:type="dxa"/>
            <w:left w:w="0" w:type="dxa"/>
            <w:bottom w:w="0" w:type="dxa"/>
            <w:right w:w="0" w:type="dxa"/>
          </w:tblCellMar>
        </w:tblPrEx>
        <w:trPr>
          <w:trHeight w:val="426" w:hRule="atLeast"/>
          <w:jc w:val="center"/>
        </w:trPr>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lef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权重</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20</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20</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30</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30</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100</w:t>
            </w:r>
          </w:p>
        </w:tc>
      </w:tr>
      <w:tr>
        <w:tblPrEx>
          <w:tblLayout w:type="fixed"/>
          <w:tblCellMar>
            <w:top w:w="0" w:type="dxa"/>
            <w:left w:w="0" w:type="dxa"/>
            <w:bottom w:w="0" w:type="dxa"/>
            <w:right w:w="0" w:type="dxa"/>
          </w:tblCellMar>
        </w:tblPrEx>
        <w:trPr>
          <w:trHeight w:val="426" w:hRule="atLeast"/>
          <w:jc w:val="center"/>
        </w:trPr>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left"/>
              <w:textAlignment w:val="center"/>
              <w:rPr>
                <w:rFonts w:hint="eastAsia" w:ascii="仿宋_GB2312" w:hAnsiTheme="minorEastAsia" w:cstheme="minorEastAsia"/>
                <w:b w:val="0"/>
                <w:bCs w:val="0"/>
                <w:color w:val="000000"/>
                <w:sz w:val="24"/>
              </w:rPr>
            </w:pPr>
            <w:r>
              <w:rPr>
                <w:rFonts w:hint="eastAsia" w:ascii="仿宋_GB2312" w:hAnsiTheme="minorEastAsia" w:cstheme="minorEastAsia"/>
                <w:b w:val="0"/>
                <w:bCs w:val="0"/>
                <w:color w:val="000000"/>
                <w:sz w:val="24"/>
              </w:rPr>
              <w:t>分值</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default" w:ascii="仿宋_GB2312" w:hAnsiTheme="minorEastAsia" w:cstheme="minorEastAsia"/>
                <w:b w:val="0"/>
                <w:bCs w:val="0"/>
                <w:color w:val="000000"/>
                <w:sz w:val="24"/>
                <w:lang w:val="en-US" w:eastAsia="zh-CN"/>
              </w:rPr>
            </w:pPr>
            <w:r>
              <w:rPr>
                <w:rFonts w:hint="eastAsia" w:ascii="仿宋_GB2312" w:hAnsiTheme="minorEastAsia" w:cstheme="minorEastAsia"/>
                <w:b w:val="0"/>
                <w:bCs w:val="0"/>
                <w:color w:val="000000"/>
                <w:sz w:val="24"/>
                <w:lang w:val="en-US" w:eastAsia="zh-CN"/>
              </w:rPr>
              <w:t>20</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default" w:ascii="仿宋_GB2312" w:hAnsiTheme="minorEastAsia" w:cstheme="minorEastAsia"/>
                <w:b w:val="0"/>
                <w:bCs w:val="0"/>
                <w:color w:val="000000"/>
                <w:sz w:val="24"/>
                <w:lang w:val="en-US" w:eastAsia="zh-CN"/>
              </w:rPr>
            </w:pPr>
            <w:r>
              <w:rPr>
                <w:rFonts w:hint="eastAsia" w:ascii="仿宋_GB2312" w:hAnsiTheme="minorEastAsia" w:cstheme="minorEastAsia"/>
                <w:b w:val="0"/>
                <w:bCs w:val="0"/>
                <w:color w:val="000000"/>
                <w:sz w:val="24"/>
                <w:lang w:val="en-US" w:eastAsia="zh-CN"/>
              </w:rPr>
              <w:t>18</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default" w:ascii="仿宋_GB2312" w:hAnsiTheme="minorEastAsia" w:cstheme="minorEastAsia"/>
                <w:b w:val="0"/>
                <w:bCs w:val="0"/>
                <w:color w:val="000000"/>
                <w:sz w:val="24"/>
                <w:lang w:val="en-US" w:eastAsia="zh-CN"/>
              </w:rPr>
            </w:pPr>
            <w:r>
              <w:rPr>
                <w:rFonts w:hint="eastAsia" w:ascii="仿宋_GB2312" w:hAnsiTheme="minorEastAsia" w:cstheme="minorEastAsia"/>
                <w:b w:val="0"/>
                <w:bCs w:val="0"/>
                <w:color w:val="000000"/>
                <w:sz w:val="24"/>
                <w:lang w:val="en-US" w:eastAsia="zh-CN"/>
              </w:rPr>
              <w:t>29</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default" w:ascii="仿宋_GB2312" w:hAnsiTheme="minorEastAsia" w:cstheme="minorEastAsia"/>
                <w:b w:val="0"/>
                <w:bCs w:val="0"/>
                <w:color w:val="000000"/>
                <w:sz w:val="24"/>
                <w:lang w:val="en-US" w:eastAsia="zh-CN"/>
              </w:rPr>
            </w:pPr>
            <w:r>
              <w:rPr>
                <w:rFonts w:hint="eastAsia" w:ascii="仿宋_GB2312" w:hAnsiTheme="minorEastAsia" w:cstheme="minorEastAsia"/>
                <w:b w:val="0"/>
                <w:bCs w:val="0"/>
                <w:color w:val="000000"/>
                <w:sz w:val="24"/>
                <w:lang w:val="en-US" w:eastAsia="zh-CN"/>
              </w:rPr>
              <w:t>20</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default" w:ascii="仿宋_GB2312" w:hAnsiTheme="minorEastAsia" w:cstheme="minorEastAsia"/>
                <w:b w:val="0"/>
                <w:bCs w:val="0"/>
                <w:color w:val="000000"/>
                <w:sz w:val="24"/>
                <w:lang w:val="en-US" w:eastAsia="zh-CN"/>
              </w:rPr>
            </w:pPr>
            <w:r>
              <w:rPr>
                <w:rFonts w:hint="eastAsia" w:ascii="仿宋_GB2312" w:hAnsiTheme="minorEastAsia" w:cstheme="minorEastAsia"/>
                <w:b w:val="0"/>
                <w:bCs w:val="0"/>
                <w:color w:val="000000"/>
                <w:sz w:val="24"/>
                <w:lang w:val="en-US" w:eastAsia="zh-CN"/>
              </w:rPr>
              <w:t>87</w:t>
            </w:r>
          </w:p>
        </w:tc>
      </w:tr>
      <w:tr>
        <w:tblPrEx>
          <w:tblLayout w:type="fixed"/>
          <w:tblCellMar>
            <w:top w:w="0" w:type="dxa"/>
            <w:left w:w="0" w:type="dxa"/>
            <w:bottom w:w="0" w:type="dxa"/>
            <w:right w:w="0" w:type="dxa"/>
          </w:tblCellMar>
        </w:tblPrEx>
        <w:trPr>
          <w:trHeight w:val="426" w:hRule="atLeast"/>
          <w:jc w:val="center"/>
        </w:trPr>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center"/>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rPr>
              <w:t>得分率</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lang w:val="en-US" w:eastAsia="zh-CN"/>
              </w:rPr>
              <w:t>100</w:t>
            </w:r>
            <w:r>
              <w:rPr>
                <w:rFonts w:hint="eastAsia" w:ascii="仿宋_GB2312" w:hAnsiTheme="minorEastAsia" w:cstheme="minorEastAsia"/>
                <w:b/>
                <w:bCs/>
                <w:color w:val="000000"/>
                <w:sz w:val="24"/>
              </w:rPr>
              <w:t>%</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lang w:val="en-US" w:eastAsia="zh-CN"/>
              </w:rPr>
              <w:t>90</w:t>
            </w:r>
            <w:r>
              <w:rPr>
                <w:rFonts w:hint="eastAsia" w:ascii="仿宋_GB2312" w:hAnsiTheme="minorEastAsia" w:cstheme="minorEastAsia"/>
                <w:b/>
                <w:bCs/>
                <w:color w:val="000000"/>
                <w:sz w:val="24"/>
              </w:rPr>
              <w:t>%</w:t>
            </w:r>
          </w:p>
        </w:tc>
        <w:tc>
          <w:tcPr>
            <w:tcW w:w="13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lang w:val="en-US" w:eastAsia="zh-CN"/>
              </w:rPr>
              <w:t>96.67</w:t>
            </w:r>
            <w:r>
              <w:rPr>
                <w:rFonts w:hint="eastAsia" w:ascii="仿宋_GB2312" w:hAnsiTheme="minorEastAsia" w:cstheme="minorEastAsia"/>
                <w:b/>
                <w:bCs/>
                <w:color w:val="000000"/>
                <w:sz w:val="24"/>
              </w:rPr>
              <w:t>%</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lang w:val="en-US" w:eastAsia="zh-CN"/>
              </w:rPr>
              <w:t>66.67</w:t>
            </w:r>
            <w:r>
              <w:rPr>
                <w:rFonts w:hint="eastAsia" w:ascii="仿宋_GB2312" w:hAnsiTheme="minorEastAsia" w:cstheme="minorEastAsia"/>
                <w:b/>
                <w:bCs/>
                <w:color w:val="000000"/>
                <w:sz w:val="24"/>
              </w:rPr>
              <w:t>%</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firstLine="0" w:firstLineChars="0"/>
              <w:jc w:val="right"/>
              <w:textAlignment w:val="center"/>
              <w:rPr>
                <w:rFonts w:hint="eastAsia" w:ascii="仿宋_GB2312" w:hAnsiTheme="minorEastAsia" w:cstheme="minorEastAsia"/>
                <w:b/>
                <w:bCs/>
                <w:color w:val="000000"/>
                <w:sz w:val="24"/>
              </w:rPr>
            </w:pPr>
            <w:r>
              <w:rPr>
                <w:rFonts w:hint="eastAsia" w:ascii="仿宋_GB2312" w:hAnsiTheme="minorEastAsia" w:cstheme="minorEastAsia"/>
                <w:b/>
                <w:bCs/>
                <w:color w:val="000000"/>
                <w:sz w:val="24"/>
                <w:lang w:val="en-US" w:eastAsia="zh-CN"/>
              </w:rPr>
              <w:t>87</w:t>
            </w:r>
            <w:r>
              <w:rPr>
                <w:rFonts w:hint="eastAsia" w:ascii="仿宋_GB2312" w:hAnsiTheme="minorEastAsia" w:cstheme="minorEastAsia"/>
                <w:b/>
                <w:bCs/>
                <w:color w:val="000000"/>
                <w:sz w:val="24"/>
              </w:rPr>
              <w:t>%</w:t>
            </w:r>
          </w:p>
        </w:tc>
      </w:tr>
    </w:tbl>
    <w:p>
      <w:pPr>
        <w:pStyle w:val="3"/>
        <w:ind w:firstLine="640"/>
        <w:rPr>
          <w:szCs w:val="32"/>
        </w:rPr>
      </w:pPr>
      <w:r>
        <w:rPr>
          <w:rFonts w:hint="eastAsia"/>
          <w:szCs w:val="32"/>
        </w:rPr>
        <w:t>四、绩效评价指标分析</w:t>
      </w:r>
    </w:p>
    <w:p>
      <w:pPr>
        <w:pStyle w:val="4"/>
        <w:ind w:firstLine="643"/>
        <w:rPr>
          <w:szCs w:val="32"/>
        </w:rPr>
      </w:pPr>
      <w:r>
        <w:rPr>
          <w:rFonts w:hint="eastAsia"/>
          <w:szCs w:val="32"/>
        </w:rPr>
        <w:t>（一）项目决策情况</w:t>
      </w:r>
    </w:p>
    <w:p>
      <w:pPr>
        <w:ind w:firstLine="640"/>
        <w:rPr>
          <w:sz w:val="32"/>
          <w:szCs w:val="32"/>
        </w:rPr>
      </w:pPr>
      <w:r>
        <w:rPr>
          <w:rFonts w:hint="eastAsia"/>
          <w:sz w:val="32"/>
          <w:szCs w:val="32"/>
        </w:rPr>
        <w:t>项目决策由3个二级指标和6个三级指标构成，权重分20分，实际得分</w:t>
      </w:r>
      <w:r>
        <w:rPr>
          <w:rFonts w:hint="eastAsia"/>
          <w:sz w:val="32"/>
          <w:szCs w:val="32"/>
          <w:lang w:val="en-US" w:eastAsia="zh-CN"/>
        </w:rPr>
        <w:t>20</w:t>
      </w:r>
      <w:r>
        <w:rPr>
          <w:rFonts w:hint="eastAsia"/>
          <w:sz w:val="32"/>
          <w:szCs w:val="32"/>
        </w:rPr>
        <w:t>分，</w:t>
      </w:r>
      <w:r>
        <w:rPr>
          <w:rFonts w:hint="eastAsia"/>
          <w:color w:val="000000"/>
          <w:sz w:val="32"/>
          <w:szCs w:val="32"/>
          <w:u w:color="000000"/>
          <w:lang w:val="zh-TW" w:eastAsia="zh-TW"/>
        </w:rPr>
        <w:t>各指标业绩值和绩效分值如表</w:t>
      </w:r>
      <w:r>
        <w:rPr>
          <w:rFonts w:hint="eastAsia"/>
          <w:color w:val="000000"/>
          <w:sz w:val="32"/>
          <w:szCs w:val="32"/>
          <w:u w:color="000000"/>
        </w:rPr>
        <w:t>4</w:t>
      </w:r>
      <w:r>
        <w:rPr>
          <w:color w:val="000000"/>
          <w:sz w:val="32"/>
          <w:szCs w:val="32"/>
          <w:u w:color="000000"/>
        </w:rPr>
        <w:t>-1</w:t>
      </w:r>
      <w:r>
        <w:rPr>
          <w:rFonts w:hint="eastAsia"/>
          <w:color w:val="000000"/>
          <w:sz w:val="32"/>
          <w:szCs w:val="32"/>
          <w:u w:color="000000"/>
          <w:lang w:val="zh-TW" w:eastAsia="zh-TW"/>
        </w:rPr>
        <w:t>所示</w:t>
      </w:r>
      <w:r>
        <w:rPr>
          <w:rFonts w:hint="eastAsia"/>
          <w:sz w:val="32"/>
          <w:szCs w:val="32"/>
        </w:rPr>
        <w:t>：</w:t>
      </w:r>
    </w:p>
    <w:p>
      <w:pPr>
        <w:keepNext/>
        <w:keepLines/>
        <w:ind w:firstLine="562"/>
        <w:jc w:val="center"/>
      </w:pPr>
      <w:r>
        <w:rPr>
          <w:rFonts w:hint="eastAsia"/>
          <w:b/>
          <w:bCs/>
          <w:color w:val="000000"/>
          <w:u w:color="000000"/>
          <w:lang w:val="zh-TW" w:eastAsia="zh-TW"/>
        </w:rPr>
        <w:t>表</w:t>
      </w:r>
      <w:r>
        <w:rPr>
          <w:rFonts w:hint="eastAsia"/>
          <w:b/>
          <w:bCs/>
          <w:color w:val="000000"/>
          <w:u w:color="000000"/>
        </w:rPr>
        <w:t>4</w:t>
      </w:r>
      <w:r>
        <w:rPr>
          <w:b/>
          <w:bCs/>
          <w:color w:val="000000"/>
          <w:u w:color="000000"/>
        </w:rPr>
        <w:t>-1</w:t>
      </w:r>
      <w:r>
        <w:rPr>
          <w:rFonts w:hint="eastAsia"/>
          <w:b/>
          <w:bCs/>
          <w:color w:val="000000"/>
          <w:u w:color="000000"/>
          <w:lang w:val="zh-TW" w:eastAsia="zh-TW"/>
        </w:rPr>
        <w:t>项目决策指标及分值</w:t>
      </w:r>
    </w:p>
    <w:tbl>
      <w:tblPr>
        <w:tblStyle w:val="18"/>
        <w:tblW w:w="8447" w:type="dxa"/>
        <w:jc w:val="center"/>
        <w:tblInd w:w="0" w:type="dxa"/>
        <w:tblLayout w:type="fixed"/>
        <w:tblCellMar>
          <w:top w:w="0" w:type="dxa"/>
          <w:left w:w="0" w:type="dxa"/>
          <w:bottom w:w="0" w:type="dxa"/>
          <w:right w:w="0" w:type="dxa"/>
        </w:tblCellMar>
      </w:tblPr>
      <w:tblGrid>
        <w:gridCol w:w="1077"/>
        <w:gridCol w:w="960"/>
        <w:gridCol w:w="1251"/>
        <w:gridCol w:w="794"/>
        <w:gridCol w:w="1871"/>
        <w:gridCol w:w="1417"/>
        <w:gridCol w:w="1077"/>
      </w:tblGrid>
      <w:tr>
        <w:tblPrEx>
          <w:tblLayout w:type="fixed"/>
          <w:tblCellMar>
            <w:top w:w="0" w:type="dxa"/>
            <w:left w:w="0" w:type="dxa"/>
            <w:bottom w:w="0" w:type="dxa"/>
            <w:right w:w="0" w:type="dxa"/>
          </w:tblCellMar>
        </w:tblPrEx>
        <w:trPr>
          <w:trHeight w:val="408"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分值</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得分</w:t>
            </w:r>
          </w:p>
        </w:tc>
      </w:tr>
      <w:tr>
        <w:tblPrEx>
          <w:tblLayout w:type="fixed"/>
          <w:tblCellMar>
            <w:top w:w="0" w:type="dxa"/>
            <w:left w:w="0" w:type="dxa"/>
            <w:bottom w:w="0" w:type="dxa"/>
            <w:right w:w="0" w:type="dxa"/>
          </w:tblCellMar>
        </w:tblPrEx>
        <w:trPr>
          <w:trHeight w:val="408"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项目立项　</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lang w:val="en-US" w:eastAsia="zh-CN"/>
              </w:rPr>
            </w:pPr>
            <w:r>
              <w:rPr>
                <w:rFonts w:hint="eastAsia" w:ascii="仿宋_GB2312" w:hAnsiTheme="minorEastAsia" w:cstheme="minorEastAsia"/>
                <w:color w:val="000000"/>
                <w:sz w:val="24"/>
                <w:lang w:val="en-US" w:eastAsia="zh-CN"/>
              </w:rPr>
              <w:t>2</w:t>
            </w:r>
          </w:p>
        </w:tc>
      </w:tr>
      <w:tr>
        <w:tblPrEx>
          <w:tblLayout w:type="fixed"/>
          <w:tblCellMar>
            <w:top w:w="0" w:type="dxa"/>
            <w:left w:w="0" w:type="dxa"/>
            <w:bottom w:w="0" w:type="dxa"/>
            <w:right w:w="0" w:type="dxa"/>
          </w:tblCellMar>
        </w:tblPrEx>
        <w:trPr>
          <w:trHeight w:val="408"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lang w:val="en-US" w:eastAsia="zh-CN"/>
              </w:rPr>
            </w:pPr>
            <w:r>
              <w:rPr>
                <w:rFonts w:hint="eastAsia" w:ascii="仿宋_GB2312" w:hAnsiTheme="minorEastAsia" w:cstheme="minorEastAsia"/>
                <w:color w:val="000000"/>
                <w:sz w:val="24"/>
                <w:lang w:val="en-US" w:eastAsia="zh-CN"/>
              </w:rPr>
              <w:t>3</w:t>
            </w:r>
          </w:p>
        </w:tc>
      </w:tr>
      <w:tr>
        <w:tblPrEx>
          <w:tblLayout w:type="fixed"/>
          <w:tblCellMar>
            <w:top w:w="0" w:type="dxa"/>
            <w:left w:w="0" w:type="dxa"/>
            <w:bottom w:w="0" w:type="dxa"/>
            <w:right w:w="0" w:type="dxa"/>
          </w:tblCellMar>
        </w:tblPrEx>
        <w:trPr>
          <w:trHeight w:val="408"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lang w:val="en-US" w:eastAsia="zh-CN"/>
              </w:rPr>
            </w:pPr>
            <w:r>
              <w:rPr>
                <w:rFonts w:hint="eastAsia" w:ascii="仿宋_GB2312" w:hAnsiTheme="minorEastAsia" w:cstheme="minorEastAsia"/>
                <w:color w:val="000000"/>
                <w:sz w:val="24"/>
                <w:lang w:val="en-US" w:eastAsia="zh-CN"/>
              </w:rPr>
              <w:t>5</w:t>
            </w:r>
          </w:p>
        </w:tc>
      </w:tr>
      <w:tr>
        <w:tblPrEx>
          <w:tblLayout w:type="fixed"/>
          <w:tblCellMar>
            <w:top w:w="0" w:type="dxa"/>
            <w:left w:w="0" w:type="dxa"/>
            <w:bottom w:w="0" w:type="dxa"/>
            <w:right w:w="0" w:type="dxa"/>
          </w:tblCellMar>
        </w:tblPrEx>
        <w:trPr>
          <w:trHeight w:val="408"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rPr>
                <w:rFonts w:ascii="仿宋_GB2312" w:hAnsiTheme="minorEastAsia" w:cstheme="minorEastAsia"/>
                <w:color w:val="000000"/>
                <w:sz w:val="24"/>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lang w:val="en-US" w:eastAsia="zh-CN"/>
              </w:rPr>
            </w:pPr>
            <w:r>
              <w:rPr>
                <w:rFonts w:hint="eastAsia" w:ascii="仿宋_GB2312" w:hAnsiTheme="minorEastAsia" w:cstheme="minorEastAsia"/>
                <w:color w:val="000000"/>
                <w:sz w:val="24"/>
                <w:lang w:val="en-US" w:eastAsia="zh-CN"/>
              </w:rPr>
              <w:t>5</w:t>
            </w:r>
          </w:p>
        </w:tc>
      </w:tr>
      <w:tr>
        <w:tblPrEx>
          <w:tblLayout w:type="fixed"/>
          <w:tblCellMar>
            <w:top w:w="0" w:type="dxa"/>
            <w:left w:w="0" w:type="dxa"/>
            <w:bottom w:w="0" w:type="dxa"/>
            <w:right w:w="0" w:type="dxa"/>
          </w:tblCellMar>
        </w:tblPrEx>
        <w:trPr>
          <w:trHeight w:val="408"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rPr>
                <w:rFonts w:ascii="仿宋_GB2312" w:hAnsiTheme="minorEastAsia" w:cstheme="minorEastAsia"/>
                <w:color w:val="000000"/>
                <w:sz w:val="24"/>
              </w:rPr>
            </w:pPr>
            <w:r>
              <w:rPr>
                <w:rFonts w:hint="eastAsia" w:ascii="仿宋_GB2312" w:hAnsiTheme="minorEastAsia" w:cstheme="minorEastAsia"/>
                <w:color w:val="000000"/>
                <w:sz w:val="24"/>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lang w:val="en-US" w:eastAsia="zh-CN"/>
              </w:rPr>
            </w:pPr>
            <w:r>
              <w:rPr>
                <w:rFonts w:hint="eastAsia" w:ascii="仿宋_GB2312" w:hAnsiTheme="minorEastAsia" w:cstheme="minorEastAsia"/>
                <w:color w:val="000000"/>
                <w:sz w:val="24"/>
                <w:lang w:val="en-US" w:eastAsia="zh-CN"/>
              </w:rPr>
              <w:t>2</w:t>
            </w:r>
          </w:p>
        </w:tc>
      </w:tr>
      <w:tr>
        <w:tblPrEx>
          <w:tblLayout w:type="fixed"/>
          <w:tblCellMar>
            <w:top w:w="0" w:type="dxa"/>
            <w:left w:w="0" w:type="dxa"/>
            <w:bottom w:w="0" w:type="dxa"/>
            <w:right w:w="0" w:type="dxa"/>
          </w:tblCellMar>
        </w:tblPrEx>
        <w:trPr>
          <w:trHeight w:val="408"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lang w:val="en-US" w:eastAsia="zh-CN"/>
              </w:rPr>
            </w:pPr>
            <w:r>
              <w:rPr>
                <w:rFonts w:hint="eastAsia" w:ascii="仿宋_GB2312" w:hAnsiTheme="minorEastAsia" w:cstheme="minorEastAsia"/>
                <w:color w:val="000000"/>
                <w:sz w:val="24"/>
                <w:lang w:val="en-US" w:eastAsia="zh-CN"/>
              </w:rPr>
              <w:t>3</w:t>
            </w:r>
          </w:p>
        </w:tc>
      </w:tr>
      <w:tr>
        <w:tblPrEx>
          <w:tblLayout w:type="fixed"/>
          <w:tblCellMar>
            <w:top w:w="0" w:type="dxa"/>
            <w:left w:w="0" w:type="dxa"/>
            <w:bottom w:w="0" w:type="dxa"/>
            <w:right w:w="0" w:type="dxa"/>
          </w:tblCellMar>
        </w:tblPrEx>
        <w:trPr>
          <w:trHeight w:val="408"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合计</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rPr>
                <w:rFonts w:hint="default" w:ascii="仿宋_GB2312" w:eastAsia="仿宋_GB2312" w:hAnsiTheme="minorEastAsia" w:cstheme="minorEastAsia"/>
                <w:b/>
                <w:bCs/>
                <w:color w:val="000000"/>
                <w:sz w:val="24"/>
                <w:lang w:val="en-US" w:eastAsia="zh-CN"/>
              </w:rPr>
            </w:pPr>
            <w:r>
              <w:rPr>
                <w:rFonts w:hint="eastAsia" w:ascii="仿宋_GB2312" w:hAnsiTheme="minorEastAsia" w:cstheme="minorEastAsia"/>
                <w:b/>
                <w:bCs/>
                <w:color w:val="000000"/>
                <w:sz w:val="24"/>
                <w:lang w:val="en-US" w:eastAsia="zh-CN"/>
              </w:rPr>
              <w:t>20</w:t>
            </w:r>
          </w:p>
        </w:tc>
        <w:tc>
          <w:tcPr>
            <w:tcW w:w="12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hint="eastAsia" w:ascii="仿宋_GB2312" w:hAnsiTheme="minorEastAsia" w:cstheme="minorEastAsia"/>
                <w:b/>
                <w:bCs/>
                <w:color w:val="000000"/>
                <w:sz w:val="24"/>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rPr>
                <w:rFonts w:ascii="仿宋_GB2312" w:hAnsiTheme="minorEastAsia" w:cstheme="minorEastAsia"/>
                <w:b/>
                <w:bCs/>
                <w:color w:val="000000"/>
                <w:sz w:val="24"/>
              </w:rPr>
            </w:pPr>
            <w:r>
              <w:rPr>
                <w:rFonts w:hint="eastAsia" w:ascii="仿宋_GB2312" w:hAnsiTheme="minorEastAsia" w:cstheme="minorEastAsia"/>
                <w:b/>
                <w:bCs/>
                <w:color w:val="000000"/>
                <w:sz w:val="24"/>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b/>
                <w:bCs/>
                <w:color w:val="000000"/>
                <w:sz w:val="24"/>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b/>
                <w:bCs/>
                <w:color w:val="000000"/>
                <w:sz w:val="24"/>
              </w:rPr>
            </w:pPr>
            <w:r>
              <w:rPr>
                <w:rFonts w:hint="eastAsia" w:ascii="仿宋_GB2312" w:hAnsiTheme="minorEastAsia" w:cstheme="minorEastAsia"/>
                <w:b/>
                <w:bCs/>
                <w:color w:val="000000"/>
                <w:sz w:val="24"/>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default" w:ascii="仿宋_GB2312" w:eastAsia="仿宋_GB2312" w:hAnsiTheme="minorEastAsia" w:cstheme="minorEastAsia"/>
                <w:b/>
                <w:bCs/>
                <w:color w:val="000000"/>
                <w:sz w:val="24"/>
                <w:lang w:val="en-US" w:eastAsia="zh-CN"/>
              </w:rPr>
            </w:pPr>
            <w:r>
              <w:rPr>
                <w:rFonts w:hint="eastAsia" w:ascii="仿宋_GB2312" w:hAnsiTheme="minorEastAsia" w:cstheme="minorEastAsia"/>
                <w:b/>
                <w:bCs/>
                <w:color w:val="000000"/>
                <w:sz w:val="24"/>
                <w:lang w:val="en-US" w:eastAsia="zh-CN"/>
              </w:rPr>
              <w:t>20</w:t>
            </w:r>
          </w:p>
        </w:tc>
      </w:tr>
    </w:tbl>
    <w:p>
      <w:pPr>
        <w:pStyle w:val="4"/>
        <w:ind w:firstLine="643"/>
        <w:rPr>
          <w:szCs w:val="32"/>
        </w:rPr>
      </w:pPr>
      <w:r>
        <w:rPr>
          <w:rFonts w:hint="eastAsia"/>
          <w:szCs w:val="32"/>
        </w:rPr>
        <w:t>（二）项目过程情况</w:t>
      </w:r>
    </w:p>
    <w:p>
      <w:pPr>
        <w:ind w:firstLine="640"/>
        <w:rPr>
          <w:color w:val="000000"/>
          <w:sz w:val="32"/>
          <w:szCs w:val="32"/>
          <w:u w:color="000000"/>
          <w:lang w:val="zh-TW" w:eastAsia="zh-TW"/>
        </w:rPr>
      </w:pPr>
      <w:r>
        <w:rPr>
          <w:rFonts w:hint="eastAsia"/>
          <w:color w:val="000000"/>
          <w:sz w:val="32"/>
          <w:szCs w:val="32"/>
          <w:u w:color="000000"/>
          <w:lang w:val="zh-TW" w:eastAsia="zh-TW"/>
        </w:rPr>
        <w:t>项目</w:t>
      </w:r>
      <w:r>
        <w:rPr>
          <w:rFonts w:hint="eastAsia" w:ascii="仿宋_GB2312"/>
          <w:sz w:val="32"/>
          <w:szCs w:val="32"/>
        </w:rPr>
        <w:t>过程</w:t>
      </w:r>
      <w:r>
        <w:rPr>
          <w:rFonts w:hint="eastAsia"/>
          <w:color w:val="000000"/>
          <w:sz w:val="32"/>
          <w:szCs w:val="32"/>
          <w:u w:color="000000"/>
        </w:rPr>
        <w:t>管理</w:t>
      </w:r>
      <w:r>
        <w:rPr>
          <w:rFonts w:hint="eastAsia"/>
          <w:color w:val="000000"/>
          <w:sz w:val="32"/>
          <w:szCs w:val="32"/>
          <w:u w:color="000000"/>
          <w:lang w:val="zh-TW" w:eastAsia="zh-TW"/>
        </w:rPr>
        <w:t>类指标由</w:t>
      </w:r>
      <w:r>
        <w:rPr>
          <w:rFonts w:hint="eastAsia"/>
          <w:color w:val="000000"/>
          <w:sz w:val="32"/>
          <w:szCs w:val="32"/>
          <w:u w:color="000000"/>
        </w:rPr>
        <w:t>2</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级指标和</w:t>
      </w:r>
      <w:r>
        <w:rPr>
          <w:rFonts w:hint="eastAsia"/>
          <w:color w:val="000000"/>
          <w:sz w:val="32"/>
          <w:szCs w:val="32"/>
          <w:u w:color="000000"/>
        </w:rPr>
        <w:t>5</w:t>
      </w:r>
      <w:r>
        <w:rPr>
          <w:rFonts w:hint="eastAsia"/>
          <w:color w:val="000000"/>
          <w:sz w:val="32"/>
          <w:szCs w:val="32"/>
          <w:u w:color="000000"/>
          <w:lang w:val="zh-TW" w:eastAsia="zh-TW"/>
        </w:rPr>
        <w:t>个</w:t>
      </w:r>
      <w:r>
        <w:rPr>
          <w:rFonts w:hint="eastAsia"/>
          <w:color w:val="000000"/>
          <w:sz w:val="32"/>
          <w:szCs w:val="32"/>
          <w:u w:color="000000"/>
        </w:rPr>
        <w:t>三</w:t>
      </w:r>
      <w:r>
        <w:rPr>
          <w:rFonts w:hint="eastAsia"/>
          <w:color w:val="000000"/>
          <w:sz w:val="32"/>
          <w:szCs w:val="32"/>
          <w:u w:color="000000"/>
          <w:lang w:val="zh-TW" w:eastAsia="zh-TW"/>
        </w:rPr>
        <w:t>级指标构成，权重分</w:t>
      </w:r>
      <w:r>
        <w:rPr>
          <w:rFonts w:hint="eastAsia"/>
          <w:color w:val="000000"/>
          <w:sz w:val="32"/>
          <w:szCs w:val="32"/>
          <w:u w:color="000000"/>
        </w:rPr>
        <w:t>20</w:t>
      </w:r>
      <w:r>
        <w:rPr>
          <w:rFonts w:hint="eastAsia"/>
          <w:color w:val="000000"/>
          <w:sz w:val="32"/>
          <w:szCs w:val="32"/>
          <w:u w:color="000000"/>
          <w:lang w:val="zh-TW" w:eastAsia="zh-TW"/>
        </w:rPr>
        <w:t>分，实际得分</w:t>
      </w:r>
      <w:r>
        <w:rPr>
          <w:rFonts w:hint="eastAsia"/>
          <w:color w:val="000000"/>
          <w:sz w:val="32"/>
          <w:szCs w:val="32"/>
          <w:u w:color="000000"/>
          <w:lang w:val="en-US" w:eastAsia="zh-CN"/>
        </w:rPr>
        <w:t>18</w:t>
      </w:r>
      <w:r>
        <w:rPr>
          <w:rFonts w:hint="eastAsia"/>
          <w:color w:val="000000"/>
          <w:sz w:val="32"/>
          <w:szCs w:val="32"/>
          <w:u w:color="000000"/>
          <w:lang w:val="zh-TW" w:eastAsia="zh-TW"/>
        </w:rPr>
        <w:t>分</w:t>
      </w:r>
      <w:r>
        <w:rPr>
          <w:rFonts w:hint="eastAsia"/>
          <w:color w:val="000000"/>
          <w:sz w:val="32"/>
          <w:szCs w:val="32"/>
          <w:u w:color="000000"/>
          <w:lang w:val="zh-TW"/>
        </w:rPr>
        <w:t>，</w:t>
      </w:r>
      <w:r>
        <w:rPr>
          <w:rFonts w:hint="eastAsia"/>
          <w:color w:val="000000"/>
          <w:sz w:val="32"/>
          <w:szCs w:val="32"/>
          <w:u w:color="000000"/>
          <w:lang w:val="zh-TW" w:eastAsia="zh-TW"/>
        </w:rPr>
        <w:t>各指标业绩值和绩效分值如表</w:t>
      </w:r>
      <w:r>
        <w:rPr>
          <w:rFonts w:hint="eastAsia"/>
          <w:color w:val="000000"/>
          <w:sz w:val="32"/>
          <w:szCs w:val="32"/>
          <w:u w:color="000000"/>
        </w:rPr>
        <w:t>4</w:t>
      </w:r>
      <w:r>
        <w:rPr>
          <w:color w:val="000000"/>
          <w:sz w:val="32"/>
          <w:szCs w:val="32"/>
          <w:u w:color="000000"/>
        </w:rPr>
        <w:t>-</w:t>
      </w:r>
      <w:r>
        <w:rPr>
          <w:rFonts w:hint="eastAsia"/>
          <w:color w:val="000000"/>
          <w:sz w:val="32"/>
          <w:szCs w:val="32"/>
          <w:u w:color="000000"/>
        </w:rPr>
        <w:t>2</w:t>
      </w:r>
      <w:r>
        <w:rPr>
          <w:rFonts w:hint="eastAsia"/>
          <w:color w:val="000000"/>
          <w:sz w:val="32"/>
          <w:szCs w:val="32"/>
          <w:u w:color="000000"/>
          <w:lang w:val="zh-TW" w:eastAsia="zh-TW"/>
        </w:rPr>
        <w:t>所示：</w:t>
      </w:r>
    </w:p>
    <w:p>
      <w:pPr>
        <w:ind w:firstLine="562"/>
        <w:jc w:val="center"/>
        <w:rPr>
          <w:b/>
          <w:bCs/>
          <w:color w:val="000000"/>
          <w:u w:color="000000"/>
        </w:rPr>
      </w:pPr>
      <w:r>
        <w:rPr>
          <w:rFonts w:hint="eastAsia"/>
          <w:b/>
          <w:bCs/>
          <w:color w:val="000000"/>
          <w:u w:color="000000"/>
          <w:lang w:val="zh-TW" w:eastAsia="zh-TW"/>
        </w:rPr>
        <w:t>表</w:t>
      </w:r>
      <w:r>
        <w:rPr>
          <w:rFonts w:hint="eastAsia"/>
          <w:b/>
          <w:bCs/>
          <w:color w:val="000000"/>
          <w:u w:color="000000"/>
        </w:rPr>
        <w:t>4</w:t>
      </w:r>
      <w:r>
        <w:rPr>
          <w:b/>
          <w:bCs/>
          <w:color w:val="000000"/>
          <w:u w:color="000000"/>
        </w:rPr>
        <w:t>-</w:t>
      </w:r>
      <w:r>
        <w:rPr>
          <w:rFonts w:hint="eastAsia"/>
          <w:b/>
          <w:bCs/>
          <w:color w:val="000000"/>
          <w:u w:color="000000"/>
        </w:rPr>
        <w:t>2</w:t>
      </w:r>
      <w:r>
        <w:rPr>
          <w:rFonts w:hint="eastAsia"/>
          <w:b/>
          <w:bCs/>
          <w:color w:val="000000"/>
          <w:u w:color="000000"/>
          <w:lang w:val="zh-TW" w:eastAsia="zh-TW"/>
        </w:rPr>
        <w:t>项目</w:t>
      </w:r>
      <w:r>
        <w:rPr>
          <w:rFonts w:hint="eastAsia"/>
          <w:b/>
          <w:bCs/>
          <w:color w:val="000000"/>
          <w:u w:color="000000"/>
          <w:lang w:val="zh-TW"/>
        </w:rPr>
        <w:t>管理</w:t>
      </w:r>
      <w:r>
        <w:rPr>
          <w:rFonts w:hint="eastAsia"/>
          <w:b/>
          <w:bCs/>
          <w:color w:val="000000"/>
          <w:u w:color="000000"/>
          <w:lang w:val="zh-TW" w:eastAsia="zh-TW"/>
        </w:rPr>
        <w:t>指标及分值</w:t>
      </w:r>
      <w:r>
        <w:rPr>
          <w:rFonts w:hint="eastAsia"/>
          <w:b/>
          <w:bCs/>
          <w:color w:val="000000"/>
          <w:u w:color="000000"/>
        </w:rPr>
        <w:t>情况</w:t>
      </w:r>
    </w:p>
    <w:tbl>
      <w:tblPr>
        <w:tblStyle w:val="18"/>
        <w:tblW w:w="8477" w:type="dxa"/>
        <w:jc w:val="center"/>
        <w:tblInd w:w="0" w:type="dxa"/>
        <w:tblLayout w:type="fixed"/>
        <w:tblCellMar>
          <w:top w:w="0" w:type="dxa"/>
          <w:left w:w="0" w:type="dxa"/>
          <w:bottom w:w="0" w:type="dxa"/>
          <w:right w:w="0" w:type="dxa"/>
        </w:tblCellMar>
      </w:tblPr>
      <w:tblGrid>
        <w:gridCol w:w="1290"/>
        <w:gridCol w:w="738"/>
        <w:gridCol w:w="1248"/>
        <w:gridCol w:w="1176"/>
        <w:gridCol w:w="1867"/>
        <w:gridCol w:w="1132"/>
        <w:gridCol w:w="1026"/>
      </w:tblGrid>
      <w:tr>
        <w:tblPrEx>
          <w:tblLayout w:type="fixed"/>
          <w:tblCellMar>
            <w:top w:w="0" w:type="dxa"/>
            <w:left w:w="0" w:type="dxa"/>
            <w:bottom w:w="0" w:type="dxa"/>
            <w:right w:w="0" w:type="dxa"/>
          </w:tblCellMar>
        </w:tblPrEx>
        <w:trPr>
          <w:trHeight w:val="408" w:hRule="atLeast"/>
          <w:tblHeader/>
          <w:jc w:val="center"/>
        </w:trPr>
        <w:tc>
          <w:tcPr>
            <w:tcW w:w="12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分值</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三级指标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分值</w:t>
            </w:r>
          </w:p>
        </w:tc>
        <w:tc>
          <w:tcPr>
            <w:tcW w:w="102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得分</w:t>
            </w:r>
          </w:p>
        </w:tc>
      </w:tr>
      <w:tr>
        <w:tblPrEx>
          <w:tblLayout w:type="fixed"/>
          <w:tblCellMar>
            <w:top w:w="0" w:type="dxa"/>
            <w:left w:w="0" w:type="dxa"/>
            <w:bottom w:w="0" w:type="dxa"/>
            <w:right w:w="0" w:type="dxa"/>
          </w:tblCellMar>
        </w:tblPrEx>
        <w:trPr>
          <w:trHeight w:val="408" w:hRule="atLeast"/>
          <w:jc w:val="center"/>
        </w:trPr>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color w:val="000000"/>
                <w:sz w:val="24"/>
                <w:szCs w:val="24"/>
              </w:rPr>
            </w:pPr>
            <w:r>
              <w:rPr>
                <w:rFonts w:hint="eastAsia" w:ascii="仿宋_GB2312" w:hAnsiTheme="minorEastAsia" w:cstheme="minorEastAsia"/>
                <w:color w:val="000000"/>
                <w:sz w:val="24"/>
                <w:szCs w:val="24"/>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textAlignment w:val="center"/>
              <w:rPr>
                <w:rFonts w:ascii="仿宋_GB2312" w:hAnsiTheme="minorEastAsia" w:cstheme="minorEastAsia"/>
                <w:color w:val="000000"/>
                <w:sz w:val="24"/>
                <w:szCs w:val="24"/>
              </w:rPr>
            </w:pPr>
            <w:r>
              <w:rPr>
                <w:rFonts w:hint="eastAsia" w:ascii="仿宋_GB2312" w:hAnsiTheme="minorEastAsia" w:cstheme="minorEastAsia"/>
                <w:color w:val="000000"/>
                <w:sz w:val="24"/>
                <w:szCs w:val="24"/>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both"/>
              <w:textAlignment w:val="center"/>
              <w:rPr>
                <w:rFonts w:ascii="仿宋_GB2312" w:hAnsiTheme="minorEastAsia" w:cstheme="minorEastAsia"/>
                <w:color w:val="000000"/>
                <w:sz w:val="24"/>
                <w:szCs w:val="24"/>
              </w:rPr>
            </w:pPr>
            <w:r>
              <w:rPr>
                <w:rFonts w:hint="eastAsia" w:ascii="仿宋_GB2312" w:hAnsiTheme="minorEastAsia" w:cstheme="minorEastAsia"/>
                <w:color w:val="000000"/>
                <w:sz w:val="24"/>
                <w:szCs w:val="24"/>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textAlignment w:val="center"/>
              <w:rPr>
                <w:rFonts w:ascii="仿宋_GB2312" w:hAnsiTheme="minorEastAsia" w:cstheme="minorEastAsia"/>
                <w:color w:val="000000"/>
                <w:sz w:val="24"/>
                <w:szCs w:val="24"/>
              </w:rPr>
            </w:pPr>
            <w:r>
              <w:rPr>
                <w:rFonts w:hint="eastAsia" w:ascii="仿宋_GB2312" w:hAnsiTheme="minorEastAsia" w:cstheme="minorEastAsia"/>
                <w:color w:val="000000"/>
                <w:sz w:val="24"/>
                <w:szCs w:val="24"/>
              </w:rPr>
              <w:t>12</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szCs w:val="24"/>
              </w:rPr>
            </w:pPr>
            <w:r>
              <w:rPr>
                <w:rFonts w:hint="eastAsia" w:ascii="仿宋_GB2312" w:hAnsiTheme="minorEastAsia" w:cstheme="minorEastAsia"/>
                <w:color w:val="000000"/>
                <w:kern w:val="0"/>
                <w:sz w:val="24"/>
                <w:szCs w:val="24"/>
              </w:rPr>
              <w:t>资金到位率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sz w:val="24"/>
                <w:szCs w:val="24"/>
              </w:rPr>
            </w:pPr>
            <w:r>
              <w:rPr>
                <w:rFonts w:hint="eastAsia" w:ascii="仿宋_GB2312" w:hAnsiTheme="minorEastAsia" w:cstheme="minorEastAsia"/>
                <w:sz w:val="24"/>
                <w:szCs w:val="24"/>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szCs w:val="24"/>
                <w:lang w:val="en-US" w:eastAsia="zh-CN"/>
              </w:rPr>
            </w:pPr>
            <w:r>
              <w:rPr>
                <w:rFonts w:hint="eastAsia" w:ascii="仿宋_GB2312" w:hAnsiTheme="minorEastAsia" w:cstheme="minorEastAsia"/>
                <w:color w:val="000000"/>
                <w:sz w:val="24"/>
                <w:szCs w:val="24"/>
                <w:lang w:val="en-US" w:eastAsia="zh-CN"/>
              </w:rPr>
              <w:t>4</w:t>
            </w:r>
          </w:p>
        </w:tc>
      </w:tr>
      <w:tr>
        <w:tblPrEx>
          <w:tblLayout w:type="fixed"/>
          <w:tblCellMar>
            <w:top w:w="0" w:type="dxa"/>
            <w:left w:w="0" w:type="dxa"/>
            <w:bottom w:w="0" w:type="dxa"/>
            <w:right w:w="0" w:type="dxa"/>
          </w:tblCellMar>
        </w:tblPrEx>
        <w:trPr>
          <w:trHeight w:val="408"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rPr>
                <w:rFonts w:ascii="仿宋_GB2312" w:hAnsiTheme="minorEastAsia" w:cstheme="minorEastAsia"/>
                <w:color w:val="000000"/>
                <w:sz w:val="24"/>
                <w:szCs w:val="24"/>
              </w:rPr>
            </w:pP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szCs w:val="24"/>
              </w:rPr>
            </w:pPr>
            <w:r>
              <w:rPr>
                <w:rFonts w:hint="eastAsia" w:ascii="仿宋_GB2312" w:hAnsiTheme="minorEastAsia" w:cstheme="minorEastAsia"/>
                <w:color w:val="000000"/>
                <w:kern w:val="0"/>
                <w:sz w:val="24"/>
                <w:szCs w:val="24"/>
              </w:rPr>
              <w:t>预算执行率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sz w:val="24"/>
                <w:szCs w:val="24"/>
              </w:rPr>
            </w:pPr>
            <w:r>
              <w:rPr>
                <w:rFonts w:hint="eastAsia" w:ascii="仿宋_GB2312" w:hAnsiTheme="minorEastAsia" w:cstheme="minorEastAsia"/>
                <w:sz w:val="24"/>
                <w:szCs w:val="24"/>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szCs w:val="24"/>
                <w:lang w:val="en-US" w:eastAsia="zh-CN"/>
              </w:rPr>
            </w:pPr>
            <w:r>
              <w:rPr>
                <w:rFonts w:hint="eastAsia" w:ascii="仿宋_GB2312" w:hAnsiTheme="minorEastAsia" w:cstheme="minorEastAsia"/>
                <w:color w:val="000000"/>
                <w:sz w:val="24"/>
                <w:szCs w:val="24"/>
                <w:lang w:val="en-US" w:eastAsia="zh-CN"/>
              </w:rPr>
              <w:t>2</w:t>
            </w:r>
          </w:p>
        </w:tc>
      </w:tr>
      <w:tr>
        <w:tblPrEx>
          <w:tblLayout w:type="fixed"/>
          <w:tblCellMar>
            <w:top w:w="0" w:type="dxa"/>
            <w:left w:w="0" w:type="dxa"/>
            <w:bottom w:w="0" w:type="dxa"/>
            <w:right w:w="0" w:type="dxa"/>
          </w:tblCellMar>
        </w:tblPrEx>
        <w:trPr>
          <w:trHeight w:val="408"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rPr>
                <w:rFonts w:ascii="仿宋_GB2312" w:hAnsiTheme="minorEastAsia" w:cstheme="minorEastAsia"/>
                <w:color w:val="000000"/>
                <w:sz w:val="24"/>
                <w:szCs w:val="24"/>
              </w:rPr>
            </w:pP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left"/>
              <w:textAlignment w:val="center"/>
              <w:rPr>
                <w:rFonts w:ascii="仿宋_GB2312" w:hAnsiTheme="minorEastAsia" w:cstheme="minorEastAsia"/>
                <w:color w:val="000000"/>
                <w:sz w:val="24"/>
                <w:szCs w:val="24"/>
              </w:rPr>
            </w:pPr>
            <w:r>
              <w:rPr>
                <w:rFonts w:hint="eastAsia" w:ascii="仿宋_GB2312" w:hAnsiTheme="minorEastAsia" w:cstheme="minorEastAsia"/>
                <w:color w:val="000000"/>
                <w:kern w:val="0"/>
                <w:sz w:val="24"/>
                <w:szCs w:val="24"/>
              </w:rPr>
              <w:t>资金使用合规性</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sz w:val="24"/>
                <w:szCs w:val="24"/>
              </w:rPr>
            </w:pPr>
            <w:r>
              <w:rPr>
                <w:rFonts w:hint="eastAsia" w:ascii="仿宋_GB2312" w:hAnsiTheme="minorEastAsia" w:cstheme="minorEastAsia"/>
                <w:sz w:val="24"/>
                <w:szCs w:val="24"/>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szCs w:val="24"/>
                <w:lang w:val="en-US" w:eastAsia="zh-CN"/>
              </w:rPr>
            </w:pPr>
            <w:r>
              <w:rPr>
                <w:rFonts w:hint="eastAsia" w:ascii="仿宋_GB2312" w:hAnsiTheme="minorEastAsia" w:cstheme="minorEastAsia"/>
                <w:color w:val="000000"/>
                <w:sz w:val="24"/>
                <w:szCs w:val="24"/>
                <w:lang w:val="en-US" w:eastAsia="zh-CN"/>
              </w:rPr>
              <w:t>4</w:t>
            </w:r>
          </w:p>
        </w:tc>
      </w:tr>
      <w:tr>
        <w:tblPrEx>
          <w:tblLayout w:type="fixed"/>
          <w:tblCellMar>
            <w:top w:w="0" w:type="dxa"/>
            <w:left w:w="0" w:type="dxa"/>
            <w:bottom w:w="0" w:type="dxa"/>
            <w:right w:w="0" w:type="dxa"/>
          </w:tblCellMar>
        </w:tblPrEx>
        <w:trPr>
          <w:trHeight w:val="408"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textAlignment w:val="center"/>
              <w:rPr>
                <w:rFonts w:ascii="仿宋_GB2312" w:hAnsiTheme="minorEastAsia" w:cstheme="minorEastAsia"/>
                <w:color w:val="000000"/>
                <w:sz w:val="24"/>
                <w:szCs w:val="24"/>
              </w:rPr>
            </w:pPr>
            <w:r>
              <w:rPr>
                <w:rFonts w:hint="eastAsia" w:ascii="仿宋_GB2312" w:hAnsiTheme="minorEastAsia" w:cstheme="minorEastAsia"/>
                <w:color w:val="000000"/>
                <w:sz w:val="24"/>
                <w:szCs w:val="24"/>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textAlignment w:val="center"/>
              <w:rPr>
                <w:rFonts w:ascii="仿宋_GB2312" w:hAnsiTheme="minorEastAsia" w:cstheme="minorEastAsia"/>
                <w:color w:val="000000"/>
                <w:sz w:val="24"/>
                <w:szCs w:val="24"/>
              </w:rPr>
            </w:pPr>
            <w:r>
              <w:rPr>
                <w:rFonts w:hint="eastAsia" w:ascii="仿宋_GB2312" w:hAnsiTheme="minorEastAsia" w:cstheme="minorEastAsia"/>
                <w:color w:val="000000"/>
                <w:sz w:val="24"/>
                <w:szCs w:val="24"/>
              </w:rPr>
              <w:t>8</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both"/>
              <w:textAlignment w:val="center"/>
              <w:rPr>
                <w:rFonts w:ascii="仿宋_GB2312" w:hAnsiTheme="minorEastAsia" w:cstheme="minorEastAsia"/>
                <w:color w:val="000000"/>
                <w:sz w:val="24"/>
                <w:szCs w:val="24"/>
              </w:rPr>
            </w:pPr>
            <w:r>
              <w:rPr>
                <w:rFonts w:hint="eastAsia" w:ascii="仿宋_GB2312" w:hAnsiTheme="minorEastAsia" w:cstheme="minorEastAsia"/>
                <w:color w:val="000000"/>
                <w:kern w:val="0"/>
                <w:sz w:val="24"/>
                <w:szCs w:val="24"/>
              </w:rPr>
              <w:t>管理制度健全性</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sz w:val="24"/>
                <w:szCs w:val="24"/>
              </w:rPr>
            </w:pPr>
            <w:r>
              <w:rPr>
                <w:rFonts w:hint="eastAsia" w:ascii="仿宋_GB2312" w:hAnsiTheme="minorEastAsia" w:cstheme="minorEastAsia"/>
                <w:sz w:val="24"/>
                <w:szCs w:val="24"/>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szCs w:val="24"/>
                <w:lang w:val="en-US" w:eastAsia="zh-CN"/>
              </w:rPr>
            </w:pPr>
            <w:r>
              <w:rPr>
                <w:rFonts w:hint="eastAsia" w:ascii="仿宋_GB2312" w:hAnsiTheme="minorEastAsia" w:cstheme="minorEastAsia"/>
                <w:color w:val="000000"/>
                <w:sz w:val="24"/>
                <w:szCs w:val="24"/>
                <w:lang w:val="en-US" w:eastAsia="zh-CN"/>
              </w:rPr>
              <w:t>4</w:t>
            </w:r>
          </w:p>
        </w:tc>
      </w:tr>
      <w:tr>
        <w:tblPrEx>
          <w:tblLayout w:type="fixed"/>
          <w:tblCellMar>
            <w:top w:w="0" w:type="dxa"/>
            <w:left w:w="0" w:type="dxa"/>
            <w:bottom w:w="0" w:type="dxa"/>
            <w:right w:w="0" w:type="dxa"/>
          </w:tblCellMar>
        </w:tblPrEx>
        <w:trPr>
          <w:trHeight w:val="408"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szCs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rPr>
                <w:rFonts w:ascii="仿宋_GB2312" w:hAnsiTheme="minorEastAsia" w:cstheme="minorEastAsia"/>
                <w:color w:val="000000"/>
                <w:sz w:val="24"/>
                <w:szCs w:val="24"/>
              </w:rPr>
            </w:pP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both"/>
              <w:textAlignment w:val="center"/>
              <w:rPr>
                <w:rFonts w:ascii="仿宋_GB2312" w:hAnsiTheme="minorEastAsia" w:cstheme="minorEastAsia"/>
                <w:color w:val="000000"/>
                <w:sz w:val="24"/>
                <w:szCs w:val="24"/>
              </w:rPr>
            </w:pPr>
            <w:r>
              <w:rPr>
                <w:rFonts w:hint="eastAsia" w:ascii="仿宋_GB2312" w:hAnsiTheme="minorEastAsia" w:cstheme="minorEastAsia"/>
                <w:color w:val="000000"/>
                <w:kern w:val="0"/>
                <w:sz w:val="24"/>
                <w:szCs w:val="24"/>
              </w:rPr>
              <w:t>制度执行有效性</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ascii="仿宋_GB2312" w:hAnsiTheme="minorEastAsia" w:cstheme="minorEastAsia"/>
                <w:sz w:val="24"/>
                <w:szCs w:val="24"/>
              </w:rPr>
            </w:pPr>
            <w:r>
              <w:rPr>
                <w:rFonts w:hint="eastAsia" w:ascii="仿宋_GB2312" w:hAnsiTheme="minorEastAsia" w:cstheme="minorEastAsia"/>
                <w:sz w:val="24"/>
                <w:szCs w:val="24"/>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right"/>
              <w:textAlignment w:val="center"/>
              <w:rPr>
                <w:rFonts w:hint="eastAsia" w:ascii="仿宋_GB2312" w:eastAsia="仿宋_GB2312" w:hAnsiTheme="minorEastAsia" w:cstheme="minorEastAsia"/>
                <w:color w:val="000000"/>
                <w:sz w:val="24"/>
                <w:szCs w:val="24"/>
                <w:lang w:val="en-US" w:eastAsia="zh-CN"/>
              </w:rPr>
            </w:pPr>
            <w:r>
              <w:rPr>
                <w:rFonts w:hint="eastAsia" w:ascii="仿宋_GB2312" w:hAnsiTheme="minorEastAsia" w:cstheme="minorEastAsia"/>
                <w:color w:val="000000"/>
                <w:sz w:val="24"/>
                <w:szCs w:val="24"/>
                <w:lang w:val="en-US" w:eastAsia="zh-CN"/>
              </w:rPr>
              <w:t>4</w:t>
            </w:r>
          </w:p>
        </w:tc>
      </w:tr>
      <w:tr>
        <w:tblPrEx>
          <w:tblLayout w:type="fixed"/>
          <w:tblCellMar>
            <w:top w:w="0" w:type="dxa"/>
            <w:left w:w="0" w:type="dxa"/>
            <w:bottom w:w="0" w:type="dxa"/>
            <w:right w:w="0" w:type="dxa"/>
          </w:tblCellMar>
        </w:tblPrEx>
        <w:trPr>
          <w:trHeight w:val="408" w:hRule="atLeast"/>
          <w:jc w:val="center"/>
        </w:trPr>
        <w:tc>
          <w:tcPr>
            <w:tcW w:w="12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合计</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rPr>
                <w:rFonts w:hint="default" w:ascii="仿宋_GB2312" w:eastAsia="仿宋_GB2312" w:hAnsiTheme="minorEastAsia" w:cstheme="minorEastAsia"/>
                <w:b/>
                <w:bCs/>
                <w:color w:val="000000"/>
                <w:sz w:val="24"/>
                <w:szCs w:val="24"/>
                <w:lang w:val="en-US" w:eastAsia="zh-CN"/>
              </w:rPr>
            </w:pPr>
            <w:r>
              <w:rPr>
                <w:rFonts w:hint="eastAsia" w:ascii="仿宋_GB2312" w:hAnsiTheme="minorEastAsia" w:cstheme="minorEastAsia"/>
                <w:b/>
                <w:bCs/>
                <w:color w:val="000000"/>
                <w:sz w:val="24"/>
                <w:szCs w:val="24"/>
                <w:lang w:val="en-US" w:eastAsia="zh-CN"/>
              </w:rPr>
              <w:t>20</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hint="eastAsia" w:ascii="仿宋_GB2312" w:hAnsiTheme="minorEastAsia" w:cstheme="minorEastAsia"/>
                <w:b/>
                <w:bCs/>
                <w:color w:val="000000"/>
                <w:sz w:val="24"/>
                <w:szCs w:val="24"/>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20</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b/>
                <w:bCs/>
                <w:color w:val="000000"/>
                <w:sz w:val="24"/>
                <w:szCs w:val="24"/>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textAlignment w:val="center"/>
              <w:rPr>
                <w:rFonts w:ascii="仿宋_GB2312" w:hAnsiTheme="minorEastAsia" w:cstheme="minorEastAsia"/>
                <w:b/>
                <w:bCs/>
                <w:color w:val="000000"/>
                <w:sz w:val="24"/>
                <w:szCs w:val="24"/>
              </w:rPr>
            </w:pPr>
            <w:r>
              <w:rPr>
                <w:rFonts w:hint="eastAsia" w:ascii="仿宋_GB2312" w:hAnsiTheme="minorEastAsia" w:cstheme="minorEastAsia"/>
                <w:b/>
                <w:bCs/>
                <w:color w:val="000000"/>
                <w:sz w:val="24"/>
                <w:szCs w:val="24"/>
              </w:rPr>
              <w:t>20</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right"/>
              <w:textAlignment w:val="center"/>
              <w:rPr>
                <w:rFonts w:hint="default" w:ascii="仿宋_GB2312" w:hAnsiTheme="minorEastAsia" w:cstheme="minorEastAsia"/>
                <w:b/>
                <w:bCs/>
                <w:color w:val="000000"/>
                <w:sz w:val="24"/>
                <w:szCs w:val="24"/>
              </w:rPr>
            </w:pPr>
            <w:r>
              <w:rPr>
                <w:rFonts w:hint="default" w:ascii="仿宋_GB2312" w:hAnsiTheme="minorEastAsia" w:cstheme="minorEastAsia"/>
                <w:b/>
                <w:bCs/>
                <w:color w:val="000000"/>
                <w:sz w:val="24"/>
                <w:szCs w:val="24"/>
              </w:rPr>
              <w:fldChar w:fldCharType="begin"/>
            </w:r>
            <w:r>
              <w:rPr>
                <w:rFonts w:hint="default" w:ascii="仿宋_GB2312" w:hAnsiTheme="minorEastAsia" w:cstheme="minorEastAsia"/>
                <w:b/>
                <w:bCs/>
                <w:color w:val="000000"/>
                <w:sz w:val="24"/>
                <w:szCs w:val="24"/>
              </w:rPr>
              <w:instrText xml:space="preserve"> =SUM(ABOVE) \* MERGEFORMAT </w:instrText>
            </w:r>
            <w:r>
              <w:rPr>
                <w:rFonts w:hint="default" w:ascii="仿宋_GB2312" w:hAnsiTheme="minorEastAsia" w:cstheme="minorEastAsia"/>
                <w:b/>
                <w:bCs/>
                <w:color w:val="000000"/>
                <w:sz w:val="24"/>
                <w:szCs w:val="24"/>
              </w:rPr>
              <w:fldChar w:fldCharType="separate"/>
            </w:r>
            <w:r>
              <w:rPr>
                <w:rFonts w:hint="default" w:ascii="仿宋_GB2312" w:hAnsiTheme="minorEastAsia" w:cstheme="minorEastAsia"/>
                <w:b/>
                <w:bCs/>
                <w:color w:val="000000"/>
                <w:sz w:val="24"/>
                <w:szCs w:val="24"/>
              </w:rPr>
              <w:t>18</w:t>
            </w:r>
            <w:r>
              <w:rPr>
                <w:rFonts w:hint="default" w:ascii="仿宋_GB2312" w:hAnsiTheme="minorEastAsia" w:cstheme="minorEastAsia"/>
                <w:b/>
                <w:bCs/>
                <w:color w:val="000000"/>
                <w:sz w:val="24"/>
                <w:szCs w:val="24"/>
              </w:rPr>
              <w:fldChar w:fldCharType="end"/>
            </w:r>
          </w:p>
        </w:tc>
      </w:tr>
    </w:tbl>
    <w:p>
      <w:pPr>
        <w:pStyle w:val="4"/>
        <w:numPr>
          <w:ilvl w:val="0"/>
          <w:numId w:val="0"/>
        </w:numPr>
        <w:ind w:firstLine="643" w:firstLineChars="200"/>
        <w:rPr>
          <w:szCs w:val="32"/>
        </w:rPr>
      </w:pPr>
      <w:r>
        <w:rPr>
          <w:rFonts w:hint="eastAsia"/>
          <w:szCs w:val="32"/>
          <w:lang w:eastAsia="zh-CN"/>
        </w:rPr>
        <w:t>（</w:t>
      </w:r>
      <w:r>
        <w:rPr>
          <w:rFonts w:hint="eastAsia"/>
          <w:szCs w:val="32"/>
          <w:lang w:val="en-US" w:eastAsia="zh-CN"/>
        </w:rPr>
        <w:t>三</w:t>
      </w:r>
      <w:r>
        <w:rPr>
          <w:rFonts w:hint="eastAsia"/>
          <w:szCs w:val="32"/>
          <w:lang w:eastAsia="zh-CN"/>
        </w:rPr>
        <w:t>）</w:t>
      </w:r>
      <w:r>
        <w:rPr>
          <w:rFonts w:hint="eastAsia"/>
          <w:szCs w:val="32"/>
        </w:rPr>
        <w:t>项目产出情况</w:t>
      </w:r>
    </w:p>
    <w:p>
      <w:pPr>
        <w:ind w:firstLine="640"/>
        <w:rPr>
          <w:color w:val="000000"/>
          <w:sz w:val="32"/>
          <w:szCs w:val="32"/>
          <w:u w:color="000000"/>
          <w:lang w:val="zh-TW" w:eastAsia="zh-TW"/>
        </w:rPr>
      </w:pPr>
      <w:r>
        <w:rPr>
          <w:rFonts w:hint="eastAsia"/>
          <w:color w:val="000000"/>
          <w:sz w:val="32"/>
          <w:szCs w:val="32"/>
          <w:u w:color="000000"/>
          <w:lang w:val="zh-TW" w:eastAsia="zh-TW"/>
        </w:rPr>
        <w:t>项目</w:t>
      </w:r>
      <w:r>
        <w:rPr>
          <w:rFonts w:hint="eastAsia" w:ascii="仿宋_GB2312"/>
          <w:sz w:val="32"/>
          <w:szCs w:val="32"/>
        </w:rPr>
        <w:t>产出</w:t>
      </w:r>
      <w:r>
        <w:rPr>
          <w:rFonts w:hint="eastAsia"/>
          <w:color w:val="000000"/>
          <w:sz w:val="32"/>
          <w:szCs w:val="32"/>
          <w:u w:color="000000"/>
          <w:lang w:val="zh-TW" w:eastAsia="zh-TW"/>
        </w:rPr>
        <w:t>类指标由</w:t>
      </w:r>
      <w:r>
        <w:rPr>
          <w:rFonts w:hint="eastAsia"/>
          <w:color w:val="000000"/>
          <w:sz w:val="32"/>
          <w:szCs w:val="32"/>
          <w:u w:color="000000"/>
        </w:rPr>
        <w:t>4</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级指标和</w:t>
      </w:r>
      <w:r>
        <w:rPr>
          <w:rFonts w:hint="eastAsia"/>
          <w:color w:val="000000"/>
          <w:sz w:val="32"/>
          <w:szCs w:val="32"/>
          <w:u w:color="000000"/>
          <w:lang w:val="en-US" w:eastAsia="zh-CN"/>
        </w:rPr>
        <w:t>10</w:t>
      </w:r>
      <w:r>
        <w:rPr>
          <w:rFonts w:hint="eastAsia"/>
          <w:color w:val="000000"/>
          <w:sz w:val="32"/>
          <w:szCs w:val="32"/>
          <w:u w:color="000000"/>
          <w:lang w:val="zh-TW" w:eastAsia="zh-TW"/>
        </w:rPr>
        <w:t>个</w:t>
      </w:r>
      <w:r>
        <w:rPr>
          <w:rFonts w:hint="eastAsia"/>
          <w:color w:val="000000"/>
          <w:sz w:val="32"/>
          <w:szCs w:val="32"/>
          <w:u w:color="000000"/>
        </w:rPr>
        <w:t>三</w:t>
      </w:r>
      <w:r>
        <w:rPr>
          <w:rFonts w:hint="eastAsia"/>
          <w:color w:val="000000"/>
          <w:sz w:val="32"/>
          <w:szCs w:val="32"/>
          <w:u w:color="000000"/>
          <w:lang w:val="zh-TW" w:eastAsia="zh-TW"/>
        </w:rPr>
        <w:t>级指标构成，权重分</w:t>
      </w:r>
      <w:r>
        <w:rPr>
          <w:rFonts w:hint="eastAsia"/>
          <w:color w:val="000000"/>
          <w:sz w:val="32"/>
          <w:szCs w:val="32"/>
          <w:u w:color="000000"/>
        </w:rPr>
        <w:t>30</w:t>
      </w:r>
      <w:r>
        <w:rPr>
          <w:rFonts w:hint="eastAsia"/>
          <w:color w:val="000000"/>
          <w:sz w:val="32"/>
          <w:szCs w:val="32"/>
          <w:u w:color="000000"/>
          <w:lang w:val="zh-TW" w:eastAsia="zh-TW"/>
        </w:rPr>
        <w:t>分，实际得分</w:t>
      </w:r>
      <w:r>
        <w:rPr>
          <w:rFonts w:hint="eastAsia"/>
          <w:color w:val="000000"/>
          <w:sz w:val="32"/>
          <w:szCs w:val="32"/>
          <w:u w:color="000000"/>
          <w:lang w:val="en-US" w:eastAsia="zh-CN"/>
        </w:rPr>
        <w:t>29</w:t>
      </w:r>
      <w:r>
        <w:rPr>
          <w:rFonts w:hint="eastAsia"/>
          <w:color w:val="000000"/>
          <w:sz w:val="32"/>
          <w:szCs w:val="32"/>
          <w:u w:color="000000"/>
          <w:lang w:val="zh-TW" w:eastAsia="zh-TW"/>
        </w:rPr>
        <w:t>分</w:t>
      </w:r>
      <w:r>
        <w:rPr>
          <w:rFonts w:hint="eastAsia"/>
          <w:color w:val="000000"/>
          <w:sz w:val="32"/>
          <w:szCs w:val="32"/>
          <w:u w:color="000000"/>
          <w:lang w:val="zh-TW"/>
        </w:rPr>
        <w:t>，</w:t>
      </w:r>
      <w:r>
        <w:rPr>
          <w:rFonts w:hint="eastAsia"/>
          <w:color w:val="000000"/>
          <w:sz w:val="32"/>
          <w:szCs w:val="32"/>
          <w:u w:color="000000"/>
          <w:lang w:val="zh-TW" w:eastAsia="zh-TW"/>
        </w:rPr>
        <w:t>各指标业绩值和绩效分值如表</w:t>
      </w:r>
      <w:r>
        <w:rPr>
          <w:rFonts w:hint="eastAsia"/>
          <w:color w:val="000000"/>
          <w:sz w:val="32"/>
          <w:szCs w:val="32"/>
          <w:u w:color="000000"/>
        </w:rPr>
        <w:t>4</w:t>
      </w:r>
      <w:r>
        <w:rPr>
          <w:color w:val="000000"/>
          <w:sz w:val="32"/>
          <w:szCs w:val="32"/>
          <w:u w:color="000000"/>
        </w:rPr>
        <w:t>-</w:t>
      </w:r>
      <w:r>
        <w:rPr>
          <w:rFonts w:hint="eastAsia"/>
          <w:color w:val="000000"/>
          <w:sz w:val="32"/>
          <w:szCs w:val="32"/>
          <w:u w:color="000000"/>
        </w:rPr>
        <w:t>3</w:t>
      </w:r>
      <w:r>
        <w:rPr>
          <w:rFonts w:hint="eastAsia"/>
          <w:color w:val="000000"/>
          <w:sz w:val="32"/>
          <w:szCs w:val="32"/>
          <w:u w:color="000000"/>
          <w:lang w:val="zh-TW" w:eastAsia="zh-TW"/>
        </w:rPr>
        <w:t>所示：</w:t>
      </w:r>
    </w:p>
    <w:p>
      <w:pPr>
        <w:keepNext/>
        <w:keepLines/>
        <w:ind w:firstLine="562"/>
        <w:jc w:val="center"/>
        <w:rPr>
          <w:rFonts w:ascii="仿宋_GB2312" w:hAnsi="仿宋_GB2312" w:cs="仿宋_GB2312"/>
          <w:b/>
          <w:bCs/>
        </w:rP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4-3</w:t>
      </w:r>
      <w:r>
        <w:rPr>
          <w:rFonts w:hint="eastAsia" w:ascii="仿宋_GB2312" w:hAnsi="仿宋_GB2312" w:cs="仿宋_GB2312"/>
          <w:b/>
          <w:bCs/>
        </w:rPr>
        <w:t>项目产出</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18"/>
        <w:tblW w:w="8869" w:type="dxa"/>
        <w:tblInd w:w="0" w:type="dxa"/>
        <w:tblLayout w:type="fixed"/>
        <w:tblCellMar>
          <w:top w:w="0" w:type="dxa"/>
          <w:left w:w="0" w:type="dxa"/>
          <w:bottom w:w="0" w:type="dxa"/>
          <w:right w:w="0" w:type="dxa"/>
        </w:tblCellMar>
      </w:tblPr>
      <w:tblGrid>
        <w:gridCol w:w="450"/>
        <w:gridCol w:w="870"/>
        <w:gridCol w:w="3576"/>
        <w:gridCol w:w="1874"/>
        <w:gridCol w:w="269"/>
        <w:gridCol w:w="1290"/>
        <w:gridCol w:w="270"/>
        <w:gridCol w:w="270"/>
      </w:tblGrid>
      <w:tr>
        <w:tblPrEx>
          <w:tblLayout w:type="fixed"/>
          <w:tblCellMar>
            <w:top w:w="0" w:type="dxa"/>
            <w:left w:w="0" w:type="dxa"/>
            <w:bottom w:w="0" w:type="dxa"/>
            <w:right w:w="0" w:type="dxa"/>
          </w:tblCellMar>
        </w:tblPrEx>
        <w:trPr>
          <w:trHeight w:val="23" w:hRule="atLeast"/>
        </w:trPr>
        <w:tc>
          <w:tcPr>
            <w:tcW w:w="4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一级指标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二级指标</w:t>
            </w:r>
          </w:p>
        </w:tc>
        <w:tc>
          <w:tcPr>
            <w:tcW w:w="35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三级指标</w:t>
            </w:r>
          </w:p>
        </w:tc>
        <w:tc>
          <w:tcPr>
            <w:tcW w:w="187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年度指标值</w:t>
            </w:r>
          </w:p>
        </w:tc>
        <w:tc>
          <w:tcPr>
            <w:tcW w:w="2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标杆分值</w:t>
            </w:r>
          </w:p>
        </w:tc>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全年实际完成值</w:t>
            </w:r>
          </w:p>
        </w:tc>
        <w:tc>
          <w:tcPr>
            <w:tcW w:w="2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指标得分</w:t>
            </w:r>
          </w:p>
        </w:tc>
        <w:tc>
          <w:tcPr>
            <w:tcW w:w="2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备注</w:t>
            </w:r>
          </w:p>
        </w:tc>
      </w:tr>
      <w:tr>
        <w:tblPrEx>
          <w:tblLayout w:type="fixed"/>
          <w:tblCellMar>
            <w:top w:w="0" w:type="dxa"/>
            <w:left w:w="0" w:type="dxa"/>
            <w:bottom w:w="0" w:type="dxa"/>
            <w:right w:w="0" w:type="dxa"/>
          </w:tblCellMar>
        </w:tblPrEx>
        <w:trPr>
          <w:trHeight w:val="23"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产出</w:t>
            </w: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数量指标</w:t>
            </w: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检核查任务覆盖区数量</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=96个县（市、区）</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4</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=96个</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c>
          <w:tcPr>
            <w:tcW w:w="87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质检核查任务完成率</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≥90%</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=100%</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left"/>
              <w:textAlignment w:val="center"/>
              <w:rPr>
                <w:rFonts w:hint="eastAsia" w:ascii="仿宋" w:hAnsi="仿宋" w:eastAsia="仿宋" w:cs="仿宋"/>
                <w:b w:val="0"/>
                <w:bCs w:val="0"/>
                <w:color w:val="000000"/>
                <w:kern w:val="0"/>
                <w:sz w:val="21"/>
                <w:szCs w:val="21"/>
              </w:rPr>
            </w:pPr>
          </w:p>
        </w:tc>
        <w:tc>
          <w:tcPr>
            <w:tcW w:w="87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left"/>
              <w:textAlignment w:val="center"/>
              <w:rPr>
                <w:rFonts w:hint="eastAsia" w:ascii="仿宋" w:hAnsi="仿宋" w:eastAsia="仿宋" w:cs="仿宋"/>
                <w:b w:val="0"/>
                <w:bCs w:val="0"/>
                <w:color w:val="000000"/>
                <w:kern w:val="0"/>
                <w:sz w:val="21"/>
                <w:szCs w:val="21"/>
              </w:rPr>
            </w:pP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省级及以下质检核查率</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≥80%</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=100%</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hint="eastAsia" w:ascii="仿宋" w:hAnsi="仿宋" w:eastAsia="仿宋" w:cs="仿宋"/>
                <w:color w:val="000000"/>
                <w:kern w:val="0"/>
                <w:sz w:val="21"/>
                <w:szCs w:val="21"/>
              </w:rPr>
            </w:pPr>
          </w:p>
        </w:tc>
        <w:tc>
          <w:tcPr>
            <w:tcW w:w="87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left"/>
              <w:textAlignment w:val="center"/>
              <w:rPr>
                <w:rFonts w:hint="eastAsia" w:ascii="仿宋" w:hAnsi="仿宋" w:eastAsia="仿宋" w:cs="仿宋"/>
                <w:color w:val="000000"/>
                <w:kern w:val="0"/>
                <w:sz w:val="21"/>
                <w:szCs w:val="21"/>
              </w:rPr>
            </w:pP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风险评估与区划任务完成个数</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=95个市县级单元</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1</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=0</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0</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hint="eastAsia" w:ascii="仿宋" w:hAnsi="仿宋" w:eastAsia="仿宋" w:cs="仿宋"/>
                <w:color w:val="000000"/>
                <w:kern w:val="0"/>
                <w:sz w:val="21"/>
                <w:szCs w:val="21"/>
              </w:rPr>
            </w:pPr>
          </w:p>
        </w:tc>
        <w:tc>
          <w:tcPr>
            <w:tcW w:w="87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left"/>
              <w:textAlignment w:val="center"/>
              <w:rPr>
                <w:rFonts w:hint="eastAsia" w:ascii="仿宋" w:hAnsi="仿宋" w:eastAsia="仿宋" w:cs="仿宋"/>
                <w:color w:val="000000"/>
                <w:kern w:val="0"/>
                <w:sz w:val="21"/>
                <w:szCs w:val="21"/>
              </w:rPr>
            </w:pP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rPr>
              <w:t>数据成果汇交率</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≥80%</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=88%</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仿宋" w:hAnsi="仿宋" w:eastAsia="仿宋" w:cs="仿宋"/>
                <w:color w:val="00000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left"/>
              <w:rPr>
                <w:rFonts w:hint="eastAsia" w:ascii="仿宋" w:hAnsi="仿宋" w:eastAsia="仿宋" w:cs="仿宋"/>
                <w:color w:val="000000"/>
                <w:sz w:val="21"/>
                <w:szCs w:val="21"/>
              </w:rPr>
            </w:pP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rPr>
              <w:t>普查宣传工作覆盖的县级行政区比划</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bookmarkStart w:id="12" w:name="OLE_LINK2"/>
            <w:r>
              <w:rPr>
                <w:rFonts w:hint="eastAsia" w:ascii="仿宋_GB2312" w:hAnsiTheme="minorEastAsia" w:cstheme="minorEastAsia"/>
                <w:b w:val="0"/>
                <w:bCs w:val="0"/>
                <w:color w:val="000000"/>
                <w:sz w:val="21"/>
                <w:szCs w:val="21"/>
                <w:lang w:val="en-US" w:eastAsia="zh-CN"/>
              </w:rPr>
              <w:t>=100%</w:t>
            </w:r>
            <w:bookmarkEnd w:id="12"/>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4</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=100%</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4</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仿宋" w:hAnsi="仿宋" w:eastAsia="仿宋" w:cs="仿宋"/>
                <w:color w:val="000000"/>
                <w:sz w:val="21"/>
                <w:szCs w:val="21"/>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质量指标</w:t>
            </w: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普查人员才与培训的覆盖率</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≥95%</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=100%</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仿宋" w:hAnsi="仿宋" w:eastAsia="仿宋" w:cs="仿宋"/>
                <w:color w:val="00000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普查数据成果质检核查通过率</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≥90%</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lang w:val="en-US" w:eastAsia="zh-CN"/>
              </w:rPr>
              <w:t>=98.96%</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仿宋" w:hAnsi="仿宋" w:eastAsia="仿宋" w:cs="仿宋"/>
                <w:color w:val="000000"/>
                <w:sz w:val="21"/>
                <w:szCs w:val="21"/>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时效指标</w:t>
            </w: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各项任务按进度开展偏差程度</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≤1个月</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lang w:val="en-US" w:eastAsia="zh-CN"/>
              </w:rPr>
            </w:pPr>
            <w:bookmarkStart w:id="13" w:name="OLE_LINK1"/>
            <w:r>
              <w:rPr>
                <w:rFonts w:hint="eastAsia" w:ascii="仿宋_GB2312" w:hAnsiTheme="minorEastAsia" w:cstheme="minorEastAsia"/>
                <w:b w:val="0"/>
                <w:bCs w:val="0"/>
                <w:color w:val="000000"/>
                <w:sz w:val="21"/>
                <w:szCs w:val="21"/>
                <w:lang w:val="en-US" w:eastAsia="zh-CN"/>
              </w:rPr>
              <w:t>=一个月</w:t>
            </w:r>
            <w:bookmarkEnd w:id="13"/>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hint="eastAsia" w:ascii="仿宋" w:hAnsi="仿宋" w:eastAsia="仿宋" w:cs="仿宋"/>
                <w:color w:val="000000"/>
                <w:sz w:val="21"/>
                <w:szCs w:val="21"/>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成本指标</w:t>
            </w:r>
          </w:p>
        </w:tc>
        <w:tc>
          <w:tcPr>
            <w:tcW w:w="3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r>
              <w:rPr>
                <w:rFonts w:hint="eastAsia" w:ascii="仿宋_GB2312" w:hAnsiTheme="minorEastAsia" w:cstheme="minorEastAsia"/>
                <w:b w:val="0"/>
                <w:bCs w:val="0"/>
                <w:color w:val="000000"/>
                <w:sz w:val="21"/>
                <w:szCs w:val="21"/>
              </w:rPr>
              <w:t>成本控制有效性</w:t>
            </w:r>
          </w:p>
        </w:tc>
        <w:tc>
          <w:tcPr>
            <w:tcW w:w="1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有效</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有效</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val="0"/>
                <w:bCs w:val="0"/>
                <w:color w:val="000000"/>
                <w:sz w:val="21"/>
                <w:szCs w:val="21"/>
                <w:lang w:val="en-US" w:eastAsia="zh-CN"/>
              </w:rPr>
            </w:pPr>
            <w:r>
              <w:rPr>
                <w:rFonts w:hint="eastAsia" w:ascii="仿宋_GB2312" w:hAnsiTheme="minorEastAsia" w:cstheme="minorEastAsia"/>
                <w:b w:val="0"/>
                <w:bCs w:val="0"/>
                <w:color w:val="000000"/>
                <w:sz w:val="21"/>
                <w:szCs w:val="21"/>
                <w:lang w:val="en-US" w:eastAsia="zh-CN"/>
              </w:rPr>
              <w:t>3</w:t>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r>
        <w:tblPrEx>
          <w:tblLayout w:type="fixed"/>
          <w:tblCellMar>
            <w:top w:w="0" w:type="dxa"/>
            <w:left w:w="0" w:type="dxa"/>
            <w:bottom w:w="0" w:type="dxa"/>
            <w:right w:w="0" w:type="dxa"/>
          </w:tblCellMar>
        </w:tblPrEx>
        <w:trPr>
          <w:trHeight w:val="23" w:hRule="atLeast"/>
        </w:trPr>
        <w:tc>
          <w:tcPr>
            <w:tcW w:w="677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center"/>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rPr>
              <w:t>合计</w:t>
            </w:r>
          </w:p>
        </w:tc>
        <w:tc>
          <w:tcPr>
            <w:tcW w:w="2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bCs/>
                <w:color w:val="000000"/>
                <w:sz w:val="21"/>
                <w:szCs w:val="21"/>
                <w:lang w:val="en-US" w:eastAsia="zh-CN"/>
              </w:rPr>
            </w:pPr>
            <w:r>
              <w:rPr>
                <w:rFonts w:hint="eastAsia" w:ascii="仿宋_GB2312" w:hAnsiTheme="minorEastAsia" w:cstheme="minorEastAsia"/>
                <w:b/>
                <w:bCs/>
                <w:color w:val="000000"/>
                <w:sz w:val="21"/>
                <w:szCs w:val="21"/>
                <w:lang w:val="en-US" w:eastAsia="zh-CN"/>
              </w:rPr>
              <w:t>30</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bCs/>
                <w:color w:val="000000"/>
                <w:sz w:val="21"/>
                <w:szCs w:val="21"/>
              </w:rPr>
            </w:pP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right"/>
              <w:rPr>
                <w:rFonts w:hint="eastAsia" w:ascii="仿宋_GB2312" w:hAnsiTheme="minorEastAsia" w:cstheme="minorEastAsia"/>
                <w:b/>
                <w:bCs/>
                <w:color w:val="000000"/>
                <w:sz w:val="21"/>
                <w:szCs w:val="21"/>
              </w:rPr>
            </w:pPr>
            <w:r>
              <w:rPr>
                <w:rFonts w:hint="eastAsia" w:ascii="仿宋_GB2312" w:hAnsiTheme="minorEastAsia" w:cstheme="minorEastAsia"/>
                <w:b/>
                <w:bCs/>
                <w:color w:val="000000"/>
                <w:sz w:val="21"/>
                <w:szCs w:val="21"/>
                <w:lang w:eastAsia="zh-CN"/>
              </w:rPr>
              <w:fldChar w:fldCharType="begin"/>
            </w:r>
            <w:r>
              <w:rPr>
                <w:rFonts w:hint="eastAsia" w:ascii="仿宋_GB2312" w:hAnsiTheme="minorEastAsia" w:cstheme="minorEastAsia"/>
                <w:b/>
                <w:bCs/>
                <w:color w:val="000000"/>
                <w:sz w:val="21"/>
                <w:szCs w:val="21"/>
                <w:lang w:eastAsia="zh-CN"/>
              </w:rPr>
              <w:instrText xml:space="preserve"> =SUM(ABOVE) \# "0" \* MERGEFORMAT </w:instrText>
            </w:r>
            <w:r>
              <w:rPr>
                <w:rFonts w:hint="eastAsia" w:ascii="仿宋_GB2312" w:hAnsiTheme="minorEastAsia" w:cstheme="minorEastAsia"/>
                <w:b/>
                <w:bCs/>
                <w:color w:val="000000"/>
                <w:sz w:val="21"/>
                <w:szCs w:val="21"/>
                <w:lang w:eastAsia="zh-CN"/>
              </w:rPr>
              <w:fldChar w:fldCharType="separate"/>
            </w:r>
            <w:r>
              <w:rPr>
                <w:rFonts w:hint="eastAsia" w:ascii="仿宋_GB2312" w:hAnsiTheme="minorEastAsia" w:cstheme="minorEastAsia"/>
                <w:b/>
                <w:bCs/>
                <w:color w:val="000000"/>
                <w:sz w:val="21"/>
                <w:szCs w:val="21"/>
                <w:lang w:val="en-US" w:eastAsia="zh-CN"/>
              </w:rPr>
              <w:t>29</w:t>
            </w:r>
            <w:r>
              <w:rPr>
                <w:rFonts w:hint="eastAsia" w:ascii="仿宋_GB2312" w:hAnsiTheme="minorEastAsia" w:cstheme="minorEastAsia"/>
                <w:b/>
                <w:bCs/>
                <w:color w:val="000000"/>
                <w:sz w:val="21"/>
                <w:szCs w:val="21"/>
                <w:lang w:eastAsia="zh-CN"/>
              </w:rPr>
              <w:fldChar w:fldCharType="end"/>
            </w:r>
          </w:p>
        </w:tc>
        <w:tc>
          <w:tcPr>
            <w:tcW w:w="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napToGrid w:val="0"/>
              <w:spacing w:line="240" w:lineRule="auto"/>
              <w:ind w:firstLine="0" w:firstLineChars="0"/>
              <w:jc w:val="left"/>
              <w:rPr>
                <w:rFonts w:hint="eastAsia" w:ascii="仿宋_GB2312" w:hAnsiTheme="minorEastAsia" w:cstheme="minorEastAsia"/>
                <w:b w:val="0"/>
                <w:bCs w:val="0"/>
                <w:color w:val="000000"/>
                <w:sz w:val="21"/>
                <w:szCs w:val="21"/>
              </w:rPr>
            </w:pPr>
          </w:p>
        </w:tc>
      </w:tr>
    </w:tbl>
    <w:p>
      <w:pPr>
        <w:numPr>
          <w:ilvl w:val="0"/>
          <w:numId w:val="0"/>
        </w:numPr>
        <w:rPr>
          <w:rFonts w:hint="eastAsia" w:eastAsia="仿宋_GB2312"/>
          <w:sz w:val="32"/>
          <w:szCs w:val="32"/>
          <w:lang w:val="en-US" w:eastAsia="zh-CN"/>
        </w:rPr>
      </w:pPr>
      <w:r>
        <w:rPr>
          <w:rFonts w:hint="eastAsia"/>
          <w:sz w:val="32"/>
          <w:szCs w:val="32"/>
        </w:rPr>
        <w:t>项目产出目标</w:t>
      </w:r>
      <w:r>
        <w:rPr>
          <w:rFonts w:hint="eastAsia"/>
          <w:sz w:val="32"/>
          <w:szCs w:val="32"/>
          <w:lang w:val="en-US" w:eastAsia="zh-CN"/>
        </w:rPr>
        <w:t>如下：</w:t>
      </w:r>
    </w:p>
    <w:p>
      <w:pPr>
        <w:ind w:firstLine="640"/>
        <w:rPr>
          <w:sz w:val="32"/>
          <w:szCs w:val="32"/>
        </w:rPr>
      </w:pPr>
      <w:r>
        <w:rPr>
          <w:rFonts w:hint="eastAsia"/>
          <w:sz w:val="32"/>
          <w:szCs w:val="32"/>
        </w:rPr>
        <w:t>①数量指标</w:t>
      </w:r>
    </w:p>
    <w:p>
      <w:pPr>
        <w:ind w:firstLine="640"/>
        <w:rPr>
          <w:rFonts w:hint="eastAsia"/>
          <w:sz w:val="32"/>
          <w:szCs w:val="32"/>
        </w:rPr>
      </w:pPr>
      <w:r>
        <w:rPr>
          <w:rFonts w:hint="eastAsia"/>
          <w:sz w:val="32"/>
          <w:szCs w:val="32"/>
        </w:rPr>
        <w:t>“质检核查任务覆盖区数量”指标，预期指标值为“=96个县（市、区）”；</w:t>
      </w:r>
    </w:p>
    <w:p>
      <w:pPr>
        <w:ind w:firstLine="640"/>
        <w:rPr>
          <w:sz w:val="32"/>
          <w:szCs w:val="32"/>
        </w:rPr>
      </w:pPr>
      <w:r>
        <w:rPr>
          <w:rFonts w:hint="eastAsia"/>
          <w:sz w:val="32"/>
          <w:szCs w:val="32"/>
        </w:rPr>
        <w:t>“质检核查任务完成率”指标，预期指标值为“</w:t>
      </w:r>
      <w:r>
        <w:rPr>
          <w:rFonts w:hint="eastAsia"/>
          <w:sz w:val="32"/>
          <w:szCs w:val="32"/>
          <w:lang w:val="en-US" w:eastAsia="zh-CN"/>
        </w:rPr>
        <w:t>≥</w:t>
      </w:r>
      <w:r>
        <w:rPr>
          <w:rFonts w:hint="eastAsia"/>
          <w:sz w:val="32"/>
          <w:szCs w:val="32"/>
        </w:rPr>
        <w:t>90%”；</w:t>
      </w:r>
    </w:p>
    <w:p>
      <w:pPr>
        <w:ind w:firstLine="640"/>
        <w:rPr>
          <w:rFonts w:hint="eastAsia"/>
          <w:sz w:val="32"/>
          <w:szCs w:val="32"/>
          <w:lang w:eastAsia="zh-CN"/>
        </w:rPr>
      </w:pPr>
      <w:r>
        <w:rPr>
          <w:rFonts w:hint="eastAsia"/>
          <w:sz w:val="32"/>
          <w:szCs w:val="32"/>
        </w:rPr>
        <w:t>“省级及以下质检核查率”指标，预期指标值为“</w:t>
      </w:r>
      <w:r>
        <w:rPr>
          <w:rFonts w:hint="eastAsia"/>
          <w:sz w:val="32"/>
          <w:szCs w:val="32"/>
          <w:lang w:val="en-US" w:eastAsia="zh-CN"/>
        </w:rPr>
        <w:t>≥8</w:t>
      </w:r>
      <w:r>
        <w:rPr>
          <w:rFonts w:hint="eastAsia"/>
          <w:sz w:val="32"/>
          <w:szCs w:val="32"/>
        </w:rPr>
        <w:t>0%”</w:t>
      </w:r>
      <w:r>
        <w:rPr>
          <w:rFonts w:hint="eastAsia"/>
          <w:sz w:val="32"/>
          <w:szCs w:val="32"/>
          <w:lang w:eastAsia="zh-CN"/>
        </w:rPr>
        <w:t>；</w:t>
      </w:r>
    </w:p>
    <w:p>
      <w:pPr>
        <w:ind w:firstLine="640"/>
        <w:rPr>
          <w:sz w:val="32"/>
          <w:szCs w:val="32"/>
        </w:rPr>
      </w:pPr>
      <w:r>
        <w:rPr>
          <w:rFonts w:hint="eastAsia"/>
          <w:sz w:val="32"/>
          <w:szCs w:val="32"/>
        </w:rPr>
        <w:t>“风险评估与区划任务完成个数”指标，预期指标值为“=95个市县级单元”；</w:t>
      </w:r>
    </w:p>
    <w:p>
      <w:pPr>
        <w:ind w:firstLine="640"/>
        <w:rPr>
          <w:rFonts w:hint="eastAsia"/>
          <w:sz w:val="32"/>
          <w:szCs w:val="32"/>
          <w:lang w:eastAsia="zh-CN"/>
        </w:rPr>
      </w:pPr>
      <w:r>
        <w:rPr>
          <w:rFonts w:hint="eastAsia"/>
          <w:sz w:val="32"/>
          <w:szCs w:val="32"/>
          <w:lang w:eastAsia="zh-CN"/>
        </w:rPr>
        <w:t>“数据成果汇交率”</w:t>
      </w:r>
      <w:r>
        <w:rPr>
          <w:rFonts w:hint="eastAsia"/>
          <w:sz w:val="32"/>
          <w:szCs w:val="32"/>
        </w:rPr>
        <w:t>指标，预期指标值为“</w:t>
      </w:r>
      <w:r>
        <w:rPr>
          <w:rFonts w:hint="eastAsia"/>
          <w:sz w:val="32"/>
          <w:szCs w:val="32"/>
          <w:lang w:val="en-US" w:eastAsia="zh-CN"/>
        </w:rPr>
        <w:t>≥8</w:t>
      </w:r>
      <w:r>
        <w:rPr>
          <w:rFonts w:hint="eastAsia"/>
          <w:sz w:val="32"/>
          <w:szCs w:val="32"/>
        </w:rPr>
        <w:t>0%”</w:t>
      </w:r>
      <w:r>
        <w:rPr>
          <w:rFonts w:hint="eastAsia"/>
          <w:sz w:val="32"/>
          <w:szCs w:val="32"/>
          <w:lang w:eastAsia="zh-CN"/>
        </w:rPr>
        <w:t>；</w:t>
      </w:r>
    </w:p>
    <w:p>
      <w:pPr>
        <w:pStyle w:val="11"/>
        <w:ind w:left="0" w:leftChars="0" w:firstLine="640" w:firstLineChars="20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“普查宣传工作覆盖的县级行政区比划”指标，预期指标值为“=100%”。</w:t>
      </w:r>
    </w:p>
    <w:p>
      <w:pPr>
        <w:ind w:firstLine="640"/>
        <w:rPr>
          <w:sz w:val="32"/>
          <w:szCs w:val="32"/>
        </w:rPr>
      </w:pPr>
      <w:r>
        <w:rPr>
          <w:rFonts w:hint="eastAsia"/>
          <w:sz w:val="32"/>
          <w:szCs w:val="32"/>
        </w:rPr>
        <w:t>②质量指标</w:t>
      </w:r>
    </w:p>
    <w:p>
      <w:pPr>
        <w:pStyle w:val="11"/>
        <w:ind w:left="0" w:leftChars="0" w:firstLine="640" w:firstLineChars="20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“普查人才与培训的覆盖率”指标，预期指标值为“≥95%”；</w:t>
      </w:r>
    </w:p>
    <w:p>
      <w:pPr>
        <w:pStyle w:val="11"/>
        <w:ind w:left="0" w:leftChars="0" w:firstLine="640" w:firstLineChars="200"/>
        <w:rPr>
          <w:sz w:val="32"/>
          <w:szCs w:val="32"/>
        </w:rPr>
      </w:pPr>
      <w:r>
        <w:rPr>
          <w:rFonts w:hint="eastAsia" w:ascii="Times New Roman" w:hAnsi="Times New Roman" w:eastAsia="仿宋_GB2312" w:cs="Times New Roman"/>
          <w:color w:val="auto"/>
          <w:kern w:val="2"/>
          <w:sz w:val="32"/>
          <w:szCs w:val="32"/>
          <w:lang w:val="en-US" w:eastAsia="zh-CN" w:bidi="ar-SA"/>
        </w:rPr>
        <w:t>“普查数据成果质检核查通过率”指标，预期指标值为“≥90%”</w:t>
      </w:r>
      <w:r>
        <w:rPr>
          <w:rFonts w:hint="eastAsia"/>
          <w:sz w:val="32"/>
          <w:szCs w:val="32"/>
        </w:rPr>
        <w:t>。</w:t>
      </w:r>
    </w:p>
    <w:p>
      <w:pPr>
        <w:ind w:firstLine="640"/>
        <w:rPr>
          <w:sz w:val="32"/>
          <w:szCs w:val="32"/>
        </w:rPr>
      </w:pPr>
      <w:r>
        <w:rPr>
          <w:rFonts w:hint="eastAsia"/>
          <w:sz w:val="32"/>
          <w:szCs w:val="32"/>
        </w:rPr>
        <w:t>③时效指标</w:t>
      </w:r>
    </w:p>
    <w:p>
      <w:pPr>
        <w:ind w:firstLine="640"/>
        <w:rPr>
          <w:sz w:val="32"/>
          <w:szCs w:val="32"/>
        </w:rPr>
      </w:pPr>
      <w:r>
        <w:rPr>
          <w:rFonts w:hint="eastAsia"/>
          <w:sz w:val="32"/>
          <w:szCs w:val="32"/>
        </w:rPr>
        <w:t>“各项任务按进度开展偏差程度”指标，预期指标值为“</w:t>
      </w:r>
      <w:r>
        <w:rPr>
          <w:rFonts w:hint="eastAsia"/>
          <w:sz w:val="32"/>
          <w:szCs w:val="32"/>
          <w:lang w:val="en-US" w:eastAsia="zh-CN"/>
        </w:rPr>
        <w:t>≤1个月</w:t>
      </w:r>
      <w:r>
        <w:rPr>
          <w:rFonts w:hint="eastAsia"/>
          <w:sz w:val="32"/>
          <w:szCs w:val="32"/>
        </w:rPr>
        <w:t>”</w:t>
      </w:r>
      <w:r>
        <w:rPr>
          <w:rFonts w:hint="eastAsia"/>
          <w:sz w:val="32"/>
          <w:szCs w:val="32"/>
          <w:lang w:eastAsia="zh-CN"/>
        </w:rPr>
        <w:t>。</w:t>
      </w:r>
    </w:p>
    <w:p>
      <w:pPr>
        <w:ind w:firstLine="640"/>
        <w:rPr>
          <w:sz w:val="32"/>
          <w:szCs w:val="32"/>
        </w:rPr>
      </w:pPr>
      <w:r>
        <w:rPr>
          <w:rFonts w:hint="eastAsia"/>
          <w:sz w:val="32"/>
          <w:szCs w:val="32"/>
        </w:rPr>
        <w:t>④成本指标</w:t>
      </w:r>
    </w:p>
    <w:p>
      <w:pPr>
        <w:ind w:firstLine="640"/>
        <w:rPr>
          <w:sz w:val="32"/>
          <w:szCs w:val="32"/>
        </w:rPr>
      </w:pPr>
      <w:r>
        <w:rPr>
          <w:rFonts w:hint="eastAsia"/>
          <w:sz w:val="32"/>
          <w:szCs w:val="32"/>
        </w:rPr>
        <w:t>“成本控制有效性”指标，预期指标值为“</w:t>
      </w:r>
      <w:r>
        <w:rPr>
          <w:rFonts w:hint="eastAsia"/>
          <w:sz w:val="32"/>
          <w:szCs w:val="32"/>
          <w:lang w:val="en-US" w:eastAsia="zh-CN"/>
        </w:rPr>
        <w:t>有效</w:t>
      </w:r>
      <w:r>
        <w:rPr>
          <w:rFonts w:hint="eastAsia"/>
          <w:sz w:val="32"/>
          <w:szCs w:val="32"/>
        </w:rPr>
        <w:t>”</w:t>
      </w:r>
      <w:r>
        <w:rPr>
          <w:rFonts w:hint="eastAsia"/>
          <w:sz w:val="32"/>
          <w:szCs w:val="32"/>
          <w:lang w:eastAsia="zh-CN"/>
        </w:rPr>
        <w:t>。</w:t>
      </w:r>
    </w:p>
    <w:p>
      <w:pPr>
        <w:pStyle w:val="4"/>
        <w:numPr>
          <w:ilvl w:val="0"/>
          <w:numId w:val="0"/>
        </w:numPr>
        <w:ind w:firstLine="643" w:firstLineChars="200"/>
        <w:rPr>
          <w:rFonts w:hint="eastAsia"/>
          <w:szCs w:val="32"/>
          <w:lang w:eastAsia="zh-CN"/>
        </w:rPr>
      </w:pPr>
    </w:p>
    <w:p>
      <w:pPr>
        <w:pStyle w:val="4"/>
        <w:numPr>
          <w:ilvl w:val="0"/>
          <w:numId w:val="0"/>
        </w:numPr>
        <w:ind w:firstLine="643" w:firstLineChars="200"/>
        <w:rPr>
          <w:szCs w:val="32"/>
        </w:rPr>
      </w:pPr>
      <w:r>
        <w:rPr>
          <w:rFonts w:hint="eastAsia"/>
          <w:szCs w:val="32"/>
          <w:lang w:eastAsia="zh-CN"/>
        </w:rPr>
        <w:t>（</w:t>
      </w:r>
      <w:r>
        <w:rPr>
          <w:rFonts w:hint="eastAsia"/>
          <w:szCs w:val="32"/>
          <w:lang w:val="en-US" w:eastAsia="zh-CN"/>
        </w:rPr>
        <w:t>四</w:t>
      </w:r>
      <w:r>
        <w:rPr>
          <w:rFonts w:hint="eastAsia"/>
          <w:szCs w:val="32"/>
          <w:lang w:eastAsia="zh-CN"/>
        </w:rPr>
        <w:t>）</w:t>
      </w:r>
      <w:r>
        <w:rPr>
          <w:rFonts w:hint="eastAsia"/>
          <w:szCs w:val="32"/>
        </w:rPr>
        <w:t>项目效益情况</w:t>
      </w:r>
    </w:p>
    <w:p>
      <w:pPr>
        <w:ind w:firstLine="640"/>
        <w:rPr>
          <w:color w:val="000000"/>
          <w:sz w:val="32"/>
          <w:szCs w:val="32"/>
          <w:u w:color="000000"/>
          <w:lang w:val="zh-TW" w:eastAsia="zh-TW"/>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类指标由</w:t>
      </w:r>
      <w:r>
        <w:rPr>
          <w:rFonts w:hint="eastAsia"/>
          <w:color w:val="000000"/>
          <w:sz w:val="32"/>
          <w:szCs w:val="32"/>
          <w:u w:color="000000"/>
          <w:lang w:val="en-US" w:eastAsia="zh-CN"/>
        </w:rPr>
        <w:t>3</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级指标和</w:t>
      </w:r>
      <w:r>
        <w:rPr>
          <w:rFonts w:hint="eastAsia"/>
          <w:color w:val="000000"/>
          <w:sz w:val="32"/>
          <w:szCs w:val="32"/>
          <w:u w:color="000000"/>
          <w:lang w:val="en-US" w:eastAsia="zh-CN"/>
        </w:rPr>
        <w:t>4</w:t>
      </w:r>
      <w:r>
        <w:rPr>
          <w:rFonts w:hint="eastAsia"/>
          <w:color w:val="000000"/>
          <w:sz w:val="32"/>
          <w:szCs w:val="32"/>
          <w:u w:color="000000"/>
          <w:lang w:val="zh-TW" w:eastAsia="zh-TW"/>
        </w:rPr>
        <w:t>个</w:t>
      </w:r>
      <w:r>
        <w:rPr>
          <w:rFonts w:hint="eastAsia"/>
          <w:color w:val="000000"/>
          <w:sz w:val="32"/>
          <w:szCs w:val="32"/>
          <w:u w:color="000000"/>
        </w:rPr>
        <w:t>三</w:t>
      </w:r>
      <w:r>
        <w:rPr>
          <w:rFonts w:hint="eastAsia"/>
          <w:color w:val="000000"/>
          <w:sz w:val="32"/>
          <w:szCs w:val="32"/>
          <w:u w:color="000000"/>
          <w:lang w:val="zh-TW" w:eastAsia="zh-TW"/>
        </w:rPr>
        <w:t>级指标构成，权重分</w:t>
      </w:r>
      <w:r>
        <w:rPr>
          <w:rFonts w:hint="eastAsia"/>
          <w:color w:val="000000"/>
          <w:sz w:val="32"/>
          <w:szCs w:val="32"/>
          <w:u w:color="000000"/>
        </w:rPr>
        <w:t>30</w:t>
      </w:r>
      <w:r>
        <w:rPr>
          <w:rFonts w:hint="eastAsia"/>
          <w:color w:val="000000"/>
          <w:sz w:val="32"/>
          <w:szCs w:val="32"/>
          <w:u w:color="000000"/>
          <w:lang w:val="zh-TW" w:eastAsia="zh-TW"/>
        </w:rPr>
        <w:t>分，实际得分</w:t>
      </w:r>
      <w:r>
        <w:rPr>
          <w:rFonts w:hint="eastAsia"/>
          <w:color w:val="000000"/>
          <w:sz w:val="32"/>
          <w:szCs w:val="32"/>
          <w:u w:color="000000"/>
          <w:lang w:val="en-US" w:eastAsia="zh-CN"/>
        </w:rPr>
        <w:t>20</w:t>
      </w:r>
      <w:r>
        <w:rPr>
          <w:rFonts w:hint="eastAsia"/>
          <w:color w:val="000000"/>
          <w:sz w:val="32"/>
          <w:szCs w:val="32"/>
          <w:u w:color="000000"/>
          <w:lang w:val="zh-TW" w:eastAsia="zh-TW"/>
        </w:rPr>
        <w:t>分</w:t>
      </w:r>
      <w:r>
        <w:rPr>
          <w:rFonts w:hint="eastAsia"/>
          <w:color w:val="000000"/>
          <w:sz w:val="32"/>
          <w:szCs w:val="32"/>
          <w:u w:color="000000"/>
          <w:lang w:val="zh-TW"/>
        </w:rPr>
        <w:t>，</w:t>
      </w:r>
      <w:r>
        <w:rPr>
          <w:rFonts w:hint="eastAsia"/>
          <w:color w:val="000000"/>
          <w:sz w:val="32"/>
          <w:szCs w:val="32"/>
          <w:u w:color="000000"/>
          <w:lang w:val="zh-TW" w:eastAsia="zh-TW"/>
        </w:rPr>
        <w:t>各指标业绩值和绩效分值如表</w:t>
      </w:r>
      <w:r>
        <w:rPr>
          <w:rFonts w:hint="eastAsia"/>
          <w:color w:val="000000"/>
          <w:sz w:val="32"/>
          <w:szCs w:val="32"/>
          <w:u w:color="000000"/>
        </w:rPr>
        <w:t>4</w:t>
      </w:r>
      <w:r>
        <w:rPr>
          <w:color w:val="000000"/>
          <w:sz w:val="32"/>
          <w:szCs w:val="32"/>
          <w:u w:color="000000"/>
        </w:rPr>
        <w:t>-</w:t>
      </w:r>
      <w:r>
        <w:rPr>
          <w:rFonts w:hint="eastAsia"/>
          <w:color w:val="000000"/>
          <w:sz w:val="32"/>
          <w:szCs w:val="32"/>
          <w:u w:color="000000"/>
        </w:rPr>
        <w:t>4</w:t>
      </w:r>
      <w:r>
        <w:rPr>
          <w:rFonts w:hint="eastAsia"/>
          <w:color w:val="000000"/>
          <w:sz w:val="32"/>
          <w:szCs w:val="32"/>
          <w:u w:color="000000"/>
          <w:lang w:val="zh-TW" w:eastAsia="zh-TW"/>
        </w:rPr>
        <w:t>所示：</w:t>
      </w:r>
    </w:p>
    <w:p>
      <w:pPr>
        <w:keepNext/>
        <w:keepLines/>
        <w:ind w:firstLine="562"/>
        <w:jc w:val="cente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4-4</w:t>
      </w:r>
      <w:r>
        <w:rPr>
          <w:rFonts w:hint="eastAsia" w:ascii="仿宋_GB2312" w:hAnsi="仿宋_GB2312" w:cs="仿宋_GB2312"/>
          <w:b/>
          <w:bCs/>
        </w:rPr>
        <w:t>项目效益</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18"/>
        <w:tblW w:w="9137" w:type="dxa"/>
        <w:tblInd w:w="0" w:type="dxa"/>
        <w:tblLayout w:type="fixed"/>
        <w:tblCellMar>
          <w:top w:w="0" w:type="dxa"/>
          <w:left w:w="0" w:type="dxa"/>
          <w:bottom w:w="0" w:type="dxa"/>
          <w:right w:w="0" w:type="dxa"/>
        </w:tblCellMar>
      </w:tblPr>
      <w:tblGrid>
        <w:gridCol w:w="839"/>
        <w:gridCol w:w="1117"/>
        <w:gridCol w:w="2878"/>
        <w:gridCol w:w="20"/>
        <w:gridCol w:w="1367"/>
        <w:gridCol w:w="519"/>
        <w:gridCol w:w="1133"/>
        <w:gridCol w:w="566"/>
        <w:gridCol w:w="698"/>
      </w:tblGrid>
      <w:tr>
        <w:tblPrEx>
          <w:tblLayout w:type="fixed"/>
          <w:tblCellMar>
            <w:top w:w="0" w:type="dxa"/>
            <w:left w:w="0" w:type="dxa"/>
            <w:bottom w:w="0" w:type="dxa"/>
            <w:right w:w="0" w:type="dxa"/>
          </w:tblCellMar>
        </w:tblPrEx>
        <w:trPr>
          <w:trHeight w:val="23" w:hRule="atLeast"/>
        </w:trPr>
        <w:tc>
          <w:tcPr>
            <w:tcW w:w="83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一级指标</w:t>
            </w:r>
          </w:p>
        </w:tc>
        <w:tc>
          <w:tcPr>
            <w:tcW w:w="11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二级指标</w:t>
            </w:r>
          </w:p>
        </w:tc>
        <w:tc>
          <w:tcPr>
            <w:tcW w:w="289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三级指标</w:t>
            </w:r>
          </w:p>
        </w:tc>
        <w:tc>
          <w:tcPr>
            <w:tcW w:w="13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年度指标值</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标杆分值</w:t>
            </w: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全年实际完成值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指标得分</w:t>
            </w:r>
          </w:p>
        </w:tc>
        <w:tc>
          <w:tcPr>
            <w:tcW w:w="6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rPr>
              <w:t>备注</w:t>
            </w:r>
          </w:p>
        </w:tc>
      </w:tr>
      <w:tr>
        <w:tblPrEx>
          <w:tblLayout w:type="fixed"/>
          <w:tblCellMar>
            <w:top w:w="0" w:type="dxa"/>
            <w:left w:w="0" w:type="dxa"/>
            <w:bottom w:w="0" w:type="dxa"/>
            <w:right w:w="0" w:type="dxa"/>
          </w:tblCellMar>
        </w:tblPrEx>
        <w:trPr>
          <w:trHeight w:val="23" w:hRule="atLeast"/>
        </w:trPr>
        <w:tc>
          <w:tcPr>
            <w:tcW w:w="83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效益</w:t>
            </w: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经济效益指标</w:t>
            </w:r>
          </w:p>
        </w:tc>
        <w:tc>
          <w:tcPr>
            <w:tcW w:w="2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普查成果为自然灾害防治、应急管理等工作提供科学依据，减轻灾害损失</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效果显著</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效果显著</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5</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Layout w:type="fixed"/>
          <w:tblCellMar>
            <w:top w:w="0" w:type="dxa"/>
            <w:left w:w="0" w:type="dxa"/>
            <w:bottom w:w="0" w:type="dxa"/>
            <w:right w:w="0" w:type="dxa"/>
          </w:tblCellMar>
        </w:tblPrEx>
        <w:trPr>
          <w:trHeight w:val="23" w:hRule="atLeast"/>
        </w:trPr>
        <w:tc>
          <w:tcPr>
            <w:tcW w:w="8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2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数据共享涉及部门数量</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≥6个</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=3个</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Layout w:type="fixed"/>
          <w:tblCellMar>
            <w:top w:w="0" w:type="dxa"/>
            <w:left w:w="0" w:type="dxa"/>
            <w:bottom w:w="0" w:type="dxa"/>
            <w:right w:w="0" w:type="dxa"/>
          </w:tblCellMar>
        </w:tblPrEx>
        <w:trPr>
          <w:trHeight w:val="23" w:hRule="atLeast"/>
        </w:trPr>
        <w:tc>
          <w:tcPr>
            <w:tcW w:w="8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社会效益指标</w:t>
            </w:r>
          </w:p>
        </w:tc>
        <w:tc>
          <w:tcPr>
            <w:tcW w:w="2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普查工作对提升基层自然灾害防治能力的作用</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效果显著</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5</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效果显著</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5</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Layout w:type="fixed"/>
          <w:tblCellMar>
            <w:top w:w="0" w:type="dxa"/>
            <w:left w:w="0" w:type="dxa"/>
            <w:bottom w:w="0" w:type="dxa"/>
            <w:right w:w="0" w:type="dxa"/>
          </w:tblCellMar>
        </w:tblPrEx>
        <w:trPr>
          <w:trHeight w:val="23" w:hRule="atLeast"/>
        </w:trPr>
        <w:tc>
          <w:tcPr>
            <w:tcW w:w="83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7"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满意度指标</w:t>
            </w:r>
          </w:p>
        </w:tc>
        <w:tc>
          <w:tcPr>
            <w:tcW w:w="2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普查行业部门满意度</w:t>
            </w:r>
          </w:p>
        </w:tc>
        <w:tc>
          <w:tcPr>
            <w:tcW w:w="1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default" w:asciiTheme="minorEastAsia" w:hAnsiTheme="minorEastAsia" w:eastAsiaTheme="minorEastAsia" w:cstheme="minorEastAsia"/>
                <w:color w:val="000000"/>
                <w:sz w:val="24"/>
                <w:lang w:val="en-US"/>
              </w:rPr>
            </w:pPr>
            <w:r>
              <w:rPr>
                <w:rFonts w:hint="eastAsia" w:asciiTheme="minorEastAsia" w:hAnsiTheme="minorEastAsia" w:eastAsiaTheme="minorEastAsia" w:cstheme="minorEastAsia"/>
                <w:color w:val="000000"/>
                <w:sz w:val="24"/>
                <w:lang w:val="en-US" w:eastAsia="zh-CN"/>
              </w:rPr>
              <w:t>≥90%</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=100%</w:t>
            </w: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default"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10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Layout w:type="fixed"/>
          <w:tblCellMar>
            <w:top w:w="0" w:type="dxa"/>
            <w:left w:w="0" w:type="dxa"/>
            <w:bottom w:w="0" w:type="dxa"/>
            <w:right w:w="0" w:type="dxa"/>
          </w:tblCellMar>
        </w:tblPrEx>
        <w:trPr>
          <w:trHeight w:val="23" w:hRule="atLeast"/>
        </w:trPr>
        <w:tc>
          <w:tcPr>
            <w:tcW w:w="622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default" w:asciiTheme="minorEastAsia" w:hAnsiTheme="minorEastAsia" w:eastAsiaTheme="minorEastAsia" w:cstheme="minorEastAsia"/>
                <w:b/>
                <w:bCs/>
                <w:color w:val="000000"/>
                <w:sz w:val="24"/>
                <w:lang w:val="en-US" w:eastAsia="zh-CN"/>
              </w:rPr>
            </w:pPr>
            <w:r>
              <w:rPr>
                <w:rFonts w:hint="eastAsia" w:asciiTheme="minorEastAsia" w:hAnsiTheme="minorEastAsia" w:eastAsiaTheme="minorEastAsia" w:cstheme="minorEastAsia"/>
                <w:b/>
                <w:bCs/>
                <w:color w:val="000000"/>
                <w:sz w:val="24"/>
                <w:lang w:val="en-US" w:eastAsia="zh-CN"/>
              </w:rPr>
              <w:t>30</w:t>
            </w:r>
          </w:p>
        </w:tc>
        <w:tc>
          <w:tcPr>
            <w:tcW w:w="11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b/>
                <w:bCs/>
                <w:color w:val="000000"/>
                <w:sz w:val="24"/>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jc w:val="right"/>
              <w:rPr>
                <w:rFonts w:hint="default" w:asciiTheme="minorEastAsia" w:hAnsiTheme="minorEastAsia" w:eastAsiaTheme="minorEastAsia" w:cstheme="minorEastAsia"/>
                <w:b/>
                <w:bCs/>
                <w:color w:val="000000"/>
                <w:sz w:val="24"/>
                <w:lang w:val="en-US" w:eastAsia="zh-CN"/>
              </w:rPr>
            </w:pPr>
            <w:r>
              <w:rPr>
                <w:rFonts w:hint="eastAsia" w:asciiTheme="minorEastAsia" w:hAnsiTheme="minorEastAsia" w:eastAsiaTheme="minorEastAsia" w:cstheme="minorEastAsia"/>
                <w:b/>
                <w:bCs/>
                <w:color w:val="000000"/>
                <w:sz w:val="24"/>
                <w:lang w:val="en-US" w:eastAsia="zh-CN"/>
              </w:rPr>
              <w:t>20</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b/>
                <w:bCs/>
                <w:color w:val="000000"/>
                <w:sz w:val="24"/>
              </w:rPr>
            </w:pPr>
          </w:p>
        </w:tc>
      </w:tr>
    </w:tbl>
    <w:p>
      <w:pPr>
        <w:ind w:firstLine="640"/>
        <w:rPr>
          <w:rFonts w:hint="eastAsia" w:eastAsia="仿宋_GB2312"/>
          <w:sz w:val="32"/>
          <w:szCs w:val="32"/>
          <w:lang w:val="en-US" w:eastAsia="zh-CN"/>
        </w:rPr>
      </w:pPr>
      <w:r>
        <w:rPr>
          <w:rFonts w:hint="eastAsia"/>
          <w:sz w:val="32"/>
          <w:szCs w:val="32"/>
        </w:rPr>
        <w:t>项目效益目标</w:t>
      </w:r>
      <w:r>
        <w:rPr>
          <w:rFonts w:hint="eastAsia"/>
          <w:sz w:val="32"/>
          <w:szCs w:val="32"/>
          <w:lang w:val="en-US" w:eastAsia="zh-CN"/>
        </w:rPr>
        <w:t>如下：</w:t>
      </w:r>
    </w:p>
    <w:p>
      <w:pPr>
        <w:ind w:firstLine="640"/>
        <w:rPr>
          <w:sz w:val="32"/>
          <w:szCs w:val="32"/>
        </w:rPr>
      </w:pPr>
      <w:r>
        <w:rPr>
          <w:rFonts w:hint="eastAsia"/>
          <w:sz w:val="32"/>
          <w:szCs w:val="32"/>
        </w:rPr>
        <w:t>①经济效益指标</w:t>
      </w:r>
    </w:p>
    <w:p>
      <w:pPr>
        <w:ind w:firstLine="640"/>
        <w:rPr>
          <w:rFonts w:hint="eastAsia"/>
          <w:sz w:val="32"/>
          <w:szCs w:val="32"/>
          <w:lang w:eastAsia="zh-CN"/>
        </w:rPr>
      </w:pPr>
      <w:r>
        <w:rPr>
          <w:rFonts w:hint="eastAsia"/>
          <w:sz w:val="32"/>
          <w:szCs w:val="32"/>
        </w:rPr>
        <w:t>“普查成果为自然灾害防治、应急管理等工作提供科学依据，减轻灾害损失”指标，预期指标值为“效果显著”</w:t>
      </w:r>
      <w:r>
        <w:rPr>
          <w:rFonts w:hint="eastAsia"/>
          <w:sz w:val="32"/>
          <w:szCs w:val="32"/>
          <w:lang w:eastAsia="zh-CN"/>
        </w:rPr>
        <w:t>；</w:t>
      </w:r>
    </w:p>
    <w:p>
      <w:pPr>
        <w:ind w:firstLine="640"/>
        <w:rPr>
          <w:rFonts w:hint="eastAsia" w:eastAsia="仿宋_GB2312"/>
          <w:sz w:val="32"/>
          <w:szCs w:val="32"/>
          <w:lang w:eastAsia="zh-CN"/>
        </w:rPr>
      </w:pPr>
      <w:r>
        <w:rPr>
          <w:rFonts w:hint="eastAsia"/>
          <w:sz w:val="32"/>
          <w:szCs w:val="32"/>
        </w:rPr>
        <w:t>“数据共享涉及部门数量”指标，预期指标值为“</w:t>
      </w:r>
      <w:r>
        <w:rPr>
          <w:rFonts w:hint="eastAsia"/>
          <w:sz w:val="32"/>
          <w:szCs w:val="32"/>
          <w:lang w:val="en-US" w:eastAsia="zh-CN"/>
        </w:rPr>
        <w:t>≥6个</w:t>
      </w:r>
      <w:r>
        <w:rPr>
          <w:rFonts w:hint="eastAsia"/>
          <w:sz w:val="32"/>
          <w:szCs w:val="32"/>
        </w:rPr>
        <w:t>”</w:t>
      </w:r>
      <w:r>
        <w:rPr>
          <w:rFonts w:hint="eastAsia"/>
          <w:sz w:val="32"/>
          <w:szCs w:val="32"/>
          <w:lang w:eastAsia="zh-CN"/>
        </w:rPr>
        <w:t>。</w:t>
      </w:r>
    </w:p>
    <w:p>
      <w:pPr>
        <w:ind w:firstLine="640"/>
        <w:rPr>
          <w:sz w:val="32"/>
          <w:szCs w:val="32"/>
        </w:rPr>
      </w:pPr>
      <w:r>
        <w:rPr>
          <w:rFonts w:hint="eastAsia"/>
          <w:sz w:val="32"/>
          <w:szCs w:val="32"/>
        </w:rPr>
        <w:t>②社会效益指标</w:t>
      </w:r>
    </w:p>
    <w:p>
      <w:pPr>
        <w:ind w:firstLine="640"/>
        <w:rPr>
          <w:rFonts w:hint="default"/>
          <w:sz w:val="32"/>
          <w:szCs w:val="32"/>
          <w:lang w:val="en-US"/>
        </w:rPr>
      </w:pPr>
      <w:r>
        <w:rPr>
          <w:rFonts w:hint="eastAsia"/>
          <w:sz w:val="32"/>
          <w:szCs w:val="32"/>
          <w:lang w:eastAsia="zh-CN"/>
        </w:rPr>
        <w:t>“</w:t>
      </w:r>
      <w:r>
        <w:rPr>
          <w:rFonts w:hint="eastAsia"/>
          <w:sz w:val="32"/>
          <w:szCs w:val="32"/>
        </w:rPr>
        <w:t>普查工作对提升基层自然灾害防治能力的作用</w:t>
      </w:r>
      <w:r>
        <w:rPr>
          <w:rFonts w:hint="eastAsia"/>
          <w:sz w:val="32"/>
          <w:szCs w:val="32"/>
          <w:lang w:eastAsia="zh-CN"/>
        </w:rPr>
        <w:t>”</w:t>
      </w:r>
      <w:r>
        <w:rPr>
          <w:rFonts w:hint="eastAsia"/>
          <w:sz w:val="32"/>
          <w:szCs w:val="32"/>
          <w:lang w:val="en-US" w:eastAsia="zh-CN"/>
        </w:rPr>
        <w:t>指标，预期指标值为“效果显著”。</w:t>
      </w:r>
    </w:p>
    <w:p>
      <w:pPr>
        <w:ind w:firstLine="640"/>
        <w:rPr>
          <w:sz w:val="32"/>
          <w:szCs w:val="32"/>
        </w:rPr>
      </w:pPr>
      <w:r>
        <w:rPr>
          <w:rFonts w:hint="eastAsia"/>
          <w:sz w:val="32"/>
          <w:szCs w:val="32"/>
        </w:rPr>
        <w:t>③生态效益指标</w:t>
      </w:r>
    </w:p>
    <w:p>
      <w:pPr>
        <w:ind w:firstLine="640"/>
        <w:rPr>
          <w:sz w:val="32"/>
          <w:szCs w:val="32"/>
        </w:rPr>
      </w:pPr>
      <w:r>
        <w:rPr>
          <w:rFonts w:hint="eastAsia"/>
          <w:sz w:val="32"/>
          <w:szCs w:val="32"/>
          <w:lang w:val="en-US" w:eastAsia="zh-CN"/>
        </w:rPr>
        <w:t>无</w:t>
      </w:r>
      <w:r>
        <w:rPr>
          <w:rFonts w:hint="eastAsia"/>
          <w:sz w:val="32"/>
          <w:szCs w:val="32"/>
        </w:rPr>
        <w:t>。</w:t>
      </w:r>
    </w:p>
    <w:p>
      <w:pPr>
        <w:ind w:firstLine="640"/>
        <w:rPr>
          <w:sz w:val="32"/>
          <w:szCs w:val="32"/>
        </w:rPr>
      </w:pPr>
      <w:r>
        <w:rPr>
          <w:rFonts w:hint="eastAsia"/>
          <w:sz w:val="32"/>
          <w:szCs w:val="32"/>
        </w:rPr>
        <w:t>④可持续影响指标</w:t>
      </w:r>
    </w:p>
    <w:p>
      <w:pPr>
        <w:ind w:firstLine="640"/>
        <w:rPr>
          <w:sz w:val="32"/>
          <w:szCs w:val="32"/>
        </w:rPr>
      </w:pPr>
      <w:r>
        <w:rPr>
          <w:rFonts w:hint="eastAsia"/>
          <w:sz w:val="32"/>
          <w:szCs w:val="32"/>
          <w:lang w:val="en-US" w:eastAsia="zh-CN"/>
        </w:rPr>
        <w:t>无</w:t>
      </w:r>
      <w:r>
        <w:rPr>
          <w:rFonts w:hint="eastAsia"/>
          <w:sz w:val="32"/>
          <w:szCs w:val="32"/>
        </w:rPr>
        <w:t>。</w:t>
      </w:r>
    </w:p>
    <w:p>
      <w:pPr>
        <w:ind w:firstLine="640"/>
        <w:rPr>
          <w:sz w:val="32"/>
          <w:szCs w:val="32"/>
        </w:rPr>
      </w:pPr>
      <w:r>
        <w:rPr>
          <w:rFonts w:hint="eastAsia"/>
          <w:sz w:val="32"/>
          <w:szCs w:val="32"/>
        </w:rPr>
        <w:t>（3）相关满意度目标</w:t>
      </w:r>
    </w:p>
    <w:p>
      <w:pPr>
        <w:ind w:firstLine="640"/>
        <w:rPr>
          <w:sz w:val="32"/>
          <w:szCs w:val="32"/>
        </w:rPr>
      </w:pPr>
      <w:r>
        <w:rPr>
          <w:rFonts w:hint="eastAsia"/>
          <w:sz w:val="32"/>
          <w:szCs w:val="32"/>
        </w:rPr>
        <w:t>满意度指标</w:t>
      </w:r>
    </w:p>
    <w:p>
      <w:pPr>
        <w:ind w:firstLine="640"/>
        <w:rPr>
          <w:rFonts w:hint="eastAsia"/>
          <w:szCs w:val="32"/>
        </w:rPr>
      </w:pPr>
      <w:r>
        <w:rPr>
          <w:rFonts w:hint="eastAsia"/>
          <w:sz w:val="32"/>
          <w:szCs w:val="32"/>
        </w:rPr>
        <w:t>“普查行业部门满意度”指标，预期指标值为“</w:t>
      </w:r>
      <w:r>
        <w:rPr>
          <w:rFonts w:hint="eastAsia"/>
          <w:sz w:val="32"/>
          <w:szCs w:val="32"/>
          <w:lang w:val="en-US" w:eastAsia="zh-CN"/>
        </w:rPr>
        <w:t>≥90%</w:t>
      </w:r>
      <w:r>
        <w:rPr>
          <w:rFonts w:hint="eastAsia"/>
          <w:sz w:val="32"/>
          <w:szCs w:val="32"/>
        </w:rPr>
        <w:t>”</w:t>
      </w:r>
      <w:r>
        <w:rPr>
          <w:rFonts w:hint="eastAsia"/>
          <w:sz w:val="32"/>
          <w:szCs w:val="32"/>
          <w:lang w:eastAsia="zh-CN"/>
        </w:rPr>
        <w:t>。</w:t>
      </w:r>
    </w:p>
    <w:p>
      <w:pPr>
        <w:pStyle w:val="3"/>
        <w:ind w:firstLine="640"/>
        <w:rPr>
          <w:rFonts w:hint="default" w:eastAsia="黑体"/>
          <w:szCs w:val="32"/>
          <w:lang w:val="en-US" w:eastAsia="zh-CN"/>
        </w:rPr>
      </w:pPr>
      <w:r>
        <w:rPr>
          <w:rFonts w:hint="eastAsia"/>
          <w:lang w:val="en-US" w:eastAsia="zh-CN"/>
        </w:rPr>
        <w:t>五</w:t>
      </w:r>
      <w:r>
        <w:rPr>
          <w:rFonts w:hint="eastAsia"/>
          <w:szCs w:val="32"/>
        </w:rPr>
        <w:t>、</w:t>
      </w:r>
      <w:r>
        <w:rPr>
          <w:rFonts w:hint="eastAsia"/>
          <w:szCs w:val="32"/>
          <w:lang w:val="en-US" w:eastAsia="zh-CN"/>
        </w:rPr>
        <w:t>预算执行进度与绩效指标总体完成率偏差原因及改进措施</w:t>
      </w:r>
    </w:p>
    <w:p>
      <w:pPr>
        <w:pStyle w:val="2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szCs w:val="32"/>
          <w:lang w:val="en-US" w:eastAsia="zh-CN"/>
        </w:rPr>
      </w:pPr>
      <w:r>
        <w:rPr>
          <w:rFonts w:hint="eastAsia" w:ascii="仿宋_GB2312" w:hAnsi="仿宋_GB2312" w:eastAsia="仿宋_GB2312" w:cs="仿宋_GB2312"/>
          <w:sz w:val="32"/>
          <w:szCs w:val="32"/>
          <w:highlight w:val="none"/>
          <w:lang w:val="en-US" w:eastAsia="zh-CN"/>
        </w:rPr>
        <w:t>该</w:t>
      </w:r>
      <w:r>
        <w:rPr>
          <w:rFonts w:hint="eastAsia" w:ascii="Times New Roman" w:hAnsi="Times New Roman" w:cs="Times New Roman"/>
          <w:sz w:val="32"/>
          <w:szCs w:val="32"/>
          <w:lang w:val="en-US" w:eastAsia="zh-CN"/>
        </w:rPr>
        <w:t>项目年</w:t>
      </w:r>
      <w:r>
        <w:rPr>
          <w:rFonts w:hint="eastAsia" w:cs="Times New Roman"/>
          <w:sz w:val="32"/>
          <w:szCs w:val="32"/>
          <w:lang w:val="en-US" w:eastAsia="zh-CN"/>
        </w:rPr>
        <w:t>初预算</w:t>
      </w:r>
      <w:r>
        <w:rPr>
          <w:rFonts w:hint="eastAsia" w:ascii="Times New Roman" w:hAnsi="Times New Roman" w:cs="Times New Roman"/>
          <w:sz w:val="32"/>
          <w:szCs w:val="32"/>
          <w:lang w:val="en-US" w:eastAsia="zh-CN"/>
        </w:rPr>
        <w:t>3,293.81万元，全年预算数3,293.81万元</w:t>
      </w:r>
      <w:r>
        <w:rPr>
          <w:rFonts w:hint="eastAsia" w:cs="Times New Roman"/>
          <w:sz w:val="32"/>
          <w:szCs w:val="32"/>
          <w:lang w:val="en-US" w:eastAsia="zh-CN"/>
        </w:rPr>
        <w:t>，实际支出</w:t>
      </w:r>
      <w:r>
        <w:rPr>
          <w:rFonts w:hint="eastAsia" w:ascii="Times New Roman" w:hAnsi="Times New Roman" w:cs="Times New Roman"/>
          <w:sz w:val="32"/>
          <w:szCs w:val="32"/>
        </w:rPr>
        <w:t>2</w:t>
      </w:r>
      <w:r>
        <w:rPr>
          <w:rFonts w:hint="eastAsia" w:ascii="Times New Roman" w:hAnsi="Times New Roman" w:cs="Times New Roman"/>
          <w:sz w:val="32"/>
          <w:szCs w:val="32"/>
          <w:lang w:val="en-US" w:eastAsia="zh-CN"/>
        </w:rPr>
        <w:t>,</w:t>
      </w:r>
      <w:r>
        <w:rPr>
          <w:rFonts w:hint="eastAsia" w:ascii="Times New Roman" w:hAnsi="Times New Roman" w:cs="Times New Roman"/>
          <w:sz w:val="32"/>
          <w:szCs w:val="32"/>
        </w:rPr>
        <w:t>302.27</w:t>
      </w:r>
      <w:r>
        <w:rPr>
          <w:rFonts w:hint="eastAsia" w:ascii="Times New Roman" w:hAnsi="Times New Roman" w:cs="Times New Roman"/>
          <w:sz w:val="32"/>
          <w:szCs w:val="32"/>
          <w:lang w:val="en-US" w:eastAsia="zh-CN"/>
        </w:rPr>
        <w:t>万元，预算执行率为</w:t>
      </w:r>
      <w:r>
        <w:rPr>
          <w:rFonts w:hint="eastAsia" w:ascii="Times New Roman" w:hAnsi="Times New Roman" w:cs="Times New Roman"/>
          <w:sz w:val="32"/>
          <w:szCs w:val="32"/>
        </w:rPr>
        <w:t>69.9</w:t>
      </w:r>
      <w:r>
        <w:rPr>
          <w:rFonts w:hint="eastAsia" w:ascii="Times New Roman" w:hAnsi="Times New Roman" w:cs="Times New Roman"/>
          <w:sz w:val="32"/>
          <w:szCs w:val="32"/>
          <w:lang w:val="en-US" w:eastAsia="zh-CN"/>
        </w:rPr>
        <w:t>0</w:t>
      </w:r>
      <w:r>
        <w:rPr>
          <w:rFonts w:hint="eastAsia" w:ascii="Times New Roman" w:hAnsi="Times New Roman" w:cs="Times New Roman"/>
          <w:sz w:val="32"/>
          <w:szCs w:val="32"/>
        </w:rPr>
        <w:t>%</w:t>
      </w:r>
      <w:r>
        <w:rPr>
          <w:rFonts w:hint="eastAsia" w:ascii="Times New Roman" w:hAnsi="Times New Roman" w:cs="Times New Roman"/>
          <w:sz w:val="32"/>
          <w:szCs w:val="32"/>
          <w:lang w:val="en-US" w:eastAsia="zh-CN"/>
        </w:rPr>
        <w:t>，</w:t>
      </w:r>
      <w:r>
        <w:rPr>
          <w:rFonts w:hint="eastAsia" w:ascii="仿宋_GB2312" w:hAnsi="仿宋_GB2312" w:eastAsia="仿宋_GB2312" w:cs="仿宋_GB2312"/>
          <w:sz w:val="32"/>
          <w:szCs w:val="32"/>
          <w:highlight w:val="none"/>
          <w:lang w:val="en-US" w:eastAsia="zh-CN"/>
        </w:rPr>
        <w:t>项目绩效指标总体完成率为86.99%，</w:t>
      </w:r>
      <w:r>
        <w:rPr>
          <w:rFonts w:hint="eastAsia" w:ascii="仿宋_GB2312" w:hAnsi="仿宋_GB2312" w:eastAsia="仿宋_GB2312" w:cs="仿宋_GB2312"/>
          <w:sz w:val="32"/>
          <w:szCs w:val="32"/>
          <w:highlight w:val="none"/>
          <w:lang w:val="en-US" w:eastAsia="zh-Hans"/>
        </w:rPr>
        <w:t>总体</w:t>
      </w:r>
      <w:r>
        <w:rPr>
          <w:rFonts w:hint="eastAsia" w:ascii="仿宋_GB2312" w:hAnsi="仿宋_GB2312" w:eastAsia="仿宋_GB2312" w:cs="仿宋_GB2312"/>
          <w:sz w:val="32"/>
          <w:szCs w:val="32"/>
          <w:highlight w:val="none"/>
          <w:lang w:val="en-US" w:eastAsia="zh-CN"/>
        </w:rPr>
        <w:t>偏差率为17.09%,</w:t>
      </w:r>
      <w:r>
        <w:rPr>
          <w:rFonts w:hint="eastAsia" w:ascii="仿宋_GB2312" w:hAnsi="仿宋_GB2312" w:eastAsia="仿宋_GB2312" w:cs="仿宋_GB2312"/>
          <w:sz w:val="32"/>
          <w:szCs w:val="32"/>
          <w:highlight w:val="none"/>
          <w:lang w:val="en-US" w:eastAsia="zh-Hans"/>
        </w:rPr>
        <w:t>偏差</w:t>
      </w:r>
      <w:r>
        <w:rPr>
          <w:rFonts w:hint="eastAsia" w:ascii="仿宋_GB2312" w:hAnsi="仿宋_GB2312" w:eastAsia="仿宋_GB2312" w:cs="仿宋_GB2312"/>
          <w:sz w:val="32"/>
          <w:szCs w:val="32"/>
          <w:highlight w:val="none"/>
          <w:lang w:val="en-US" w:eastAsia="zh-CN"/>
        </w:rPr>
        <w:t>原因：因疫情影响导致县级单元评估区划工作的报告尚未交付，故未支付合同约定的剩余款项。</w:t>
      </w:r>
      <w:r>
        <w:rPr>
          <w:rFonts w:hint="eastAsia" w:ascii="仿宋_GB2312" w:hAnsi="仿宋_GB2312" w:eastAsia="仿宋_GB2312" w:cs="仿宋_GB2312"/>
          <w:sz w:val="32"/>
          <w:szCs w:val="32"/>
          <w:highlight w:val="none"/>
          <w:lang w:val="en-US" w:eastAsia="zh-Hans"/>
        </w:rPr>
        <w:t>改进</w:t>
      </w:r>
      <w:r>
        <w:rPr>
          <w:rFonts w:hint="eastAsia" w:ascii="仿宋_GB2312" w:hAnsi="仿宋_GB2312" w:eastAsia="仿宋_GB2312" w:cs="仿宋_GB2312"/>
          <w:sz w:val="32"/>
          <w:szCs w:val="32"/>
          <w:highlight w:val="none"/>
          <w:lang w:val="en-US" w:eastAsia="zh-CN"/>
        </w:rPr>
        <w:t>措施：因不可控原因导致，无需改进措施。</w:t>
      </w:r>
    </w:p>
    <w:p>
      <w:pPr>
        <w:pStyle w:val="3"/>
        <w:ind w:firstLine="640"/>
        <w:rPr>
          <w:szCs w:val="32"/>
        </w:rPr>
      </w:pPr>
      <w:r>
        <w:rPr>
          <w:rFonts w:hint="eastAsia"/>
          <w:szCs w:val="32"/>
          <w:lang w:val="en-US" w:eastAsia="zh-CN"/>
        </w:rPr>
        <w:t>六</w:t>
      </w:r>
      <w:r>
        <w:rPr>
          <w:rFonts w:hint="eastAsia"/>
          <w:szCs w:val="32"/>
        </w:rPr>
        <w:t>、主要经验及做法、存在的问题及原因分析</w:t>
      </w:r>
    </w:p>
    <w:p>
      <w:pPr>
        <w:pStyle w:val="4"/>
        <w:numPr>
          <w:ilvl w:val="0"/>
          <w:numId w:val="5"/>
        </w:numPr>
        <w:ind w:firstLine="643"/>
        <w:rPr>
          <w:szCs w:val="32"/>
        </w:rPr>
      </w:pPr>
      <w:bookmarkStart w:id="14" w:name="_Toc1921"/>
      <w:bookmarkStart w:id="15" w:name="_Toc28290"/>
      <w:r>
        <w:rPr>
          <w:rFonts w:hint="eastAsia"/>
          <w:szCs w:val="32"/>
        </w:rPr>
        <w:t>主要经验及做法</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7"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color w:val="auto"/>
          <w:spacing w:val="1"/>
          <w:kern w:val="2"/>
          <w:sz w:val="32"/>
          <w:szCs w:val="32"/>
          <w:highlight w:val="none"/>
          <w:lang w:val="en-US" w:eastAsia="zh-CN" w:bidi="ar-SA"/>
        </w:rPr>
        <w:t>持续加大培训宣传力度。</w:t>
      </w:r>
      <w:r>
        <w:rPr>
          <w:rFonts w:hint="eastAsia" w:ascii="仿宋_GB2312" w:hAnsi="仿宋_GB2312" w:eastAsia="仿宋_GB2312" w:cs="仿宋_GB2312"/>
          <w:sz w:val="32"/>
          <w:szCs w:val="32"/>
          <w:lang w:val="en-US" w:eastAsia="zh-CN"/>
        </w:rPr>
        <w:t>始终把培训作为普查基础性重点工作来抓，采取线上线下相结合方式常态化开展业务培训，累计组织培训3797次、超过13万人次。4次邀请国务院普查办专家对全区普查工作人员进行专题培训。制定印发全区普查宣传工作方案，在部门官网上开设普查工作宣传板块并及时更新，印制和发放普查宣传手册</w:t>
      </w:r>
      <w:r>
        <w:rPr>
          <w:rFonts w:hint="eastAsia" w:ascii="仿宋_GB2312" w:hAnsi="仿宋_GB2312" w:eastAsia="仿宋_GB2312" w:cs="仿宋_GB2312"/>
          <w:sz w:val="32"/>
          <w:szCs w:val="32"/>
          <w:highlight w:val="none"/>
          <w:lang w:val="en-US" w:eastAsia="zh-CN"/>
        </w:rPr>
        <w:t>6万</w:t>
      </w:r>
      <w:r>
        <w:rPr>
          <w:rFonts w:hint="eastAsia" w:ascii="仿宋_GB2312" w:hAnsi="仿宋_GB2312" w:eastAsia="仿宋_GB2312" w:cs="仿宋_GB2312"/>
          <w:sz w:val="32"/>
          <w:szCs w:val="32"/>
          <w:lang w:val="en-US" w:eastAsia="zh-CN"/>
        </w:rPr>
        <w:t>余册。抓住全国防灾减灾日契机，全面开展普查宣传工作，举办宣传活动4234场次、覆盖群众1810万人次。统筹全区媒体资源对普查工作进展情况进行跟踪报道。积极参加国务院普查办宣传作品征集活动，我区三部作品获得国家优秀奖。</w:t>
      </w:r>
    </w:p>
    <w:bookmarkEnd w:id="14"/>
    <w:bookmarkEnd w:id="15"/>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b w:val="0"/>
          <w:bCs w:val="0"/>
          <w:szCs w:val="32"/>
        </w:rPr>
      </w:pPr>
      <w:r>
        <w:rPr>
          <w:rFonts w:hint="eastAsia" w:ascii="Times New Roman" w:hAnsi="Times New Roman" w:eastAsia="黑体" w:cs="Times New Roman"/>
          <w:kern w:val="44"/>
          <w:sz w:val="32"/>
          <w:szCs w:val="32"/>
          <w:lang w:val="en-US" w:eastAsia="zh-CN" w:bidi="ar-SA"/>
        </w:rPr>
        <w:t>（二）存在的问题及原因分析</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bCs/>
          <w:color w:val="auto"/>
          <w:sz w:val="32"/>
          <w:szCs w:val="32"/>
          <w:lang w:val="en-US" w:eastAsia="zh-CN"/>
        </w:rPr>
        <w:t>兵地融合一体化开展评估与区划亟待推进</w:t>
      </w:r>
      <w:r>
        <w:rPr>
          <w:rFonts w:hint="eastAsia" w:ascii="仿宋_GB2312" w:hAnsi="仿宋_GB2312" w:eastAsia="仿宋_GB2312" w:cs="仿宋_GB2312"/>
          <w:b w:val="0"/>
          <w:bCs w:val="0"/>
          <w:color w:val="auto"/>
          <w:sz w:val="32"/>
          <w:szCs w:val="32"/>
          <w:lang w:val="en-US" w:eastAsia="zh-CN"/>
        </w:rPr>
        <w:t>。根据本次普查安排部署，要按照地域共轭性原则和行政区划完整性要求全面开展评估与区划，既不能“开天窗”，又不能“有飞地”，如何有效整合数据、解决团场跨县域的问题，如何融合单灾种评估与区划成果等，均需要进一步加大协调力度，形成共识。</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黑体" w:cs="Times New Roman"/>
          <w:kern w:val="44"/>
          <w:sz w:val="32"/>
          <w:szCs w:val="32"/>
          <w:lang w:val="en-US" w:eastAsia="zh-CN" w:bidi="ar-SA"/>
        </w:rPr>
      </w:pPr>
      <w:r>
        <w:rPr>
          <w:rFonts w:hint="eastAsia" w:eastAsia="黑体" w:cs="Times New Roman"/>
          <w:kern w:val="44"/>
          <w:sz w:val="32"/>
          <w:szCs w:val="32"/>
          <w:lang w:val="en-US" w:eastAsia="zh-CN" w:bidi="ar-SA"/>
        </w:rPr>
        <w:t>七</w:t>
      </w:r>
      <w:r>
        <w:rPr>
          <w:rFonts w:hint="eastAsia" w:ascii="Times New Roman" w:hAnsi="Times New Roman" w:eastAsia="黑体" w:cs="Times New Roman"/>
          <w:kern w:val="44"/>
          <w:sz w:val="32"/>
          <w:szCs w:val="32"/>
          <w:lang w:val="en-US" w:eastAsia="zh-CN" w:bidi="ar-SA"/>
        </w:rPr>
        <w:t>、有关建议</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kern w:val="0"/>
          <w:sz w:val="32"/>
          <w:szCs w:val="32"/>
          <w:lang w:val="en-US" w:eastAsia="zh-CN" w:bidi="ar"/>
        </w:rPr>
      </w:pPr>
      <w:r>
        <w:rPr>
          <w:rFonts w:hint="eastAsia" w:ascii="Times New Roman" w:hAnsi="Times New Roman" w:eastAsia="楷体_GB2312" w:cs="Times New Roman"/>
          <w:b/>
          <w:bCs/>
          <w:kern w:val="2"/>
          <w:sz w:val="32"/>
          <w:szCs w:val="32"/>
          <w:lang w:val="en-US" w:eastAsia="zh-CN" w:bidi="ar-SA"/>
        </w:rPr>
        <w:t>推动建立常态化普查评估体系</w:t>
      </w:r>
      <w:r>
        <w:rPr>
          <w:rFonts w:hint="eastAsia" w:ascii="楷体_GB2312" w:hAnsi="楷体_GB2312" w:eastAsia="楷体_GB2312" w:cs="楷体_GB2312"/>
          <w:spacing w:val="0"/>
          <w:sz w:val="32"/>
          <w:lang w:val="en-US" w:eastAsia="zh-CN"/>
        </w:rPr>
        <w:t>。</w:t>
      </w:r>
      <w:r>
        <w:rPr>
          <w:rFonts w:hint="eastAsia" w:ascii="仿宋_GB2312" w:hAnsi="仿宋_GB2312" w:eastAsia="仿宋_GB2312" w:cs="仿宋_GB2312"/>
          <w:b w:val="0"/>
          <w:bCs w:val="0"/>
          <w:color w:val="000000"/>
          <w:kern w:val="0"/>
          <w:sz w:val="32"/>
          <w:szCs w:val="32"/>
          <w:lang w:val="en-US" w:eastAsia="zh-CN" w:bidi="ar"/>
        </w:rPr>
        <w:t>组织推动符合我区实际的基础通用类、行业类、综合类等重要技术标准制修订工作。加强普查工作常态化制度研究和设计，探索建立常态化自然灾害综合风险普查评估技术体系，研制开发多尺度评估软件，紧紧围绕自治区“八大产业集群”“三基地一通道”建设等核心工作，组织实施重大专项自然灾害风险评估。落实国家评估与区划业务培训要求，加强地方评估与区划队伍建设，推动开展常态化评估工作。</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黑体" w:cs="Times New Roman"/>
          <w:kern w:val="44"/>
          <w:sz w:val="32"/>
          <w:szCs w:val="32"/>
          <w:lang w:val="en-US" w:eastAsia="zh-CN" w:bidi="ar-SA"/>
        </w:rPr>
      </w:pPr>
      <w:r>
        <w:rPr>
          <w:rFonts w:hint="eastAsia" w:eastAsia="黑体" w:cs="Times New Roman"/>
          <w:kern w:val="44"/>
          <w:sz w:val="32"/>
          <w:szCs w:val="32"/>
          <w:lang w:val="en-US" w:eastAsia="zh-CN" w:bidi="ar-SA"/>
        </w:rPr>
        <w:t>八</w:t>
      </w:r>
      <w:r>
        <w:rPr>
          <w:rFonts w:hint="eastAsia" w:ascii="Times New Roman" w:hAnsi="Times New Roman" w:eastAsia="黑体" w:cs="Times New Roman"/>
          <w:kern w:val="44"/>
          <w:sz w:val="32"/>
          <w:szCs w:val="32"/>
          <w:lang w:val="en-US" w:eastAsia="zh-CN" w:bidi="ar-SA"/>
        </w:rPr>
        <w:t>、其他需要说明的问题</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kern w:val="0"/>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
        </w:rPr>
        <w:t>无其他说明内容。</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黑体" w:cs="Times New Roman"/>
          <w:kern w:val="44"/>
          <w:sz w:val="32"/>
          <w:szCs w:val="32"/>
          <w:lang w:val="en-US" w:eastAsia="zh-CN" w:bidi="ar-SA"/>
        </w:rPr>
      </w:pPr>
      <w:r>
        <w:rPr>
          <w:rFonts w:hint="eastAsia" w:eastAsia="黑体" w:cs="Times New Roman"/>
          <w:kern w:val="44"/>
          <w:sz w:val="32"/>
          <w:szCs w:val="32"/>
          <w:lang w:val="en-US" w:eastAsia="zh-CN" w:bidi="ar-SA"/>
        </w:rPr>
        <w:t>九、</w:t>
      </w:r>
      <w:r>
        <w:rPr>
          <w:rFonts w:hint="eastAsia" w:ascii="Times New Roman" w:hAnsi="Times New Roman" w:eastAsia="黑体" w:cs="Times New Roman"/>
          <w:kern w:val="44"/>
          <w:sz w:val="32"/>
          <w:szCs w:val="32"/>
          <w:lang w:val="en-US" w:eastAsia="zh-CN" w:bidi="ar-SA"/>
        </w:rPr>
        <w:t>附表</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b w:val="0"/>
          <w:bCs w:val="0"/>
          <w:sz w:val="32"/>
          <w:szCs w:val="32"/>
        </w:rPr>
      </w:pPr>
      <w:r>
        <w:rPr>
          <w:rFonts w:hint="eastAsia"/>
          <w:b w:val="0"/>
          <w:bCs w:val="0"/>
          <w:sz w:val="32"/>
          <w:szCs w:val="32"/>
          <w:lang w:val="en-US" w:eastAsia="zh-CN"/>
        </w:rPr>
        <w:t>附件1：</w:t>
      </w:r>
      <w:r>
        <w:rPr>
          <w:rFonts w:hint="eastAsia"/>
          <w:b w:val="0"/>
          <w:bCs w:val="0"/>
          <w:sz w:val="32"/>
          <w:szCs w:val="32"/>
        </w:rPr>
        <w:t>自治区第一次全国自然灾害综合风险普查绩效评价体系-共性指标</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b w:val="0"/>
          <w:bCs w:val="0"/>
          <w:sz w:val="32"/>
          <w:szCs w:val="32"/>
          <w:lang w:val="en-US" w:eastAsia="zh-CN"/>
        </w:rPr>
      </w:pPr>
      <w:r>
        <w:rPr>
          <w:rFonts w:hint="eastAsia"/>
          <w:b w:val="0"/>
          <w:bCs w:val="0"/>
          <w:sz w:val="32"/>
          <w:szCs w:val="32"/>
          <w:lang w:val="en-US" w:eastAsia="zh-CN"/>
        </w:rPr>
        <w:t>附件2：自治区第一次全国自然灾害综合风险普查绩效评价体系-个性指标绩效评价体系-个性指标</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eastAsia"/>
          <w:b w:val="0"/>
          <w:bCs w:val="0"/>
          <w:sz w:val="32"/>
          <w:szCs w:val="32"/>
          <w:lang w:val="en-US" w:eastAsia="zh-CN"/>
        </w:rPr>
      </w:pPr>
      <w:r>
        <w:rPr>
          <w:rFonts w:hint="eastAsia"/>
          <w:b w:val="0"/>
          <w:bCs w:val="0"/>
          <w:sz w:val="32"/>
          <w:szCs w:val="32"/>
          <w:lang w:val="en-US" w:eastAsia="zh-CN"/>
        </w:rPr>
        <w:t>附件3：自治区第一次全国自然灾害综合风险普查项目项目综合评分表</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val="0"/>
        <w:spacing w:line="560" w:lineRule="exact"/>
        <w:ind w:firstLine="640" w:firstLineChars="200"/>
        <w:jc w:val="both"/>
        <w:textAlignment w:val="auto"/>
        <w:rPr>
          <w:rFonts w:hint="default"/>
          <w:b w:val="0"/>
          <w:bCs w:val="0"/>
          <w:sz w:val="32"/>
          <w:szCs w:val="32"/>
          <w:lang w:val="en-US" w:eastAsia="zh-CN"/>
        </w:rPr>
      </w:pPr>
      <w:r>
        <w:rPr>
          <w:rFonts w:hint="eastAsia"/>
          <w:b w:val="0"/>
          <w:bCs w:val="0"/>
          <w:sz w:val="32"/>
          <w:szCs w:val="32"/>
          <w:lang w:val="en-US" w:eastAsia="zh-CN"/>
        </w:rPr>
        <w:t>附件4：自治区第一次全国自然灾害综合风险普查项目支出绩效自评表</w:t>
      </w:r>
    </w:p>
    <w:p>
      <w:pPr>
        <w:pStyle w:val="2"/>
        <w:keepNext w:val="0"/>
        <w:keepLines w:val="0"/>
        <w:pageBreakBefore w:val="0"/>
        <w:kinsoku/>
        <w:wordWrap/>
        <w:overflowPunct/>
        <w:topLinePunct w:val="0"/>
        <w:autoSpaceDE/>
        <w:autoSpaceDN/>
        <w:bidi w:val="0"/>
        <w:adjustRightInd/>
        <w:textAlignment w:val="auto"/>
        <w:rPr>
          <w:rFonts w:hint="eastAsia"/>
          <w:lang w:val="en-US" w:eastAsia="zh-CN"/>
        </w:rPr>
      </w:pPr>
    </w:p>
    <w:p>
      <w:pPr>
        <w:pStyle w:val="2"/>
        <w:rPr>
          <w:rFonts w:hint="eastAsia"/>
          <w:lang w:val="en-US" w:eastAsia="zh-CN"/>
        </w:rPr>
      </w:pP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23680"/>
    </w:sdtPr>
    <w:sdtContent>
      <w:p>
        <w:pPr>
          <w:pStyle w:val="10"/>
          <w:ind w:firstLine="360"/>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2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68291A1A"/>
    <w:rsid w:val="00004DD3"/>
    <w:rsid w:val="000235A3"/>
    <w:rsid w:val="000545A8"/>
    <w:rsid w:val="001472A5"/>
    <w:rsid w:val="0015505A"/>
    <w:rsid w:val="001623FF"/>
    <w:rsid w:val="00175A91"/>
    <w:rsid w:val="001A4AC3"/>
    <w:rsid w:val="001E2EBD"/>
    <w:rsid w:val="00210D91"/>
    <w:rsid w:val="00223032"/>
    <w:rsid w:val="002A0995"/>
    <w:rsid w:val="002C7B03"/>
    <w:rsid w:val="002C7DD3"/>
    <w:rsid w:val="003F37F5"/>
    <w:rsid w:val="0043100D"/>
    <w:rsid w:val="004601B7"/>
    <w:rsid w:val="004B4870"/>
    <w:rsid w:val="005214C9"/>
    <w:rsid w:val="00527AEB"/>
    <w:rsid w:val="00534E53"/>
    <w:rsid w:val="005A0D91"/>
    <w:rsid w:val="005A5739"/>
    <w:rsid w:val="006B1BC0"/>
    <w:rsid w:val="007E058B"/>
    <w:rsid w:val="007E7875"/>
    <w:rsid w:val="007F45BB"/>
    <w:rsid w:val="008C044E"/>
    <w:rsid w:val="00931BEF"/>
    <w:rsid w:val="009B1503"/>
    <w:rsid w:val="00A12D83"/>
    <w:rsid w:val="00A51CD9"/>
    <w:rsid w:val="00AB718B"/>
    <w:rsid w:val="00AC6871"/>
    <w:rsid w:val="00B2498B"/>
    <w:rsid w:val="00BB45C5"/>
    <w:rsid w:val="00BE687E"/>
    <w:rsid w:val="00CC305E"/>
    <w:rsid w:val="00D85D47"/>
    <w:rsid w:val="00DF59B3"/>
    <w:rsid w:val="00E1703B"/>
    <w:rsid w:val="00E333EB"/>
    <w:rsid w:val="00E944DF"/>
    <w:rsid w:val="00F010D3"/>
    <w:rsid w:val="00F25858"/>
    <w:rsid w:val="00F26424"/>
    <w:rsid w:val="00FC5DC5"/>
    <w:rsid w:val="0A6C019B"/>
    <w:rsid w:val="0E0D3ABA"/>
    <w:rsid w:val="0E5F3AD9"/>
    <w:rsid w:val="0F80043D"/>
    <w:rsid w:val="12F1313F"/>
    <w:rsid w:val="14D914CC"/>
    <w:rsid w:val="16A56DF3"/>
    <w:rsid w:val="18266CD8"/>
    <w:rsid w:val="1FC92BFD"/>
    <w:rsid w:val="245E1E24"/>
    <w:rsid w:val="26F36771"/>
    <w:rsid w:val="2E483E7E"/>
    <w:rsid w:val="32377634"/>
    <w:rsid w:val="33944516"/>
    <w:rsid w:val="3AE21D52"/>
    <w:rsid w:val="42B97E93"/>
    <w:rsid w:val="46841E97"/>
    <w:rsid w:val="4C07141A"/>
    <w:rsid w:val="4E7206AD"/>
    <w:rsid w:val="4EA25675"/>
    <w:rsid w:val="4F810F9C"/>
    <w:rsid w:val="505F08BC"/>
    <w:rsid w:val="567B2E63"/>
    <w:rsid w:val="63123525"/>
    <w:rsid w:val="65962139"/>
    <w:rsid w:val="68291A1A"/>
    <w:rsid w:val="68D37C3F"/>
    <w:rsid w:val="691B1594"/>
    <w:rsid w:val="6C02182A"/>
    <w:rsid w:val="6C24361E"/>
    <w:rsid w:val="6F0D6C22"/>
    <w:rsid w:val="6FAD1E8B"/>
    <w:rsid w:val="6FCE15DF"/>
    <w:rsid w:val="73E644E2"/>
    <w:rsid w:val="76D2301A"/>
    <w:rsid w:val="775F775E"/>
    <w:rsid w:val="77861774"/>
    <w:rsid w:val="79300B45"/>
    <w:rsid w:val="7C2A47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qFormat="1"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5">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index 5"/>
    <w:basedOn w:val="1"/>
    <w:next w:val="1"/>
    <w:qFormat/>
    <w:uiPriority w:val="0"/>
    <w:pPr>
      <w:ind w:left="1680"/>
    </w:pPr>
  </w:style>
  <w:style w:type="paragraph" w:styleId="7">
    <w:name w:val="annotation text"/>
    <w:basedOn w:val="1"/>
    <w:qFormat/>
    <w:uiPriority w:val="0"/>
    <w:pPr>
      <w:jc w:val="left"/>
    </w:pPr>
  </w:style>
  <w:style w:type="paragraph" w:styleId="8">
    <w:name w:val="Body Text Indent"/>
    <w:basedOn w:val="1"/>
    <w:next w:val="1"/>
    <w:qFormat/>
    <w:uiPriority w:val="0"/>
    <w:pPr>
      <w:ind w:left="1280" w:hanging="1280" w:hangingChars="400"/>
    </w:pPr>
    <w:rPr>
      <w:rFonts w:eastAsia="仿宋_GB2312"/>
      <w:sz w:val="32"/>
    </w:rPr>
  </w:style>
  <w:style w:type="paragraph" w:styleId="9">
    <w:name w:val="Balloon Text"/>
    <w:basedOn w:val="1"/>
    <w:link w:val="21"/>
    <w:qFormat/>
    <w:uiPriority w:val="0"/>
    <w:pPr>
      <w:spacing w:line="240" w:lineRule="auto"/>
    </w:pPr>
    <w:rPr>
      <w:sz w:val="18"/>
      <w:szCs w:val="18"/>
    </w:rPr>
  </w:style>
  <w:style w:type="paragraph" w:styleId="10">
    <w:name w:val="footer"/>
    <w:basedOn w:val="1"/>
    <w:link w:val="24"/>
    <w:qFormat/>
    <w:uiPriority w:val="99"/>
    <w:pPr>
      <w:tabs>
        <w:tab w:val="center" w:pos="4153"/>
        <w:tab w:val="right" w:pos="8306"/>
      </w:tabs>
      <w:snapToGrid w:val="0"/>
      <w:jc w:val="left"/>
    </w:pPr>
    <w:rPr>
      <w:sz w:val="18"/>
    </w:rPr>
  </w:style>
  <w:style w:type="paragraph" w:styleId="11">
    <w:name w:val="Body Text First Indent 2"/>
    <w:basedOn w:val="8"/>
    <w:next w:val="8"/>
    <w:qFormat/>
    <w:uiPriority w:val="0"/>
    <w:pPr>
      <w:widowControl w:val="0"/>
      <w:spacing w:after="120"/>
      <w:ind w:left="420" w:leftChars="200" w:firstLine="420" w:firstLineChars="200"/>
    </w:pPr>
    <w:rPr>
      <w:rFonts w:ascii="Calibri" w:hAnsi="Calibri" w:eastAsia="宋体"/>
      <w:color w:val="auto"/>
      <w:sz w:val="21"/>
      <w:szCs w:val="24"/>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3">
    <w:name w:val="index 7"/>
    <w:basedOn w:val="1"/>
    <w:next w:val="1"/>
    <w:unhideWhenUsed/>
    <w:qFormat/>
    <w:uiPriority w:val="99"/>
    <w:pPr>
      <w:ind w:left="252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0">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1">
    <w:name w:val="批注框文本 Char"/>
    <w:basedOn w:val="15"/>
    <w:link w:val="9"/>
    <w:qFormat/>
    <w:uiPriority w:val="0"/>
    <w:rPr>
      <w:rFonts w:eastAsia="仿宋_GB2312"/>
      <w:kern w:val="2"/>
      <w:sz w:val="18"/>
      <w:szCs w:val="18"/>
    </w:rPr>
  </w:style>
  <w:style w:type="paragraph" w:customStyle="1" w:styleId="22">
    <w:name w:val="List Paragraph"/>
    <w:basedOn w:val="1"/>
    <w:unhideWhenUsed/>
    <w:qFormat/>
    <w:uiPriority w:val="99"/>
    <w:pPr>
      <w:ind w:firstLine="420"/>
    </w:pPr>
  </w:style>
  <w:style w:type="paragraph" w:customStyle="1" w:styleId="23">
    <w:name w:val="标题2"/>
    <w:basedOn w:val="4"/>
    <w:qFormat/>
    <w:uiPriority w:val="0"/>
    <w:pPr>
      <w:numPr>
        <w:ilvl w:val="0"/>
        <w:numId w:val="1"/>
      </w:numPr>
      <w:spacing w:before="120" w:after="120" w:line="500" w:lineRule="exact"/>
    </w:pPr>
    <w:rPr>
      <w:rFonts w:ascii="仿宋_GB2312" w:eastAsia="仿宋_GB2312"/>
    </w:rPr>
  </w:style>
  <w:style w:type="character" w:customStyle="1" w:styleId="24">
    <w:name w:val="页脚 Char"/>
    <w:basedOn w:val="15"/>
    <w:link w:val="10"/>
    <w:qFormat/>
    <w:uiPriority w:val="99"/>
    <w:rPr>
      <w:rFonts w:eastAsia="仿宋_GB2312"/>
      <w:kern w:val="2"/>
      <w:sz w:val="18"/>
      <w:szCs w:val="24"/>
    </w:rPr>
  </w:style>
  <w:style w:type="character" w:customStyle="1" w:styleId="25">
    <w:name w:val="NormalCharacter"/>
    <w:semiHidden/>
    <w:qFormat/>
    <w:uiPriority w:val="0"/>
    <w:rPr>
      <w:rFonts w:ascii="Calibri" w:hAnsi="Calibri" w:eastAsia="宋体" w:cstheme="minorBidi"/>
      <w:kern w:val="2"/>
      <w:sz w:val="21"/>
      <w:szCs w:val="24"/>
      <w:lang w:val="en-US" w:eastAsia="zh-CN" w:bidi="ar-SA"/>
    </w:rPr>
  </w:style>
  <w:style w:type="paragraph" w:customStyle="1" w:styleId="26">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7866</Words>
  <Characters>8213</Characters>
  <Lines>46</Lines>
  <Paragraphs>12</Paragraphs>
  <TotalTime>0</TotalTime>
  <ScaleCrop>false</ScaleCrop>
  <LinksUpToDate>false</LinksUpToDate>
  <CharactersWithSpaces>8231</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2020-04-08T07:22:00Z</dcterms:created>
  <dc:creator>驰远天合-柴万顺-18690160103</dc:creator>
  <cp:lastModifiedBy>Administrator</cp:lastModifiedBy>
  <cp:lastPrinted>2021-03-02T03:49:00Z</cp:lastPrinted>
  <dcterms:modified xsi:type="dcterms:W3CDTF">2023-09-04T02:35:45Z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2FCF7CDB13A9475282E9A9B47E398F2C</vt:lpwstr>
  </property>
</Properties>
</file>