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600" w:lineRule="exact"/>
        <w:jc w:val="center"/>
        <w:rPr>
          <w:rFonts w:ascii="小标宋" w:eastAsia="小标宋"/>
          <w:kern w:val="0"/>
          <w:sz w:val="44"/>
          <w:szCs w:val="44"/>
        </w:rPr>
      </w:pPr>
      <w:r>
        <w:rPr>
          <w:rFonts w:hint="eastAsia" w:ascii="方正小标宋简体" w:eastAsia="方正小标宋简体"/>
          <w:kern w:val="0"/>
          <w:sz w:val="44"/>
          <w:szCs w:val="44"/>
        </w:rPr>
        <w:t>市场项目支出绩效评价报告</w:t>
      </w:r>
    </w:p>
    <w:p>
      <w:pPr>
        <w:spacing w:line="540" w:lineRule="exact"/>
        <w:jc w:val="center"/>
        <w:rPr>
          <w:rFonts w:hint="eastAsia" w:hAnsi="宋体" w:eastAsia="仿宋_GB2312" w:cs="宋体"/>
          <w:kern w:val="0"/>
          <w:sz w:val="44"/>
          <w:szCs w:val="44"/>
        </w:rPr>
      </w:pPr>
    </w:p>
    <w:p>
      <w:pPr>
        <w:spacing w:line="540" w:lineRule="exact"/>
        <w:jc w:val="center"/>
        <w:rPr>
          <w:rFonts w:hint="eastAsia" w:ascii="仿宋" w:hAnsi="仿宋" w:eastAsia="仿宋"/>
          <w:b/>
          <w:kern w:val="0"/>
          <w:sz w:val="36"/>
          <w:szCs w:val="36"/>
        </w:rPr>
      </w:pPr>
      <w:r>
        <w:rPr>
          <w:rFonts w:hint="eastAsia" w:ascii="仿宋" w:hAnsi="仿宋" w:eastAsia="仿宋"/>
          <w:b/>
          <w:kern w:val="0"/>
          <w:sz w:val="36"/>
          <w:szCs w:val="36"/>
        </w:rPr>
        <w:t>（</w:t>
      </w:r>
      <w:r>
        <w:rPr>
          <w:rFonts w:hint="eastAsia" w:ascii="仿宋" w:hAnsi="仿宋" w:eastAsia="仿宋"/>
          <w:b/>
          <w:kern w:val="0"/>
          <w:sz w:val="36"/>
          <w:szCs w:val="36"/>
          <w:lang w:val="en-US" w:eastAsia="zh-CN"/>
        </w:rPr>
        <w:t>2022</w:t>
      </w:r>
      <w:r>
        <w:rPr>
          <w:rFonts w:hint="eastAsia" w:ascii="仿宋" w:hAnsi="仿宋" w:eastAsia="仿宋"/>
          <w:b/>
          <w:kern w:val="0"/>
          <w:sz w:val="36"/>
          <w:szCs w:val="36"/>
        </w:rPr>
        <w:t>年度）</w:t>
      </w:r>
    </w:p>
    <w:p>
      <w:pPr>
        <w:spacing w:line="540" w:lineRule="exact"/>
        <w:jc w:val="center"/>
        <w:rPr>
          <w:rFonts w:ascii="仿宋" w:hAnsi="仿宋" w:eastAsia="仿宋"/>
          <w:b/>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rPr>
          <w:rFonts w:hAnsi="宋体" w:eastAsia="仿宋_GB2312" w:cs="宋体"/>
          <w:kern w:val="0"/>
          <w:sz w:val="30"/>
          <w:szCs w:val="30"/>
          <w:highlight w:val="none"/>
        </w:rPr>
      </w:pPr>
    </w:p>
    <w:p>
      <w:pPr>
        <w:pStyle w:val="2"/>
        <w:rPr>
          <w:rFonts w:hAnsi="宋体" w:eastAsia="仿宋_GB2312" w:cs="宋体"/>
          <w:kern w:val="0"/>
          <w:sz w:val="30"/>
          <w:szCs w:val="30"/>
          <w:highlight w:val="none"/>
        </w:rPr>
      </w:pPr>
    </w:p>
    <w:p>
      <w:pPr>
        <w:rPr>
          <w:rFonts w:hAnsi="宋体" w:eastAsia="仿宋_GB2312" w:cs="宋体"/>
          <w:kern w:val="0"/>
          <w:sz w:val="30"/>
          <w:szCs w:val="30"/>
          <w:highlight w:val="none"/>
        </w:rPr>
      </w:pPr>
    </w:p>
    <w:p>
      <w:pPr>
        <w:pStyle w:val="2"/>
        <w:rPr>
          <w:highlight w:val="none"/>
        </w:rPr>
      </w:pPr>
    </w:p>
    <w:p>
      <w:pPr>
        <w:spacing w:line="700" w:lineRule="exact"/>
        <w:jc w:val="left"/>
        <w:rPr>
          <w:rFonts w:hAnsi="宋体" w:eastAsia="仿宋_GB2312" w:cs="宋体"/>
          <w:kern w:val="0"/>
          <w:sz w:val="36"/>
          <w:szCs w:val="36"/>
          <w:highlight w:val="none"/>
        </w:rPr>
      </w:pPr>
      <w:r>
        <w:rPr>
          <w:rFonts w:hint="eastAsia" w:hAnsi="宋体" w:eastAsia="仿宋_GB2312" w:cs="宋体"/>
          <w:kern w:val="0"/>
          <w:sz w:val="36"/>
          <w:szCs w:val="36"/>
          <w:highlight w:val="none"/>
        </w:rPr>
        <w:t xml:space="preserve">     </w:t>
      </w:r>
    </w:p>
    <w:p>
      <w:pPr>
        <w:spacing w:line="700" w:lineRule="exact"/>
        <w:jc w:val="left"/>
        <w:rPr>
          <w:rFonts w:hAnsi="宋体" w:eastAsia="仿宋_GB2312" w:cs="宋体"/>
          <w:kern w:val="0"/>
          <w:sz w:val="36"/>
          <w:szCs w:val="36"/>
          <w:highlight w:val="none"/>
        </w:rPr>
      </w:pPr>
      <w:r>
        <w:rPr>
          <w:rFonts w:hint="eastAsia" w:hAnsi="宋体" w:eastAsia="仿宋_GB2312" w:cs="宋体"/>
          <w:kern w:val="0"/>
          <w:sz w:val="36"/>
          <w:szCs w:val="36"/>
          <w:highlight w:val="none"/>
          <w:lang w:val="en-US" w:eastAsia="zh-CN"/>
        </w:rPr>
        <w:t xml:space="preserve">    </w:t>
      </w:r>
      <w:r>
        <w:rPr>
          <w:rFonts w:hint="eastAsia" w:hAnsi="宋体" w:eastAsia="仿宋_GB2312" w:cs="宋体"/>
          <w:kern w:val="0"/>
          <w:sz w:val="36"/>
          <w:szCs w:val="36"/>
          <w:highlight w:val="none"/>
        </w:rPr>
        <w:t>项目名称：</w:t>
      </w:r>
      <w:r>
        <w:rPr>
          <w:rStyle w:val="22"/>
          <w:rFonts w:hint="eastAsia" w:ascii="楷体" w:hAnsi="楷体" w:eastAsia="楷体"/>
          <w:spacing w:val="-4"/>
          <w:sz w:val="28"/>
          <w:szCs w:val="28"/>
          <w:highlight w:val="none"/>
          <w:lang w:eastAsia="zh-CN"/>
        </w:rPr>
        <w:t>经营税收入成本性支出（安科院）</w:t>
      </w:r>
    </w:p>
    <w:p>
      <w:pPr>
        <w:spacing w:line="540" w:lineRule="exact"/>
        <w:ind w:firstLine="567"/>
        <w:rPr>
          <w:rFonts w:ascii="楷体" w:hAnsi="楷体" w:eastAsia="楷体"/>
          <w:b/>
          <w:bCs/>
          <w:spacing w:val="-4"/>
          <w:sz w:val="32"/>
          <w:szCs w:val="32"/>
          <w:highlight w:val="none"/>
        </w:rPr>
      </w:pPr>
      <w:r>
        <w:rPr>
          <w:rFonts w:hint="eastAsia" w:hAnsi="宋体" w:eastAsia="仿宋_GB2312" w:cs="宋体"/>
          <w:kern w:val="0"/>
          <w:sz w:val="36"/>
          <w:szCs w:val="36"/>
          <w:highlight w:val="none"/>
        </w:rPr>
        <w:t xml:space="preserve"> 实施单位（公章）：</w:t>
      </w:r>
      <w:r>
        <w:rPr>
          <w:rStyle w:val="22"/>
          <w:rFonts w:hint="eastAsia" w:ascii="楷体" w:hAnsi="楷体" w:eastAsia="楷体"/>
          <w:spacing w:val="-4"/>
          <w:sz w:val="28"/>
          <w:szCs w:val="28"/>
          <w:highlight w:val="none"/>
        </w:rPr>
        <w:t>新疆维吾尔自治区安全科学技术研究院</w:t>
      </w:r>
    </w:p>
    <w:p>
      <w:pPr>
        <w:spacing w:line="540" w:lineRule="exact"/>
        <w:ind w:firstLine="567"/>
        <w:rPr>
          <w:rFonts w:ascii="楷体" w:hAnsi="楷体" w:eastAsia="楷体"/>
          <w:b/>
          <w:bCs/>
          <w:spacing w:val="-4"/>
          <w:sz w:val="32"/>
          <w:szCs w:val="32"/>
          <w:highlight w:val="none"/>
        </w:rPr>
      </w:pPr>
      <w:r>
        <w:rPr>
          <w:rFonts w:hint="eastAsia" w:hAnsi="宋体" w:eastAsia="仿宋_GB2312" w:cs="宋体"/>
          <w:kern w:val="0"/>
          <w:sz w:val="36"/>
          <w:szCs w:val="36"/>
          <w:highlight w:val="none"/>
          <w:lang w:val="en-US" w:eastAsia="zh-CN"/>
        </w:rPr>
        <w:t xml:space="preserve"> </w:t>
      </w:r>
      <w:r>
        <w:rPr>
          <w:rFonts w:hint="eastAsia" w:hAnsi="宋体" w:eastAsia="仿宋_GB2312" w:cs="宋体"/>
          <w:kern w:val="0"/>
          <w:sz w:val="36"/>
          <w:szCs w:val="36"/>
          <w:highlight w:val="none"/>
        </w:rPr>
        <w:t>主管部门（公章）：</w:t>
      </w:r>
      <w:r>
        <w:rPr>
          <w:rStyle w:val="22"/>
          <w:rFonts w:hint="eastAsia" w:ascii="楷体" w:hAnsi="楷体" w:eastAsia="楷体"/>
          <w:spacing w:val="-4"/>
          <w:sz w:val="28"/>
          <w:szCs w:val="28"/>
          <w:highlight w:val="none"/>
        </w:rPr>
        <w:t>新疆维吾尔自治区安全科学技术研究院</w:t>
      </w:r>
    </w:p>
    <w:p>
      <w:pPr>
        <w:spacing w:line="540" w:lineRule="exact"/>
        <w:ind w:firstLine="720"/>
        <w:rPr>
          <w:rStyle w:val="22"/>
          <w:rFonts w:hint="default" w:ascii="楷体" w:hAnsi="楷体" w:eastAsia="楷体"/>
          <w:spacing w:val="-4"/>
          <w:sz w:val="28"/>
          <w:szCs w:val="28"/>
          <w:highlight w:val="none"/>
          <w:lang w:val="en-US" w:eastAsia="zh-CN"/>
        </w:rPr>
      </w:pPr>
      <w:r>
        <w:rPr>
          <w:rFonts w:hint="eastAsia" w:hAnsi="宋体" w:eastAsia="仿宋_GB2312" w:cs="宋体"/>
          <w:kern w:val="0"/>
          <w:sz w:val="36"/>
          <w:szCs w:val="36"/>
          <w:highlight w:val="none"/>
        </w:rPr>
        <w:t>项目负责人（签章）：</w:t>
      </w:r>
      <w:r>
        <w:rPr>
          <w:rStyle w:val="22"/>
          <w:rFonts w:hint="eastAsia" w:ascii="楷体" w:hAnsi="楷体" w:eastAsia="楷体"/>
          <w:spacing w:val="-4"/>
          <w:sz w:val="28"/>
          <w:szCs w:val="28"/>
          <w:highlight w:val="none"/>
          <w:lang w:val="en-US" w:eastAsia="zh-CN"/>
        </w:rPr>
        <w:t>赵军</w:t>
      </w:r>
    </w:p>
    <w:p>
      <w:pPr>
        <w:spacing w:line="540" w:lineRule="exact"/>
        <w:ind w:firstLine="720"/>
        <w:rPr>
          <w:rFonts w:hint="eastAsia" w:hAnsi="宋体" w:eastAsia="仿宋_GB2312" w:cs="宋体"/>
          <w:kern w:val="0"/>
          <w:sz w:val="36"/>
          <w:szCs w:val="36"/>
          <w:highlight w:val="none"/>
        </w:rPr>
      </w:pPr>
      <w:bookmarkStart w:id="12" w:name="_GoBack"/>
      <w:bookmarkEnd w:id="12"/>
    </w:p>
    <w:p>
      <w:pPr>
        <w:spacing w:line="540" w:lineRule="exact"/>
        <w:jc w:val="left"/>
        <w:rPr>
          <w:rStyle w:val="22"/>
          <w:rFonts w:ascii="楷体" w:hAnsi="楷体" w:eastAsia="楷体"/>
          <w:spacing w:val="-4"/>
          <w:sz w:val="32"/>
          <w:szCs w:val="32"/>
          <w:highlight w:val="none"/>
        </w:rPr>
      </w:pPr>
      <w:r>
        <w:rPr>
          <w:rFonts w:hint="eastAsia" w:hAnsi="宋体" w:eastAsia="仿宋_GB2312" w:cs="宋体"/>
          <w:kern w:val="0"/>
          <w:sz w:val="36"/>
          <w:szCs w:val="36"/>
          <w:highlight w:val="none"/>
          <w:lang w:val="en-US" w:eastAsia="zh-CN"/>
        </w:rPr>
        <w:t xml:space="preserve">    </w:t>
      </w:r>
      <w:r>
        <w:rPr>
          <w:rFonts w:hint="eastAsia" w:hAnsi="宋体" w:eastAsia="仿宋_GB2312" w:cs="宋体"/>
          <w:kern w:val="0"/>
          <w:sz w:val="36"/>
          <w:szCs w:val="36"/>
          <w:highlight w:val="none"/>
        </w:rPr>
        <w:t>填报时间：</w:t>
      </w:r>
      <w:r>
        <w:rPr>
          <w:rStyle w:val="22"/>
          <w:rFonts w:hint="eastAsia" w:ascii="楷体" w:hAnsi="楷体" w:eastAsia="楷体"/>
          <w:b/>
          <w:bCs/>
          <w:spacing w:val="-4"/>
          <w:sz w:val="28"/>
          <w:szCs w:val="28"/>
          <w:highlight w:val="none"/>
        </w:rPr>
        <w:t>202</w:t>
      </w:r>
      <w:r>
        <w:rPr>
          <w:rStyle w:val="22"/>
          <w:rFonts w:hint="eastAsia" w:ascii="楷体" w:hAnsi="楷体" w:eastAsia="楷体"/>
          <w:b/>
          <w:bCs/>
          <w:spacing w:val="-4"/>
          <w:sz w:val="28"/>
          <w:szCs w:val="28"/>
          <w:highlight w:val="none"/>
          <w:lang w:val="en-US" w:eastAsia="zh-CN"/>
        </w:rPr>
        <w:t>3</w:t>
      </w:r>
      <w:r>
        <w:rPr>
          <w:rStyle w:val="22"/>
          <w:rFonts w:hint="eastAsia" w:ascii="楷体" w:hAnsi="楷体" w:eastAsia="楷体"/>
          <w:b/>
          <w:bCs/>
          <w:spacing w:val="-4"/>
          <w:sz w:val="28"/>
          <w:szCs w:val="28"/>
          <w:highlight w:val="none"/>
        </w:rPr>
        <w:t>年0</w:t>
      </w:r>
      <w:r>
        <w:rPr>
          <w:rStyle w:val="22"/>
          <w:rFonts w:hint="eastAsia" w:ascii="楷体" w:hAnsi="楷体" w:eastAsia="楷体"/>
          <w:b/>
          <w:bCs/>
          <w:spacing w:val="-4"/>
          <w:sz w:val="28"/>
          <w:szCs w:val="28"/>
          <w:highlight w:val="none"/>
          <w:lang w:val="en-US" w:eastAsia="zh-CN"/>
        </w:rPr>
        <w:t>2</w:t>
      </w:r>
      <w:r>
        <w:rPr>
          <w:rStyle w:val="22"/>
          <w:rFonts w:hint="eastAsia" w:ascii="楷体" w:hAnsi="楷体" w:eastAsia="楷体"/>
          <w:b/>
          <w:bCs/>
          <w:spacing w:val="-4"/>
          <w:sz w:val="28"/>
          <w:szCs w:val="28"/>
          <w:highlight w:val="none"/>
        </w:rPr>
        <w:t>月</w:t>
      </w:r>
      <w:r>
        <w:rPr>
          <w:rStyle w:val="22"/>
          <w:rFonts w:hint="eastAsia" w:ascii="楷体" w:hAnsi="楷体" w:eastAsia="楷体"/>
          <w:b/>
          <w:bCs/>
          <w:spacing w:val="-4"/>
          <w:sz w:val="28"/>
          <w:szCs w:val="28"/>
          <w:highlight w:val="none"/>
          <w:lang w:val="en-US" w:eastAsia="zh-CN"/>
        </w:rPr>
        <w:t>27</w:t>
      </w:r>
      <w:r>
        <w:rPr>
          <w:rStyle w:val="22"/>
          <w:rFonts w:hint="eastAsia" w:ascii="楷体" w:hAnsi="楷体" w:eastAsia="楷体"/>
          <w:b/>
          <w:bCs/>
          <w:spacing w:val="-4"/>
          <w:sz w:val="28"/>
          <w:szCs w:val="28"/>
          <w:highlight w:val="none"/>
        </w:rPr>
        <w:t>日</w:t>
      </w:r>
    </w:p>
    <w:p>
      <w:pPr>
        <w:spacing w:line="540" w:lineRule="exact"/>
        <w:rPr>
          <w:rStyle w:val="22"/>
          <w:rFonts w:ascii="楷体" w:hAnsi="楷体" w:eastAsia="楷体"/>
          <w:spacing w:val="-4"/>
          <w:sz w:val="32"/>
          <w:szCs w:val="32"/>
          <w:highlight w:val="none"/>
        </w:rPr>
      </w:pPr>
    </w:p>
    <w:p>
      <w:pPr>
        <w:spacing w:line="540" w:lineRule="exact"/>
        <w:ind w:firstLine="640"/>
        <w:rPr>
          <w:rStyle w:val="22"/>
          <w:rFonts w:hint="eastAsia" w:ascii="黑体" w:hAnsi="黑体" w:eastAsia="黑体" w:cs="黑体"/>
          <w:b w:val="0"/>
          <w:spacing w:val="-4"/>
          <w:sz w:val="32"/>
          <w:szCs w:val="32"/>
          <w:highlight w:val="none"/>
        </w:rPr>
      </w:pPr>
      <w:r>
        <w:rPr>
          <w:rStyle w:val="22"/>
          <w:rFonts w:hint="eastAsia" w:ascii="黑体" w:hAnsi="黑体" w:eastAsia="黑体" w:cs="黑体"/>
          <w:b w:val="0"/>
          <w:spacing w:val="-4"/>
          <w:sz w:val="32"/>
          <w:szCs w:val="32"/>
          <w:highlight w:val="none"/>
        </w:rPr>
        <w:t>一、基本情况</w:t>
      </w:r>
    </w:p>
    <w:p>
      <w:pPr>
        <w:spacing w:line="540" w:lineRule="exact"/>
        <w:ind w:firstLine="567"/>
        <w:rPr>
          <w:rStyle w:val="22"/>
          <w:rFonts w:hint="eastAsia" w:ascii="楷体" w:hAnsi="楷体" w:eastAsia="楷体"/>
          <w:b/>
          <w:bCs/>
          <w:spacing w:val="-4"/>
          <w:sz w:val="32"/>
          <w:szCs w:val="32"/>
          <w:highlight w:val="none"/>
        </w:rPr>
      </w:pPr>
      <w:r>
        <w:rPr>
          <w:rStyle w:val="22"/>
          <w:rFonts w:hint="eastAsia" w:ascii="楷体" w:hAnsi="楷体" w:eastAsia="楷体"/>
          <w:b/>
          <w:bCs/>
          <w:spacing w:val="-4"/>
          <w:sz w:val="32"/>
          <w:szCs w:val="32"/>
          <w:highlight w:val="none"/>
        </w:rPr>
        <w:t>（一）项目概况。包括项目背景、主要内容及实施情况、资金投入和使用情况等。</w:t>
      </w:r>
    </w:p>
    <w:p>
      <w:pPr>
        <w:pStyle w:val="2"/>
        <w:ind w:firstLine="627" w:firstLineChars="200"/>
        <w:jc w:val="both"/>
        <w:rPr>
          <w:rStyle w:val="22"/>
          <w:rFonts w:hint="eastAsia" w:ascii="仿宋" w:hAnsi="仿宋" w:eastAsia="仿宋" w:cs="仿宋"/>
          <w:b/>
          <w:bCs/>
          <w:spacing w:val="-4"/>
          <w:sz w:val="32"/>
          <w:szCs w:val="32"/>
          <w:highlight w:val="none"/>
          <w:lang w:val="en-US" w:eastAsia="zh-CN"/>
        </w:rPr>
      </w:pPr>
      <w:r>
        <w:rPr>
          <w:rStyle w:val="22"/>
          <w:rFonts w:hint="eastAsia" w:ascii="仿宋" w:hAnsi="仿宋" w:eastAsia="仿宋" w:cs="仿宋"/>
          <w:b/>
          <w:bCs/>
          <w:spacing w:val="-4"/>
          <w:sz w:val="32"/>
          <w:szCs w:val="32"/>
          <w:highlight w:val="none"/>
          <w:lang w:val="en-US" w:eastAsia="zh-CN"/>
        </w:rPr>
        <w:t>1.项目背景</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eastAsia="zh-CN"/>
        </w:rPr>
        <w:t>新疆维吾尔自治区安全科学技术研究院（以下简称“安科院）是经国家事业单位登记管理局批准登记的</w:t>
      </w:r>
      <w:r>
        <w:rPr>
          <w:rFonts w:hint="eastAsia" w:ascii="仿宋" w:hAnsi="仿宋" w:eastAsia="仿宋" w:cs="仿宋"/>
          <w:bCs/>
          <w:color w:val="000000"/>
          <w:sz w:val="32"/>
          <w:szCs w:val="32"/>
          <w:highlight w:val="none"/>
          <w:lang w:val="en-US" w:eastAsia="zh-CN"/>
        </w:rPr>
        <w:t>公益二类</w:t>
      </w:r>
      <w:r>
        <w:rPr>
          <w:rFonts w:hint="eastAsia" w:ascii="仿宋" w:hAnsi="仿宋" w:eastAsia="仿宋" w:cs="仿宋"/>
          <w:bCs/>
          <w:color w:val="000000"/>
          <w:sz w:val="32"/>
          <w:szCs w:val="32"/>
          <w:highlight w:val="none"/>
          <w:lang w:eastAsia="zh-CN"/>
        </w:rPr>
        <w:t>事业单位</w:t>
      </w:r>
      <w:r>
        <w:rPr>
          <w:rFonts w:hint="eastAsia" w:ascii="仿宋" w:hAnsi="仿宋" w:eastAsia="仿宋" w:cs="仿宋"/>
          <w:bCs/>
          <w:color w:val="000000"/>
          <w:sz w:val="32"/>
          <w:szCs w:val="32"/>
          <w:highlight w:val="none"/>
          <w:lang w:val="en-US" w:eastAsia="zh-CN"/>
        </w:rPr>
        <w:t>，开办资金2789.5万元。</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安科院日常运营资金来源为一般公共预算安排和经营收入，经营收入产生的主要经营范围：为职业安全和危险化学品登记注册及劳动防护用品监督检查提供服务、安全生产技术研究、危险化学品登记注册管理、相关企业安全生产条件和有关设备及劳动防护用品检验及相关培训工作。</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bCs/>
          <w:kern w:val="0"/>
          <w:sz w:val="32"/>
          <w:szCs w:val="32"/>
          <w:highlight w:val="none"/>
          <w:lang w:val="en-US" w:eastAsia="zh-CN"/>
        </w:rPr>
      </w:pPr>
      <w:r>
        <w:rPr>
          <w:rFonts w:hint="eastAsia" w:ascii="仿宋" w:hAnsi="仿宋" w:eastAsia="仿宋" w:cs="仿宋"/>
          <w:bCs/>
          <w:color w:val="000000"/>
          <w:sz w:val="32"/>
          <w:szCs w:val="32"/>
          <w:highlight w:val="none"/>
          <w:lang w:eastAsia="zh-CN"/>
        </w:rPr>
        <w:t>遵循自治区本级部门预算编制工作的通知，全口径预算管理，单位应将所有收入和支出全部纳入预算，量入为出，收支平衡的原则，</w:t>
      </w:r>
      <w:r>
        <w:rPr>
          <w:rFonts w:hint="eastAsia" w:ascii="仿宋" w:hAnsi="仿宋" w:eastAsia="仿宋" w:cs="仿宋"/>
          <w:bCs/>
          <w:color w:val="000000"/>
          <w:sz w:val="32"/>
          <w:szCs w:val="32"/>
          <w:highlight w:val="none"/>
          <w:lang w:val="en-US" w:eastAsia="zh-CN"/>
        </w:rPr>
        <w:t>该项目为</w:t>
      </w:r>
      <w:r>
        <w:rPr>
          <w:rFonts w:hint="eastAsia" w:ascii="仿宋" w:hAnsi="仿宋" w:eastAsia="仿宋" w:cs="仿宋"/>
          <w:bCs/>
          <w:color w:val="000000"/>
          <w:sz w:val="32"/>
          <w:szCs w:val="32"/>
          <w:highlight w:val="none"/>
          <w:lang w:eastAsia="zh-CN"/>
        </w:rPr>
        <w:t>经常</w:t>
      </w:r>
      <w:r>
        <w:rPr>
          <w:rFonts w:hint="eastAsia" w:ascii="仿宋" w:hAnsi="仿宋" w:eastAsia="仿宋" w:cs="仿宋"/>
          <w:bCs/>
          <w:color w:val="000000"/>
          <w:sz w:val="32"/>
          <w:szCs w:val="32"/>
          <w:highlight w:val="none"/>
          <w:lang w:val="en-US" w:eastAsia="zh-CN"/>
        </w:rPr>
        <w:t>性</w:t>
      </w:r>
      <w:r>
        <w:rPr>
          <w:rFonts w:hint="eastAsia" w:ascii="仿宋" w:hAnsi="仿宋" w:eastAsia="仿宋" w:cs="仿宋"/>
          <w:bCs/>
          <w:color w:val="000000"/>
          <w:sz w:val="32"/>
          <w:szCs w:val="32"/>
          <w:highlight w:val="none"/>
          <w:lang w:eastAsia="zh-CN"/>
        </w:rPr>
        <w:t>项目，经营税收入成本性支出(安科院)项目的立项，主要支出范围为临聘人员工资薪金，完成经营收入合同相关业务成本支出，经营设备采购、维护，办公场所的运营成本，差额拨款由经营收入承担的</w:t>
      </w:r>
      <w:r>
        <w:rPr>
          <w:rFonts w:hint="eastAsia" w:ascii="仿宋" w:hAnsi="仿宋" w:eastAsia="仿宋" w:cs="仿宋"/>
          <w:bCs/>
          <w:color w:val="000000"/>
          <w:sz w:val="32"/>
          <w:szCs w:val="32"/>
          <w:highlight w:val="none"/>
          <w:lang w:val="en-US" w:eastAsia="zh-CN"/>
        </w:rPr>
        <w:t>30%基本支出。</w:t>
      </w:r>
    </w:p>
    <w:p>
      <w:pPr>
        <w:pStyle w:val="5"/>
        <w:keepLines w:val="0"/>
        <w:pageBreakBefore w:val="0"/>
        <w:kinsoku/>
        <w:wordWrap/>
        <w:overflowPunct/>
        <w:topLinePunct w:val="0"/>
        <w:autoSpaceDE/>
        <w:autoSpaceDN/>
        <w:bidi w:val="0"/>
        <w:adjustRightInd/>
        <w:snapToGrid/>
        <w:spacing w:before="0" w:after="0" w:line="360" w:lineRule="auto"/>
        <w:ind w:left="0" w:leftChars="0" w:right="0" w:rightChars="0" w:firstLine="643"/>
        <w:textAlignment w:val="auto"/>
        <w:rPr>
          <w:rFonts w:hint="eastAsia" w:ascii="仿宋" w:hAnsi="仿宋" w:eastAsia="仿宋" w:cs="仿宋"/>
          <w:sz w:val="32"/>
          <w:highlight w:val="none"/>
        </w:rPr>
      </w:pPr>
      <w:r>
        <w:rPr>
          <w:rStyle w:val="22"/>
          <w:rFonts w:hint="eastAsia" w:ascii="仿宋" w:hAnsi="仿宋" w:eastAsia="仿宋" w:cs="仿宋"/>
          <w:b/>
          <w:bCs/>
          <w:spacing w:val="-4"/>
          <w:sz w:val="32"/>
          <w:szCs w:val="32"/>
          <w:highlight w:val="none"/>
          <w:lang w:val="en-US" w:eastAsia="zh-CN"/>
        </w:rPr>
        <w:t>2.</w:t>
      </w:r>
      <w:r>
        <w:rPr>
          <w:rFonts w:hint="eastAsia" w:ascii="仿宋" w:hAnsi="仿宋" w:eastAsia="仿宋" w:cs="仿宋"/>
          <w:sz w:val="32"/>
          <w:highlight w:val="none"/>
        </w:rPr>
        <w:t>项目实施主体</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bCs/>
          <w:color w:val="000000"/>
          <w:sz w:val="32"/>
          <w:szCs w:val="32"/>
          <w:highlight w:val="none"/>
          <w:lang w:eastAsia="zh-CN"/>
        </w:rPr>
      </w:pPr>
      <w:r>
        <w:rPr>
          <w:rFonts w:hint="eastAsia" w:ascii="仿宋" w:hAnsi="仿宋" w:eastAsia="仿宋" w:cs="仿宋"/>
          <w:bCs/>
          <w:color w:val="000000"/>
          <w:sz w:val="32"/>
          <w:szCs w:val="32"/>
          <w:highlight w:val="none"/>
          <w:lang w:eastAsia="zh-CN"/>
        </w:rPr>
        <w:t>项目实施主体为安科院，实施人员为全院职工，包括在编人员及临聘人员。依托安科院组织架构，组织进行项目的履行完成工作。</w:t>
      </w:r>
    </w:p>
    <w:p>
      <w:pPr>
        <w:numPr>
          <w:ilvl w:val="0"/>
          <w:numId w:val="0"/>
        </w:numPr>
        <w:spacing w:line="540" w:lineRule="exact"/>
        <w:ind w:firstLine="627" w:firstLineChars="200"/>
        <w:rPr>
          <w:rStyle w:val="22"/>
          <w:rFonts w:hint="eastAsia" w:ascii="仿宋" w:hAnsi="仿宋" w:eastAsia="仿宋" w:cs="仿宋"/>
          <w:spacing w:val="-4"/>
          <w:sz w:val="32"/>
          <w:szCs w:val="32"/>
          <w:highlight w:val="none"/>
        </w:rPr>
      </w:pPr>
      <w:r>
        <w:rPr>
          <w:rStyle w:val="22"/>
          <w:rFonts w:hint="eastAsia" w:ascii="仿宋" w:hAnsi="仿宋" w:eastAsia="仿宋" w:cs="仿宋"/>
          <w:spacing w:val="-4"/>
          <w:sz w:val="32"/>
          <w:szCs w:val="32"/>
          <w:highlight w:val="none"/>
          <w:lang w:val="en-US" w:eastAsia="zh-CN"/>
        </w:rPr>
        <w:t>3.项目</w:t>
      </w:r>
      <w:r>
        <w:rPr>
          <w:rStyle w:val="22"/>
          <w:rFonts w:hint="eastAsia" w:ascii="仿宋" w:hAnsi="仿宋" w:eastAsia="仿宋" w:cs="仿宋"/>
          <w:spacing w:val="-4"/>
          <w:sz w:val="32"/>
          <w:szCs w:val="32"/>
          <w:highlight w:val="none"/>
        </w:rPr>
        <w:t>主要内容及实施情况</w:t>
      </w:r>
    </w:p>
    <w:p>
      <w:pPr>
        <w:ind w:firstLine="640"/>
        <w:rPr>
          <w:rFonts w:hint="eastAsia" w:ascii="仿宋" w:hAnsi="仿宋" w:eastAsia="仿宋" w:cs="仿宋"/>
          <w:bCs/>
          <w:color w:val="000000"/>
          <w:sz w:val="32"/>
          <w:szCs w:val="32"/>
          <w:highlight w:val="none"/>
          <w:lang w:val="en-US" w:eastAsia="zh-CN"/>
        </w:rPr>
      </w:pPr>
      <w:r>
        <w:rPr>
          <w:rFonts w:ascii="仿宋" w:hAnsi="仿宋" w:eastAsia="仿宋"/>
          <w:sz w:val="32"/>
          <w:szCs w:val="32"/>
          <w:highlight w:val="none"/>
        </w:rPr>
        <w:t>项目</w:t>
      </w:r>
      <w:r>
        <w:rPr>
          <w:rFonts w:hint="eastAsia" w:ascii="仿宋" w:hAnsi="仿宋" w:eastAsia="仿宋"/>
          <w:sz w:val="32"/>
          <w:szCs w:val="32"/>
          <w:highlight w:val="none"/>
        </w:rPr>
        <w:t>主要内容</w:t>
      </w:r>
      <w:r>
        <w:rPr>
          <w:rFonts w:ascii="仿宋" w:hAnsi="仿宋" w:eastAsia="仿宋"/>
          <w:sz w:val="32"/>
          <w:szCs w:val="32"/>
          <w:highlight w:val="none"/>
        </w:rPr>
        <w:t>：</w:t>
      </w:r>
      <w:r>
        <w:rPr>
          <w:rFonts w:hint="eastAsia" w:ascii="仿宋" w:hAnsi="仿宋" w:eastAsia="仿宋"/>
          <w:sz w:val="32"/>
          <w:szCs w:val="32"/>
          <w:highlight w:val="none"/>
          <w:lang w:val="en-US" w:eastAsia="zh-CN"/>
        </w:rPr>
        <w:t>开展全区</w:t>
      </w:r>
      <w:r>
        <w:rPr>
          <w:rFonts w:hint="eastAsia" w:ascii="仿宋" w:hAnsi="仿宋" w:eastAsia="仿宋" w:cs="仿宋"/>
          <w:bCs/>
          <w:color w:val="000000"/>
          <w:sz w:val="32"/>
          <w:szCs w:val="32"/>
          <w:highlight w:val="none"/>
          <w:lang w:val="en-US" w:eastAsia="zh-CN"/>
        </w:rPr>
        <w:t>化工园区认定咨询的各项工作，持续开展各地隐患排查工作，安全风险评估及规划编制，开展大中型化工企业安全生产诊断、安全生产管理能力提升、双重预防机制建设等咨询，</w:t>
      </w:r>
      <w:r>
        <w:rPr>
          <w:rFonts w:hint="eastAsia" w:ascii="仿宋" w:hAnsi="仿宋" w:eastAsia="仿宋" w:cs="仿宋"/>
          <w:bCs/>
          <w:color w:val="000000"/>
          <w:sz w:val="32"/>
          <w:szCs w:val="32"/>
          <w:highlight w:val="none"/>
          <w:lang w:eastAsia="zh-CN"/>
        </w:rPr>
        <w:t>自治区安全生产标准化二级评审工作。</w:t>
      </w:r>
      <w:r>
        <w:rPr>
          <w:rFonts w:hint="eastAsia" w:ascii="仿宋" w:hAnsi="仿宋" w:eastAsia="仿宋" w:cs="仿宋"/>
          <w:bCs/>
          <w:color w:val="000000"/>
          <w:sz w:val="32"/>
          <w:szCs w:val="32"/>
          <w:highlight w:val="none"/>
          <w:lang w:val="en-US" w:eastAsia="zh-CN"/>
        </w:rPr>
        <w:t>开展高危行业、非高危行业、煤炭行业主要负责人和安全管理人员培训班；开展2022年中级注册安全工程师继续教育培训班；开展煤矿特种作业实操考评员培训班；</w:t>
      </w:r>
      <w:r>
        <w:rPr>
          <w:rFonts w:hint="eastAsia" w:ascii="仿宋" w:hAnsi="仿宋" w:eastAsia="仿宋" w:cs="仿宋"/>
          <w:bCs/>
          <w:color w:val="000000"/>
          <w:sz w:val="32"/>
          <w:szCs w:val="32"/>
          <w:highlight w:val="none"/>
          <w:lang w:eastAsia="zh-CN"/>
        </w:rPr>
        <w:t>开展</w:t>
      </w:r>
      <w:r>
        <w:rPr>
          <w:rFonts w:hint="eastAsia" w:ascii="仿宋" w:hAnsi="仿宋" w:eastAsia="仿宋" w:cs="仿宋"/>
          <w:bCs/>
          <w:color w:val="000000"/>
          <w:sz w:val="32"/>
          <w:szCs w:val="32"/>
          <w:highlight w:val="none"/>
          <w:lang w:val="en-US" w:eastAsia="zh-CN"/>
        </w:rPr>
        <w:t>各类特种作业人员培训班；开展生产经营单位其他各类人员的安全生产培训工作</w:t>
      </w:r>
      <w:r>
        <w:rPr>
          <w:rFonts w:hint="eastAsia" w:ascii="仿宋" w:hAnsi="仿宋" w:eastAsia="仿宋" w:cs="仿宋"/>
          <w:bCs/>
          <w:color w:val="000000"/>
          <w:sz w:val="32"/>
          <w:szCs w:val="32"/>
          <w:highlight w:val="none"/>
          <w:lang w:eastAsia="zh-CN"/>
        </w:rPr>
        <w:t>。</w:t>
      </w:r>
    </w:p>
    <w:p>
      <w:pPr>
        <w:ind w:firstLine="640"/>
        <w:rPr>
          <w:rFonts w:hint="eastAsia" w:ascii="仿宋" w:hAnsi="仿宋" w:eastAsia="仿宋" w:cs="仿宋"/>
          <w:bCs/>
          <w:color w:val="000000"/>
          <w:sz w:val="32"/>
          <w:szCs w:val="32"/>
          <w:highlight w:val="none"/>
          <w:lang w:eastAsia="zh-CN"/>
        </w:rPr>
      </w:pPr>
      <w:r>
        <w:rPr>
          <w:rFonts w:ascii="仿宋" w:hAnsi="仿宋" w:eastAsia="仿宋"/>
          <w:sz w:val="32"/>
          <w:szCs w:val="32"/>
          <w:highlight w:val="none"/>
        </w:rPr>
        <w:t>项目实施情况：</w:t>
      </w:r>
      <w:r>
        <w:rPr>
          <w:rFonts w:hint="eastAsia" w:ascii="仿宋" w:hAnsi="仿宋" w:eastAsia="仿宋" w:cs="仿宋"/>
          <w:bCs/>
          <w:color w:val="000000"/>
          <w:sz w:val="32"/>
          <w:szCs w:val="32"/>
          <w:highlight w:val="none"/>
          <w:lang w:eastAsia="zh-CN"/>
        </w:rPr>
        <w:t>完成各类检测检验、职业卫生评价报告150余份；为霍尔果斯市应急管理局、米东区公安分局、乌鲁木齐市海关技术中心提供危化品鉴定方面技术支撑服务；举办2022年第一期安全生产标准化评审人员培训班，完成150人次培训，并完成全生产标准化评审人员公告工作。实验室仪器设备的计量检定、自校、期间核查、维护保养等各项相关工作。</w:t>
      </w:r>
    </w:p>
    <w:p>
      <w:pPr>
        <w:rPr>
          <w:rFonts w:hint="eastAsia" w:ascii="仿宋" w:hAnsi="仿宋" w:eastAsia="仿宋" w:cs="仿宋"/>
          <w:bCs/>
          <w:color w:val="000000"/>
          <w:sz w:val="32"/>
          <w:szCs w:val="32"/>
          <w:highlight w:val="none"/>
          <w:lang w:eastAsia="zh-CN"/>
        </w:rPr>
      </w:pPr>
      <w:r>
        <w:rPr>
          <w:rFonts w:hint="eastAsia" w:ascii="仿宋" w:hAnsi="仿宋" w:eastAsia="仿宋" w:cs="仿宋"/>
          <w:bCs/>
          <w:color w:val="000000"/>
          <w:sz w:val="32"/>
          <w:szCs w:val="32"/>
          <w:highlight w:val="none"/>
          <w:lang w:val="en-US" w:eastAsia="zh-CN"/>
        </w:rPr>
        <w:t>该</w:t>
      </w:r>
      <w:r>
        <w:rPr>
          <w:rFonts w:hint="eastAsia" w:ascii="仿宋" w:hAnsi="仿宋" w:eastAsia="仿宋" w:cs="仿宋"/>
          <w:bCs/>
          <w:color w:val="000000"/>
          <w:sz w:val="32"/>
          <w:szCs w:val="32"/>
          <w:highlight w:val="none"/>
          <w:lang w:eastAsia="zh-CN"/>
        </w:rPr>
        <w:t>项目目前已经完成实际设立的目标，项目在实施过程中严格按照目标设立的任务进行开展工作，在前期立项过程中严格把质量关，建立安全防护机制，保证项目实施各阶段安全顺利进行。</w:t>
      </w:r>
    </w:p>
    <w:p>
      <w:pPr>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4.</w:t>
      </w:r>
      <w:r>
        <w:rPr>
          <w:rFonts w:hint="eastAsia" w:ascii="仿宋" w:hAnsi="仿宋" w:eastAsia="仿宋" w:cs="仿宋"/>
          <w:b/>
          <w:bCs/>
          <w:sz w:val="32"/>
          <w:szCs w:val="32"/>
          <w:highlight w:val="none"/>
        </w:rPr>
        <w:t>资金投入和使用情况</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（1）资金投入情况</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该项目年初预算数1875.72万元，全年预算数2263.95万元，实际总投入2263.95万元，该项目资金已全部落实到位，资金来源均为经营收入。</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（2）资金使用情况</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该项目年初预算数1875.72万元，全年预算数2263.95万元,全年执行数2263.95万元，预算执行率为100%，主要用于：临聘人员工资薪金，完成经营收入合同相关业务成本支出，经营设备采购、维护，办公场所的运营成本，差额拨款由经营收入承担的30%基本支出。</w:t>
      </w:r>
    </w:p>
    <w:p>
      <w:pPr>
        <w:ind w:firstLine="640"/>
        <w:rPr>
          <w:rStyle w:val="22"/>
          <w:rFonts w:hint="eastAsia" w:ascii="楷体" w:hAnsi="楷体" w:eastAsia="楷体" w:cs="楷体"/>
          <w:spacing w:val="-4"/>
          <w:sz w:val="32"/>
          <w:szCs w:val="32"/>
          <w:highlight w:val="none"/>
        </w:rPr>
      </w:pPr>
      <w:r>
        <w:rPr>
          <w:rStyle w:val="22"/>
          <w:rFonts w:hint="eastAsia" w:ascii="楷体" w:hAnsi="楷体" w:eastAsia="楷体" w:cs="楷体"/>
          <w:spacing w:val="-4"/>
          <w:sz w:val="32"/>
          <w:szCs w:val="32"/>
          <w:highlight w:val="none"/>
          <w:lang w:eastAsia="zh-CN"/>
        </w:rPr>
        <w:t>（</w:t>
      </w:r>
      <w:r>
        <w:rPr>
          <w:rStyle w:val="22"/>
          <w:rFonts w:hint="eastAsia" w:ascii="楷体" w:hAnsi="楷体" w:eastAsia="楷体" w:cs="楷体"/>
          <w:spacing w:val="-4"/>
          <w:sz w:val="32"/>
          <w:szCs w:val="32"/>
          <w:highlight w:val="none"/>
          <w:lang w:val="en-US" w:eastAsia="zh-CN"/>
        </w:rPr>
        <w:t>二</w:t>
      </w:r>
      <w:r>
        <w:rPr>
          <w:rStyle w:val="22"/>
          <w:rFonts w:hint="eastAsia" w:ascii="楷体" w:hAnsi="楷体" w:eastAsia="楷体" w:cs="楷体"/>
          <w:spacing w:val="-4"/>
          <w:sz w:val="32"/>
          <w:szCs w:val="32"/>
          <w:highlight w:val="none"/>
          <w:lang w:eastAsia="zh-CN"/>
        </w:rPr>
        <w:t>）</w:t>
      </w:r>
      <w:r>
        <w:rPr>
          <w:rStyle w:val="22"/>
          <w:rFonts w:hint="eastAsia" w:ascii="楷体" w:hAnsi="楷体" w:eastAsia="楷体" w:cs="楷体"/>
          <w:spacing w:val="-4"/>
          <w:sz w:val="32"/>
          <w:szCs w:val="32"/>
          <w:highlight w:val="none"/>
        </w:rPr>
        <w:t>项目绩效目标。包括总体目标和阶段性目标。</w:t>
      </w:r>
    </w:p>
    <w:p>
      <w:pPr>
        <w:pStyle w:val="5"/>
        <w:ind w:firstLine="643"/>
        <w:rPr>
          <w:rFonts w:hint="eastAsia" w:ascii="仿宋" w:hAnsi="仿宋" w:eastAsia="仿宋" w:cs="仿宋"/>
          <w:sz w:val="32"/>
          <w:highlight w:val="none"/>
        </w:rPr>
      </w:pPr>
      <w:r>
        <w:rPr>
          <w:rFonts w:hint="eastAsia" w:ascii="仿宋" w:hAnsi="仿宋" w:eastAsia="仿宋" w:cs="仿宋"/>
          <w:sz w:val="32"/>
          <w:highlight w:val="none"/>
        </w:rPr>
        <w:t>1.总体目标</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项目年度总体目标：自治区安全科学技术研究院面向全区安全生产领域，牢固树立为政府服务、为自治区安全生产工作服务、为企业安全生产工作服务的发展理念，不断加强全区安全生产理论政策和技术基础研究、安全生产先进实用技术成果推广、全区危险化学品登记注册和技术管理、工矿商贸企业安全生产条件、有关设备（锅炉、压力容器、电梯、防爆电器等特种设备除外）和劳动防护用品的检测检验、作业环境安全卫生监测与评价技术研究、危险源辨识与评价、安全生产事故分析和技术鉴定、相关企业安全生产条件和有关设备及劳动防护用品检验及相关培训工作，为自治区的经济建设和社会稳定发展打下坚实基础。</w:t>
      </w:r>
    </w:p>
    <w:p>
      <w:pPr>
        <w:pStyle w:val="5"/>
        <w:ind w:firstLine="643"/>
        <w:rPr>
          <w:rFonts w:hint="eastAsia" w:ascii="仿宋" w:hAnsi="仿宋" w:eastAsia="仿宋" w:cs="仿宋"/>
          <w:sz w:val="32"/>
          <w:highlight w:val="none"/>
        </w:rPr>
      </w:pPr>
      <w:r>
        <w:rPr>
          <w:rFonts w:hint="eastAsia" w:ascii="仿宋" w:hAnsi="仿宋" w:eastAsia="仿宋" w:cs="仿宋"/>
          <w:sz w:val="32"/>
          <w:highlight w:val="none"/>
        </w:rPr>
        <w:t>2.阶段性目标</w:t>
      </w:r>
    </w:p>
    <w:p>
      <w:pPr>
        <w:spacing w:line="560" w:lineRule="exact"/>
        <w:ind w:firstLine="640" w:firstLineChars="200"/>
        <w:rPr>
          <w:rFonts w:ascii="仿宋" w:hAnsi="仿宋" w:eastAsia="仿宋"/>
          <w:sz w:val="32"/>
          <w:szCs w:val="32"/>
          <w:highlight w:val="none"/>
        </w:rPr>
      </w:pPr>
      <w:r>
        <w:rPr>
          <w:rFonts w:ascii="仿宋" w:hAnsi="仿宋" w:eastAsia="仿宋"/>
          <w:sz w:val="32"/>
          <w:szCs w:val="32"/>
          <w:highlight w:val="none"/>
        </w:rPr>
        <w:t>（1）前期准备：通过制定项目实施方案，经项目负责人审核通过后，有序开展后续工作。</w:t>
      </w:r>
    </w:p>
    <w:p>
      <w:pPr>
        <w:spacing w:line="560" w:lineRule="exact"/>
        <w:ind w:firstLine="640" w:firstLineChars="200"/>
        <w:rPr>
          <w:rFonts w:ascii="仿宋" w:hAnsi="仿宋" w:eastAsia="仿宋"/>
          <w:sz w:val="32"/>
          <w:szCs w:val="32"/>
          <w:highlight w:val="none"/>
        </w:rPr>
      </w:pPr>
      <w:r>
        <w:rPr>
          <w:rFonts w:ascii="仿宋" w:hAnsi="仿宋" w:eastAsia="仿宋"/>
          <w:sz w:val="32"/>
          <w:szCs w:val="32"/>
          <w:highlight w:val="none"/>
        </w:rPr>
        <w:t>（2）组织实施：资金一到位，立即根据项目要求实施项目。项目责任人按照项目实施方案要求逐一进行项目部署安排，提高项目质量及效率性。</w:t>
      </w:r>
    </w:p>
    <w:p>
      <w:pPr>
        <w:pStyle w:val="3"/>
        <w:keepLines/>
        <w:widowControl w:val="0"/>
        <w:spacing w:before="0" w:after="0" w:line="560" w:lineRule="exact"/>
        <w:ind w:firstLine="640" w:firstLineChars="200"/>
        <w:jc w:val="both"/>
        <w:rPr>
          <w:rFonts w:hint="eastAsia" w:ascii="Times New Roman" w:hAnsi="Times New Roman" w:eastAsia="黑体" w:cs="Times New Roman"/>
          <w:b w:val="0"/>
          <w:bCs w:val="0"/>
          <w:kern w:val="44"/>
          <w:szCs w:val="32"/>
          <w:highlight w:val="none"/>
        </w:rPr>
      </w:pPr>
      <w:r>
        <w:rPr>
          <w:rFonts w:hint="eastAsia" w:ascii="Times New Roman" w:hAnsi="Times New Roman" w:eastAsia="黑体" w:cs="Times New Roman"/>
          <w:b w:val="0"/>
          <w:bCs w:val="0"/>
          <w:kern w:val="44"/>
          <w:szCs w:val="32"/>
          <w:highlight w:val="none"/>
          <w:lang w:eastAsia="zh-CN"/>
        </w:rPr>
        <w:t>二、</w:t>
      </w:r>
      <w:r>
        <w:rPr>
          <w:rFonts w:hint="eastAsia" w:ascii="Times New Roman" w:hAnsi="Times New Roman" w:eastAsia="黑体" w:cs="Times New Roman"/>
          <w:b w:val="0"/>
          <w:bCs w:val="0"/>
          <w:kern w:val="44"/>
          <w:szCs w:val="32"/>
          <w:highlight w:val="none"/>
        </w:rPr>
        <w:t>绩效评价工作开展情况</w:t>
      </w:r>
    </w:p>
    <w:p>
      <w:pPr>
        <w:pStyle w:val="3"/>
        <w:keepLines/>
        <w:widowControl w:val="0"/>
        <w:spacing w:before="0" w:after="0" w:line="560" w:lineRule="exact"/>
        <w:ind w:firstLine="643" w:firstLineChars="200"/>
        <w:jc w:val="both"/>
        <w:rPr>
          <w:rFonts w:hint="eastAsia" w:ascii="楷体" w:hAnsi="楷体" w:eastAsia="楷体" w:cs="楷体"/>
          <w:b/>
          <w:bCs/>
          <w:kern w:val="44"/>
          <w:szCs w:val="32"/>
          <w:highlight w:val="none"/>
        </w:rPr>
      </w:pPr>
      <w:bookmarkStart w:id="0" w:name="_Toc22169_WPSOffice_Level2"/>
      <w:bookmarkStart w:id="1" w:name="_Toc21664"/>
      <w:bookmarkStart w:id="2" w:name="_Toc480473081"/>
      <w:bookmarkStart w:id="3" w:name="_Toc5462343"/>
      <w:bookmarkStart w:id="4" w:name="_Toc22922"/>
      <w:bookmarkStart w:id="5" w:name="_Toc12868"/>
      <w:bookmarkStart w:id="6" w:name="_Toc26632"/>
      <w:bookmarkStart w:id="7" w:name="_Toc5258"/>
      <w:r>
        <w:rPr>
          <w:rFonts w:hint="eastAsia" w:ascii="楷体" w:hAnsi="楷体" w:eastAsia="楷体" w:cs="楷体"/>
          <w:b/>
          <w:bCs/>
          <w:kern w:val="44"/>
          <w:szCs w:val="32"/>
          <w:highlight w:val="none"/>
          <w:lang w:eastAsia="zh-CN"/>
        </w:rPr>
        <w:t>（一）</w:t>
      </w:r>
      <w:r>
        <w:rPr>
          <w:rFonts w:hint="eastAsia" w:ascii="楷体" w:hAnsi="楷体" w:eastAsia="楷体" w:cs="楷体"/>
          <w:b/>
          <w:bCs/>
          <w:kern w:val="44"/>
          <w:szCs w:val="32"/>
          <w:highlight w:val="none"/>
        </w:rPr>
        <w:t>绩效评价的目的</w:t>
      </w:r>
      <w:bookmarkEnd w:id="0"/>
      <w:bookmarkEnd w:id="1"/>
      <w:bookmarkEnd w:id="2"/>
      <w:bookmarkEnd w:id="3"/>
      <w:bookmarkEnd w:id="4"/>
      <w:bookmarkEnd w:id="5"/>
      <w:bookmarkEnd w:id="6"/>
      <w:bookmarkEnd w:id="7"/>
      <w:r>
        <w:rPr>
          <w:rFonts w:hint="eastAsia" w:ascii="楷体" w:hAnsi="楷体" w:eastAsia="楷体" w:cs="楷体"/>
          <w:b/>
          <w:bCs/>
          <w:kern w:val="44"/>
          <w:szCs w:val="32"/>
          <w:highlight w:val="none"/>
        </w:rPr>
        <w:t>、对象和范围</w:t>
      </w:r>
      <w:r>
        <w:rPr>
          <w:rFonts w:hint="eastAsia" w:ascii="楷体" w:hAnsi="楷体" w:eastAsia="楷体" w:cs="楷体"/>
          <w:b/>
          <w:bCs/>
          <w:kern w:val="44"/>
          <w:szCs w:val="32"/>
          <w:highlight w:val="none"/>
          <w:lang w:eastAsia="zh-CN"/>
        </w:rPr>
        <w:t>。</w:t>
      </w:r>
    </w:p>
    <w:p>
      <w:pPr>
        <w:pStyle w:val="3"/>
        <w:keepLines/>
        <w:widowControl w:val="0"/>
        <w:spacing w:before="0" w:after="0" w:line="560" w:lineRule="exact"/>
        <w:ind w:firstLine="643" w:firstLineChars="200"/>
        <w:jc w:val="both"/>
        <w:rPr>
          <w:rFonts w:hint="eastAsia" w:ascii="仿宋" w:hAnsi="仿宋" w:eastAsia="仿宋" w:cs="仿宋"/>
          <w:b/>
          <w:bCs/>
          <w:kern w:val="44"/>
          <w:szCs w:val="32"/>
          <w:highlight w:val="none"/>
        </w:rPr>
      </w:pPr>
      <w:r>
        <w:rPr>
          <w:rFonts w:hint="eastAsia" w:ascii="仿宋" w:hAnsi="仿宋" w:eastAsia="仿宋" w:cs="仿宋"/>
          <w:b/>
          <w:bCs/>
          <w:kern w:val="44"/>
          <w:szCs w:val="32"/>
          <w:highlight w:val="none"/>
        </w:rPr>
        <w:t>1.绩效评价的目的</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643"/>
        <w:rPr>
          <w:rFonts w:hint="eastAsia" w:ascii="仿宋" w:hAnsi="仿宋" w:eastAsia="仿宋" w:cs="仿宋"/>
          <w:sz w:val="32"/>
          <w:highlight w:val="none"/>
        </w:rPr>
      </w:pPr>
      <w:r>
        <w:rPr>
          <w:rFonts w:hint="eastAsia" w:ascii="仿宋" w:hAnsi="仿宋" w:eastAsia="仿宋" w:cs="仿宋"/>
          <w:sz w:val="32"/>
          <w:highlight w:val="none"/>
        </w:rPr>
        <w:t>2.绩效评价的对象和范围</w:t>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此次我单位根据《财政支出绩效评价管理暂行办法》（财预〔</w:t>
      </w:r>
      <w:r>
        <w:rPr>
          <w:rFonts w:hint="eastAsia" w:ascii="仿宋" w:hAnsi="仿宋" w:eastAsia="仿宋" w:cs="仿宋"/>
          <w:sz w:val="32"/>
          <w:szCs w:val="32"/>
          <w:highlight w:val="none"/>
          <w:lang w:val="en-US" w:eastAsia="zh-CN"/>
        </w:rPr>
        <w:t>2011</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号）文件要求对</w:t>
      </w:r>
      <w:r>
        <w:rPr>
          <w:rFonts w:hint="eastAsia" w:ascii="仿宋" w:hAnsi="仿宋" w:eastAsia="仿宋" w:cs="仿宋"/>
          <w:sz w:val="32"/>
          <w:szCs w:val="32"/>
          <w:highlight w:val="none"/>
          <w:lang w:val="en-US" w:eastAsia="zh-CN"/>
        </w:rPr>
        <w:t>2022</w:t>
      </w:r>
      <w:r>
        <w:rPr>
          <w:rFonts w:hint="eastAsia" w:ascii="仿宋" w:hAnsi="仿宋" w:eastAsia="仿宋" w:cs="仿宋"/>
          <w:sz w:val="32"/>
          <w:szCs w:val="32"/>
          <w:highlight w:val="none"/>
        </w:rPr>
        <w:t>年度我单位实施的</w:t>
      </w:r>
      <w:r>
        <w:rPr>
          <w:rFonts w:hint="eastAsia" w:ascii="仿宋" w:hAnsi="仿宋" w:eastAsia="仿宋" w:cs="仿宋"/>
          <w:sz w:val="32"/>
          <w:szCs w:val="32"/>
          <w:highlight w:val="none"/>
          <w:lang w:eastAsia="zh-CN"/>
        </w:rPr>
        <w:t>经营税收入成本性支出（安科院）</w:t>
      </w:r>
      <w:r>
        <w:rPr>
          <w:rFonts w:hint="eastAsia" w:ascii="仿宋" w:hAnsi="仿宋" w:eastAsia="仿宋" w:cs="仿宋"/>
          <w:sz w:val="32"/>
          <w:szCs w:val="32"/>
          <w:highlight w:val="none"/>
        </w:rPr>
        <w:t>项目开展部门绩效评价，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pStyle w:val="4"/>
        <w:keepLines/>
        <w:widowControl w:val="0"/>
        <w:numPr>
          <w:ilvl w:val="0"/>
          <w:numId w:val="0"/>
        </w:numPr>
        <w:spacing w:before="0" w:after="0" w:line="560" w:lineRule="exact"/>
        <w:ind w:firstLine="643" w:firstLineChars="200"/>
        <w:jc w:val="both"/>
        <w:rPr>
          <w:rFonts w:hint="eastAsia" w:ascii="楷体" w:hAnsi="楷体" w:eastAsia="楷体" w:cs="楷体"/>
          <w:bCs w:val="0"/>
          <w:i w:val="0"/>
          <w:iCs w:val="0"/>
          <w:kern w:val="2"/>
          <w:sz w:val="32"/>
          <w:szCs w:val="32"/>
          <w:highlight w:val="none"/>
        </w:rPr>
      </w:pPr>
      <w:r>
        <w:rPr>
          <w:rFonts w:hint="eastAsia" w:ascii="楷体" w:hAnsi="楷体" w:eastAsia="楷体" w:cs="楷体"/>
          <w:bCs w:val="0"/>
          <w:i w:val="0"/>
          <w:iCs w:val="0"/>
          <w:kern w:val="2"/>
          <w:sz w:val="32"/>
          <w:szCs w:val="32"/>
          <w:highlight w:val="none"/>
          <w:lang w:eastAsia="zh-CN"/>
        </w:rPr>
        <w:t>（二）</w:t>
      </w:r>
      <w:r>
        <w:rPr>
          <w:rFonts w:hint="eastAsia" w:ascii="楷体" w:hAnsi="楷体" w:eastAsia="楷体" w:cs="楷体"/>
          <w:bCs w:val="0"/>
          <w:i w:val="0"/>
          <w:iCs w:val="0"/>
          <w:kern w:val="2"/>
          <w:sz w:val="32"/>
          <w:szCs w:val="32"/>
          <w:highlight w:val="none"/>
        </w:rPr>
        <w:t>评价工作简述</w:t>
      </w:r>
    </w:p>
    <w:p>
      <w:pPr>
        <w:pStyle w:val="4"/>
        <w:keepLines/>
        <w:widowControl w:val="0"/>
        <w:numPr>
          <w:ilvl w:val="0"/>
          <w:numId w:val="0"/>
        </w:numPr>
        <w:spacing w:before="0" w:after="0" w:line="560" w:lineRule="exact"/>
        <w:ind w:firstLine="643" w:firstLineChars="200"/>
        <w:jc w:val="both"/>
        <w:rPr>
          <w:rFonts w:hint="eastAsia" w:ascii="仿宋" w:hAnsi="仿宋" w:eastAsia="仿宋" w:cs="仿宋"/>
          <w:bCs w:val="0"/>
          <w:i w:val="0"/>
          <w:iCs w:val="0"/>
          <w:kern w:val="2"/>
          <w:sz w:val="32"/>
          <w:szCs w:val="32"/>
          <w:highlight w:val="none"/>
        </w:rPr>
      </w:pPr>
      <w:r>
        <w:rPr>
          <w:rFonts w:hint="eastAsia" w:ascii="仿宋" w:hAnsi="仿宋" w:eastAsia="仿宋" w:cs="仿宋"/>
          <w:bCs w:val="0"/>
          <w:i w:val="0"/>
          <w:iCs w:val="0"/>
          <w:kern w:val="2"/>
          <w:sz w:val="32"/>
          <w:szCs w:val="32"/>
          <w:highlight w:val="none"/>
          <w:lang w:val="en-US" w:eastAsia="zh-CN"/>
        </w:rPr>
        <w:t>1.</w:t>
      </w:r>
      <w:r>
        <w:rPr>
          <w:rFonts w:hint="eastAsia" w:ascii="仿宋" w:hAnsi="仿宋" w:eastAsia="仿宋" w:cs="仿宋"/>
          <w:bCs w:val="0"/>
          <w:i w:val="0"/>
          <w:iCs w:val="0"/>
          <w:kern w:val="2"/>
          <w:sz w:val="32"/>
          <w:szCs w:val="32"/>
          <w:highlight w:val="none"/>
        </w:rPr>
        <w:t>绩效评价原则</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依据</w:t>
      </w:r>
      <w:r>
        <w:rPr>
          <w:rFonts w:hint="eastAsia" w:ascii="仿宋" w:hAnsi="仿宋" w:eastAsia="仿宋" w:cs="仿宋"/>
          <w:bCs/>
          <w:color w:val="000000"/>
          <w:sz w:val="32"/>
          <w:szCs w:val="32"/>
          <w:highlight w:val="none"/>
        </w:rPr>
        <w:t>《预算法》、《财政支出绩效评价管理暂行办法》（财预〔</w:t>
      </w:r>
      <w:r>
        <w:rPr>
          <w:rFonts w:hint="eastAsia" w:ascii="仿宋" w:hAnsi="仿宋" w:eastAsia="仿宋" w:cs="仿宋"/>
          <w:bCs/>
          <w:color w:val="000000"/>
          <w:sz w:val="32"/>
          <w:szCs w:val="32"/>
          <w:highlight w:val="none"/>
          <w:lang w:val="en-US" w:eastAsia="zh-CN"/>
        </w:rPr>
        <w:t>2011</w:t>
      </w:r>
      <w:r>
        <w:rPr>
          <w:rFonts w:hint="eastAsia" w:ascii="仿宋" w:hAnsi="仿宋" w:eastAsia="仿宋" w:cs="仿宋"/>
          <w:bCs/>
          <w:color w:val="000000"/>
          <w:sz w:val="32"/>
          <w:szCs w:val="32"/>
          <w:highlight w:val="none"/>
        </w:rPr>
        <w:t>〕</w:t>
      </w:r>
      <w:r>
        <w:rPr>
          <w:rFonts w:hint="eastAsia" w:ascii="仿宋" w:hAnsi="仿宋" w:eastAsia="仿宋" w:cs="仿宋"/>
          <w:bCs/>
          <w:color w:val="000000"/>
          <w:sz w:val="32"/>
          <w:szCs w:val="32"/>
          <w:highlight w:val="none"/>
          <w:lang w:val="en-US" w:eastAsia="zh-CN"/>
        </w:rPr>
        <w:t>10</w:t>
      </w:r>
      <w:r>
        <w:rPr>
          <w:rFonts w:hint="eastAsia" w:ascii="仿宋" w:hAnsi="仿宋" w:eastAsia="仿宋" w:cs="仿宋"/>
          <w:bCs/>
          <w:color w:val="000000"/>
          <w:sz w:val="32"/>
          <w:szCs w:val="32"/>
          <w:highlight w:val="none"/>
        </w:rPr>
        <w:t>号）、《中共中央国务院关于全面实施预算绩效管理的意见》（中发〔2018〕34号）、《自治区党委自治区人民政府关于全面实施预算绩效管理的实施意见》（新党发〔2018〕30号）</w:t>
      </w:r>
      <w:r>
        <w:rPr>
          <w:rFonts w:hint="eastAsia" w:ascii="仿宋" w:hAnsi="仿宋" w:eastAsia="仿宋" w:cs="仿宋"/>
          <w:sz w:val="32"/>
          <w:szCs w:val="32"/>
          <w:highlight w:val="none"/>
        </w:rPr>
        <w:t>等要求，本次绩效评价秉承科学规范、公正公开、分级分类、绩效相关等原则，按照从投入、过程到产出效果和影响的绩效逻辑路径，结合</w:t>
      </w:r>
      <w:r>
        <w:rPr>
          <w:rFonts w:hint="eastAsia" w:ascii="仿宋" w:hAnsi="仿宋" w:eastAsia="仿宋" w:cs="仿宋"/>
          <w:sz w:val="32"/>
          <w:szCs w:val="32"/>
          <w:highlight w:val="none"/>
          <w:lang w:eastAsia="zh-CN"/>
        </w:rPr>
        <w:t>经营税收入成本性支出（安科院）</w:t>
      </w:r>
      <w:r>
        <w:rPr>
          <w:rFonts w:hint="eastAsia" w:ascii="仿宋" w:hAnsi="仿宋" w:eastAsia="仿宋" w:cs="仿宋"/>
          <w:sz w:val="32"/>
          <w:szCs w:val="32"/>
          <w:highlight w:val="none"/>
        </w:rPr>
        <w:t>项目实际开展情况，运用定量和定性分析相结合的方法，总结经验做法，反思项目实施和管理中的问题，以切实提升</w:t>
      </w:r>
      <w:r>
        <w:rPr>
          <w:rFonts w:hint="eastAsia" w:ascii="仿宋" w:hAnsi="仿宋" w:eastAsia="仿宋" w:cs="仿宋"/>
          <w:sz w:val="32"/>
          <w:szCs w:val="32"/>
          <w:highlight w:val="none"/>
          <w:lang w:val="en-US" w:eastAsia="zh-CN"/>
        </w:rPr>
        <w:t>经营收入</w:t>
      </w:r>
      <w:r>
        <w:rPr>
          <w:rFonts w:hint="eastAsia" w:ascii="仿宋" w:hAnsi="仿宋" w:eastAsia="仿宋" w:cs="仿宋"/>
          <w:sz w:val="32"/>
          <w:szCs w:val="32"/>
          <w:highlight w:val="none"/>
        </w:rPr>
        <w:t>资金管理的科学化、规范化和精细化水平。</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根据以上原则，绩效评价应遵循如下要求：</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（1）在数据采集时，采取客观数据，主管部门审查、社会中介组织复查，与问卷调查相结合的形式，以保证各项指标的真实性。</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（2）保证评价结果的真实性、公正性，提高评价报告的公信力。</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（3）绩效评价报告应当简明扼要，除了对绩效评价的过程、结果描述外，还应总结经验，指出问题，并就共性问题提出可操作性改进建议。</w:t>
      </w:r>
    </w:p>
    <w:p>
      <w:pPr>
        <w:pStyle w:val="5"/>
        <w:ind w:firstLine="643"/>
        <w:rPr>
          <w:rFonts w:hint="eastAsia" w:ascii="仿宋" w:hAnsi="仿宋" w:eastAsia="仿宋" w:cs="仿宋"/>
          <w:sz w:val="32"/>
          <w:highlight w:val="none"/>
        </w:rPr>
      </w:pPr>
      <w:bookmarkStart w:id="8" w:name="_Toc1913"/>
      <w:bookmarkStart w:id="9" w:name="_Toc419984722"/>
      <w:bookmarkStart w:id="10" w:name="_Toc26131"/>
      <w:bookmarkStart w:id="11" w:name="_Toc428278230"/>
      <w:r>
        <w:rPr>
          <w:rFonts w:hint="eastAsia" w:ascii="仿宋" w:hAnsi="仿宋" w:eastAsia="仿宋" w:cs="仿宋"/>
          <w:sz w:val="32"/>
          <w:highlight w:val="none"/>
        </w:rPr>
        <w:t>2.绩效评价指标体系及绩效评价</w:t>
      </w:r>
      <w:bookmarkEnd w:id="8"/>
      <w:bookmarkEnd w:id="9"/>
      <w:bookmarkEnd w:id="10"/>
      <w:bookmarkEnd w:id="11"/>
      <w:r>
        <w:rPr>
          <w:rFonts w:hint="eastAsia" w:ascii="仿宋" w:hAnsi="仿宋" w:eastAsia="仿宋" w:cs="仿宋"/>
          <w:sz w:val="32"/>
          <w:highlight w:val="none"/>
        </w:rPr>
        <w:t>标准</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sz w:val="32"/>
          <w:szCs w:val="32"/>
          <w:highlight w:val="none"/>
          <w:lang w:val="zh-TW" w:eastAsia="zh-CN"/>
        </w:rPr>
      </w:pPr>
      <w:r>
        <w:rPr>
          <w:rFonts w:hint="eastAsia" w:ascii="仿宋" w:hAnsi="仿宋" w:eastAsia="仿宋" w:cs="仿宋"/>
          <w:sz w:val="32"/>
          <w:szCs w:val="32"/>
          <w:highlight w:val="none"/>
        </w:rPr>
        <w:t>我单位</w:t>
      </w:r>
      <w:r>
        <w:rPr>
          <w:rFonts w:hint="eastAsia" w:ascii="仿宋" w:hAnsi="仿宋" w:eastAsia="仿宋" w:cs="仿宋"/>
          <w:sz w:val="32"/>
          <w:szCs w:val="32"/>
          <w:highlight w:val="none"/>
          <w:lang w:val="zh-TW" w:eastAsia="zh-TW"/>
        </w:rPr>
        <w:t>根据项目的</w:t>
      </w:r>
      <w:r>
        <w:rPr>
          <w:rFonts w:hint="eastAsia" w:ascii="仿宋" w:hAnsi="仿宋" w:eastAsia="仿宋" w:cs="仿宋"/>
          <w:sz w:val="32"/>
          <w:szCs w:val="32"/>
          <w:highlight w:val="none"/>
        </w:rPr>
        <w:t>实施</w:t>
      </w:r>
      <w:r>
        <w:rPr>
          <w:rFonts w:hint="eastAsia" w:ascii="仿宋" w:hAnsi="仿宋" w:eastAsia="仿宋" w:cs="仿宋"/>
          <w:sz w:val="32"/>
          <w:szCs w:val="32"/>
          <w:highlight w:val="none"/>
          <w:lang w:val="zh-TW" w:eastAsia="zh-TW"/>
        </w:rPr>
        <w:t>资料研读及前期调研，结合项目的实际开展情况，将项目的指标体系进行了调整和完善</w:t>
      </w:r>
      <w:r>
        <w:rPr>
          <w:rFonts w:hint="eastAsia" w:ascii="仿宋" w:hAnsi="仿宋" w:eastAsia="仿宋" w:cs="仿宋"/>
          <w:sz w:val="32"/>
          <w:szCs w:val="32"/>
          <w:highlight w:val="none"/>
          <w:lang w:val="zh-TW"/>
        </w:rPr>
        <w:t>，</w:t>
      </w:r>
      <w:r>
        <w:rPr>
          <w:rFonts w:hint="eastAsia" w:ascii="仿宋" w:hAnsi="仿宋" w:eastAsia="仿宋" w:cs="仿宋"/>
          <w:sz w:val="32"/>
          <w:szCs w:val="32"/>
          <w:highlight w:val="none"/>
          <w:lang w:val="zh-TW" w:eastAsia="zh-TW"/>
        </w:rPr>
        <w:t>最终形成了项目绩效评价指标体系</w:t>
      </w:r>
      <w:r>
        <w:rPr>
          <w:rFonts w:hint="eastAsia" w:ascii="仿宋" w:hAnsi="仿宋" w:eastAsia="仿宋" w:cs="仿宋"/>
          <w:sz w:val="32"/>
          <w:szCs w:val="32"/>
          <w:highlight w:val="none"/>
          <w:lang w:val="zh-TW" w:eastAsia="zh-CN"/>
        </w:rPr>
        <w:t>。</w:t>
      </w:r>
    </w:p>
    <w:p>
      <w:pPr>
        <w:pStyle w:val="2"/>
        <w:keepLines w:val="0"/>
        <w:pageBreakBefore w:val="0"/>
        <w:kinsoku/>
        <w:wordWrap/>
        <w:overflowPunct/>
        <w:topLinePunct w:val="0"/>
        <w:autoSpaceDE/>
        <w:autoSpaceDN/>
        <w:bidi w:val="0"/>
        <w:adjustRightInd/>
        <w:snapToGrid/>
        <w:spacing w:before="0" w:after="0" w:line="360" w:lineRule="auto"/>
        <w:ind w:left="0" w:leftChars="0" w:right="0" w:rightChars="0"/>
        <w:jc w:val="left"/>
        <w:textAlignment w:val="auto"/>
        <w:rPr>
          <w:rFonts w:hint="eastAsia" w:ascii="仿宋" w:hAnsi="仿宋" w:eastAsia="仿宋" w:cs="仿宋"/>
          <w:b/>
          <w:bCs/>
          <w:kern w:val="2"/>
          <w:sz w:val="32"/>
          <w:szCs w:val="32"/>
          <w:highlight w:val="none"/>
          <w:lang w:val="zh-TW" w:eastAsia="zh-CN" w:bidi="ar-SA"/>
        </w:rPr>
      </w:pPr>
      <w:r>
        <w:rPr>
          <w:rFonts w:hint="eastAsia" w:ascii="仿宋" w:hAnsi="仿宋" w:eastAsia="仿宋" w:cs="仿宋"/>
          <w:b w:val="0"/>
          <w:bCs w:val="0"/>
          <w:kern w:val="2"/>
          <w:sz w:val="32"/>
          <w:szCs w:val="32"/>
          <w:highlight w:val="none"/>
          <w:lang w:val="en-US" w:eastAsia="zh-CN" w:bidi="ar-SA"/>
        </w:rPr>
        <w:t xml:space="preserve">    </w:t>
      </w:r>
      <w:r>
        <w:rPr>
          <w:rFonts w:hint="eastAsia" w:ascii="仿宋" w:hAnsi="仿宋" w:eastAsia="仿宋" w:cs="仿宋"/>
          <w:b w:val="0"/>
          <w:bCs w:val="0"/>
          <w:kern w:val="2"/>
          <w:sz w:val="32"/>
          <w:szCs w:val="32"/>
          <w:highlight w:val="none"/>
          <w:lang w:val="zh-TW" w:eastAsia="zh-TW" w:bidi="ar-SA"/>
        </w:rPr>
        <w:t>具体绩效评价指标体系详情见附件1</w:t>
      </w:r>
    </w:p>
    <w:p>
      <w:pPr>
        <w:pStyle w:val="5"/>
        <w:keepLines w:val="0"/>
        <w:pageBreakBefore w:val="0"/>
        <w:kinsoku/>
        <w:wordWrap/>
        <w:overflowPunct/>
        <w:topLinePunct w:val="0"/>
        <w:autoSpaceDE/>
        <w:autoSpaceDN/>
        <w:bidi w:val="0"/>
        <w:adjustRightInd/>
        <w:snapToGrid/>
        <w:spacing w:before="0" w:after="0" w:line="360" w:lineRule="auto"/>
        <w:ind w:left="0" w:leftChars="0" w:right="0" w:rightChars="0" w:firstLine="643"/>
        <w:textAlignment w:val="auto"/>
        <w:rPr>
          <w:rFonts w:hint="eastAsia" w:ascii="仿宋" w:hAnsi="仿宋" w:eastAsia="仿宋" w:cs="仿宋"/>
          <w:sz w:val="32"/>
          <w:highlight w:val="none"/>
        </w:rPr>
      </w:pPr>
      <w:r>
        <w:rPr>
          <w:rFonts w:hint="eastAsia" w:ascii="仿宋" w:hAnsi="仿宋" w:eastAsia="仿宋" w:cs="仿宋"/>
          <w:sz w:val="32"/>
          <w:highlight w:val="none"/>
        </w:rPr>
        <w:t>3.评价方法</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本次绩效评价采用的方法是比较法、公众评判法对项目绩效目标预期指标值与实施情况进行比较，以及采取公众问卷及抽样调查等方式进行评判的方法对该项目进行评价。</w:t>
      </w:r>
    </w:p>
    <w:p>
      <w:pPr>
        <w:pStyle w:val="5"/>
        <w:keepLines w:val="0"/>
        <w:pageBreakBefore w:val="0"/>
        <w:kinsoku/>
        <w:wordWrap/>
        <w:overflowPunct/>
        <w:topLinePunct w:val="0"/>
        <w:autoSpaceDE/>
        <w:autoSpaceDN/>
        <w:bidi w:val="0"/>
        <w:adjustRightInd/>
        <w:snapToGrid/>
        <w:spacing w:before="0" w:after="0" w:line="360" w:lineRule="auto"/>
        <w:ind w:left="0" w:leftChars="0" w:right="0" w:rightChars="0" w:firstLine="643"/>
        <w:textAlignment w:val="auto"/>
        <w:rPr>
          <w:rFonts w:hint="eastAsia" w:ascii="仿宋" w:hAnsi="仿宋" w:eastAsia="仿宋" w:cs="仿宋"/>
          <w:sz w:val="32"/>
          <w:highlight w:val="none"/>
        </w:rPr>
      </w:pPr>
      <w:r>
        <w:rPr>
          <w:rFonts w:hint="eastAsia" w:ascii="仿宋" w:hAnsi="仿宋" w:eastAsia="仿宋" w:cs="仿宋"/>
          <w:sz w:val="32"/>
          <w:highlight w:val="none"/>
        </w:rPr>
        <w:t>4.评价标准</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color w:val="FF0000"/>
          <w:sz w:val="32"/>
          <w:szCs w:val="32"/>
          <w:highlight w:val="none"/>
        </w:rPr>
      </w:pPr>
      <w:r>
        <w:rPr>
          <w:rFonts w:hint="eastAsia" w:ascii="仿宋" w:hAnsi="仿宋" w:eastAsia="仿宋" w:cs="仿宋"/>
          <w:sz w:val="32"/>
          <w:szCs w:val="32"/>
          <w:highlight w:val="none"/>
        </w:rPr>
        <w:t>本次绩效评价采用的标准计划标准、历史标准对绩效指标完成情况进行对比。</w:t>
      </w:r>
    </w:p>
    <w:p>
      <w:pPr>
        <w:keepLines w:val="0"/>
        <w:pageBreakBefore w:val="0"/>
        <w:kinsoku/>
        <w:wordWrap/>
        <w:overflowPunct/>
        <w:topLinePunct w:val="0"/>
        <w:autoSpaceDE/>
        <w:autoSpaceDN/>
        <w:bidi w:val="0"/>
        <w:adjustRightInd/>
        <w:snapToGrid/>
        <w:spacing w:line="360" w:lineRule="auto"/>
        <w:ind w:left="0" w:leftChars="0" w:right="0" w:rightChars="0" w:firstLine="581" w:firstLineChars="181"/>
        <w:textAlignment w:val="auto"/>
        <w:rPr>
          <w:rFonts w:hint="eastAsia" w:ascii="楷体" w:hAnsi="楷体" w:eastAsia="楷体" w:cs="楷体"/>
          <w:b/>
          <w:bCs/>
          <w:kern w:val="0"/>
          <w:sz w:val="32"/>
          <w:szCs w:val="26"/>
          <w:highlight w:val="none"/>
          <w:lang w:val="en-US" w:eastAsia="zh-CN" w:bidi="ar-SA"/>
        </w:rPr>
      </w:pPr>
      <w:r>
        <w:rPr>
          <w:rFonts w:hint="eastAsia" w:ascii="楷体" w:hAnsi="楷体" w:eastAsia="楷体" w:cs="楷体"/>
          <w:b/>
          <w:bCs/>
          <w:kern w:val="0"/>
          <w:sz w:val="32"/>
          <w:szCs w:val="26"/>
          <w:highlight w:val="none"/>
          <w:lang w:val="en-US" w:eastAsia="zh-CN" w:bidi="ar-SA"/>
        </w:rPr>
        <w:t>（三）绩效评价工作过程。</w:t>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本次评价设计了评价方案、评价指标体系，通过资料分析、调研、访谈满意度调查等方式形成评价结论，确定评价意见，并出具评价报告。</w:t>
      </w:r>
    </w:p>
    <w:p>
      <w:pPr>
        <w:spacing w:line="540" w:lineRule="exact"/>
        <w:ind w:firstLine="581" w:firstLineChars="181"/>
        <w:rPr>
          <w:rFonts w:hint="eastAsia" w:ascii="黑体" w:hAnsi="黑体" w:eastAsia="黑体" w:cs="黑体"/>
          <w:b/>
          <w:bCs/>
          <w:kern w:val="0"/>
          <w:sz w:val="32"/>
          <w:szCs w:val="26"/>
          <w:highlight w:val="none"/>
          <w:lang w:val="en-US" w:eastAsia="zh-CN" w:bidi="ar-SA"/>
        </w:rPr>
      </w:pPr>
      <w:r>
        <w:rPr>
          <w:rFonts w:hint="eastAsia" w:ascii="黑体" w:hAnsi="黑体" w:eastAsia="黑体" w:cs="黑体"/>
          <w:b/>
          <w:bCs/>
          <w:kern w:val="0"/>
          <w:sz w:val="32"/>
          <w:szCs w:val="26"/>
          <w:highlight w:val="none"/>
          <w:lang w:val="en-US" w:eastAsia="zh-CN" w:bidi="ar-SA"/>
        </w:rPr>
        <w:t>三、综合评价情况及评价结论</w:t>
      </w:r>
    </w:p>
    <w:p>
      <w:pPr>
        <w:ind w:firstLine="64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此次绩效评价采用的方法比较法、公众评判法，</w:t>
      </w:r>
      <w:r>
        <w:rPr>
          <w:rFonts w:hint="eastAsia" w:ascii="仿宋" w:hAnsi="仿宋" w:eastAsia="仿宋" w:cs="仿宋"/>
          <w:sz w:val="32"/>
          <w:szCs w:val="32"/>
          <w:highlight w:val="none"/>
          <w:lang w:val="zh-TW" w:eastAsia="zh-TW"/>
        </w:rPr>
        <w:t>对</w:t>
      </w:r>
      <w:r>
        <w:rPr>
          <w:rFonts w:hint="eastAsia" w:ascii="仿宋" w:hAnsi="仿宋" w:eastAsia="仿宋" w:cs="仿宋"/>
          <w:sz w:val="32"/>
          <w:szCs w:val="32"/>
          <w:highlight w:val="none"/>
          <w:lang w:val="zh-TW" w:eastAsia="zh-CN"/>
        </w:rPr>
        <w:t>经营税收入成本性支出（安科院）</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lang w:val="zh-TW" w:eastAsia="zh-TW"/>
        </w:rPr>
        <w:t>绩效进行客观评价，最终评分结果：总分为</w:t>
      </w:r>
      <w:r>
        <w:rPr>
          <w:rFonts w:hint="eastAsia" w:ascii="仿宋" w:hAnsi="仿宋" w:eastAsia="仿宋" w:cs="仿宋"/>
          <w:sz w:val="32"/>
          <w:szCs w:val="32"/>
          <w:highlight w:val="none"/>
          <w:lang w:val="en-US" w:eastAsia="zh-CN"/>
        </w:rPr>
        <w:t>87.82</w:t>
      </w:r>
      <w:r>
        <w:rPr>
          <w:rFonts w:hint="eastAsia" w:ascii="仿宋" w:hAnsi="仿宋" w:eastAsia="仿宋" w:cs="仿宋"/>
          <w:sz w:val="32"/>
          <w:szCs w:val="32"/>
          <w:highlight w:val="none"/>
          <w:lang w:val="zh-TW" w:eastAsia="zh-TW"/>
        </w:rPr>
        <w:t>分，绩效评级为“</w:t>
      </w:r>
      <w:r>
        <w:rPr>
          <w:rFonts w:hint="eastAsia" w:ascii="仿宋" w:hAnsi="仿宋" w:eastAsia="仿宋" w:cs="仿宋"/>
          <w:sz w:val="32"/>
          <w:szCs w:val="32"/>
          <w:highlight w:val="none"/>
          <w:lang w:val="en-US" w:eastAsia="zh-CN"/>
        </w:rPr>
        <w:t>良好</w:t>
      </w:r>
      <w:r>
        <w:rPr>
          <w:rFonts w:hint="eastAsia" w:ascii="仿宋" w:hAnsi="仿宋" w:eastAsia="仿宋" w:cs="仿宋"/>
          <w:sz w:val="32"/>
          <w:szCs w:val="32"/>
          <w:highlight w:val="none"/>
          <w:lang w:val="zh-TW" w:eastAsia="zh-TW"/>
        </w:rPr>
        <w:t>”。</w:t>
      </w:r>
    </w:p>
    <w:p>
      <w:pPr>
        <w:spacing w:line="540" w:lineRule="exact"/>
        <w:ind w:firstLine="640"/>
        <w:rPr>
          <w:rStyle w:val="22"/>
          <w:rFonts w:hint="eastAsia" w:ascii="黑体" w:hAnsi="黑体" w:eastAsia="黑体" w:cs="黑体"/>
          <w:sz w:val="32"/>
          <w:szCs w:val="32"/>
          <w:highlight w:val="none"/>
        </w:rPr>
      </w:pPr>
      <w:r>
        <w:rPr>
          <w:rStyle w:val="22"/>
          <w:rFonts w:hint="eastAsia" w:ascii="黑体" w:hAnsi="黑体" w:eastAsia="黑体" w:cs="黑体"/>
          <w:b w:val="0"/>
          <w:spacing w:val="-4"/>
          <w:sz w:val="32"/>
          <w:szCs w:val="32"/>
          <w:highlight w:val="none"/>
        </w:rPr>
        <w:t>四、</w:t>
      </w:r>
      <w:r>
        <w:rPr>
          <w:rStyle w:val="22"/>
          <w:rFonts w:hint="eastAsia" w:ascii="黑体" w:hAnsi="黑体" w:eastAsia="黑体" w:cs="黑体"/>
          <w:spacing w:val="-4"/>
          <w:sz w:val="32"/>
          <w:szCs w:val="32"/>
          <w:highlight w:val="none"/>
        </w:rPr>
        <w:t>绩效评价指标分析</w:t>
      </w:r>
      <w:r>
        <w:rPr>
          <w:rStyle w:val="22"/>
          <w:rFonts w:hint="eastAsia" w:ascii="黑体" w:hAnsi="黑体" w:eastAsia="黑体" w:cs="黑体"/>
          <w:b w:val="0"/>
          <w:spacing w:val="-4"/>
          <w:sz w:val="32"/>
          <w:szCs w:val="32"/>
          <w:highlight w:val="none"/>
        </w:rPr>
        <w:t xml:space="preserve"> </w:t>
      </w:r>
    </w:p>
    <w:p>
      <w:pPr>
        <w:spacing w:line="540" w:lineRule="exact"/>
        <w:ind w:firstLine="640"/>
        <w:rPr>
          <w:rStyle w:val="22"/>
          <w:rFonts w:hint="eastAsia" w:ascii="楷体" w:hAnsi="楷体" w:eastAsia="楷体" w:cs="楷体"/>
          <w:spacing w:val="-4"/>
          <w:sz w:val="32"/>
          <w:szCs w:val="32"/>
          <w:highlight w:val="none"/>
        </w:rPr>
      </w:pPr>
      <w:r>
        <w:rPr>
          <w:rStyle w:val="22"/>
          <w:rFonts w:hint="eastAsia" w:ascii="楷体" w:hAnsi="楷体" w:eastAsia="楷体" w:cs="楷体"/>
          <w:spacing w:val="-4"/>
          <w:sz w:val="32"/>
          <w:szCs w:val="32"/>
          <w:highlight w:val="none"/>
        </w:rPr>
        <w:t>（一）项目决策情况</w:t>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项目决策由3个二级指标和6个三级指标构成，权重分20分，实际得分</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分，</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4-1</w:t>
      </w:r>
      <w:r>
        <w:rPr>
          <w:rFonts w:hint="eastAsia" w:ascii="仿宋" w:hAnsi="仿宋" w:eastAsia="仿宋" w:cs="仿宋"/>
          <w:color w:val="000000"/>
          <w:sz w:val="32"/>
          <w:szCs w:val="32"/>
          <w:highlight w:val="none"/>
          <w:u w:color="000000"/>
          <w:lang w:val="zh-TW" w:eastAsia="zh-TW"/>
        </w:rPr>
        <w:t>所示</w:t>
      </w:r>
      <w:r>
        <w:rPr>
          <w:rFonts w:hint="eastAsia" w:ascii="仿宋" w:hAnsi="仿宋" w:eastAsia="仿宋" w:cs="仿宋"/>
          <w:sz w:val="32"/>
          <w:szCs w:val="32"/>
          <w:highlight w:val="none"/>
        </w:rPr>
        <w:t>：</w:t>
      </w:r>
    </w:p>
    <w:p>
      <w:pPr>
        <w:keepNext/>
        <w:keepLines/>
        <w:ind w:firstLine="562"/>
        <w:jc w:val="center"/>
        <w:rPr>
          <w:rFonts w:hint="eastAsia" w:ascii="仿宋" w:hAnsi="仿宋" w:eastAsia="仿宋" w:cs="仿宋"/>
          <w:highlight w:val="none"/>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4-1</w:t>
      </w:r>
      <w:r>
        <w:rPr>
          <w:rFonts w:hint="eastAsia" w:ascii="仿宋" w:hAnsi="仿宋" w:eastAsia="仿宋" w:cs="仿宋"/>
          <w:b/>
          <w:bCs/>
          <w:color w:val="000000"/>
          <w:highlight w:val="none"/>
          <w:u w:color="000000"/>
          <w:lang w:val="zh-TW" w:eastAsia="zh-TW"/>
        </w:rPr>
        <w:t>项目决策指标及分值</w:t>
      </w:r>
    </w:p>
    <w:tbl>
      <w:tblPr>
        <w:tblStyle w:val="20"/>
        <w:tblW w:w="8447" w:type="dxa"/>
        <w:jc w:val="center"/>
        <w:tblLayout w:type="fixed"/>
        <w:tblCellMar>
          <w:top w:w="0" w:type="dxa"/>
          <w:left w:w="0" w:type="dxa"/>
          <w:bottom w:w="0" w:type="dxa"/>
          <w:right w:w="0" w:type="dxa"/>
        </w:tblCellMar>
      </w:tblPr>
      <w:tblGrid>
        <w:gridCol w:w="1077"/>
        <w:gridCol w:w="960"/>
        <w:gridCol w:w="1251"/>
        <w:gridCol w:w="794"/>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项目立项　</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3</w:t>
            </w:r>
          </w:p>
        </w:tc>
      </w:tr>
      <w:tr>
        <w:tblPrEx>
          <w:tblCellMar>
            <w:top w:w="0" w:type="dxa"/>
            <w:left w:w="0" w:type="dxa"/>
            <w:bottom w:w="0" w:type="dxa"/>
            <w:right w:w="0" w:type="dxa"/>
          </w:tblCellMar>
        </w:tblPrEx>
        <w:trPr>
          <w:trHeight w:val="334" w:hRule="atLeast"/>
          <w:tblHeader/>
          <w:jc w:val="center"/>
        </w:trPr>
        <w:tc>
          <w:tcPr>
            <w:tcW w:w="328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合计</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default"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20</w:t>
            </w:r>
          </w:p>
        </w:tc>
      </w:tr>
    </w:tbl>
    <w:p>
      <w:pPr>
        <w:spacing w:line="540" w:lineRule="exact"/>
        <w:ind w:firstLine="640"/>
        <w:rPr>
          <w:rStyle w:val="22"/>
          <w:rFonts w:hint="eastAsia" w:ascii="楷体" w:hAnsi="楷体" w:eastAsia="楷体" w:cs="楷体"/>
          <w:spacing w:val="-4"/>
          <w:sz w:val="32"/>
          <w:szCs w:val="32"/>
          <w:highlight w:val="none"/>
        </w:rPr>
      </w:pPr>
      <w:r>
        <w:rPr>
          <w:rStyle w:val="22"/>
          <w:rFonts w:hint="eastAsia" w:ascii="楷体" w:hAnsi="楷体" w:eastAsia="楷体" w:cs="楷体"/>
          <w:spacing w:val="-4"/>
          <w:sz w:val="32"/>
          <w:szCs w:val="32"/>
          <w:highlight w:val="none"/>
        </w:rPr>
        <w:t>（二）项目过程情况。</w:t>
      </w:r>
    </w:p>
    <w:p>
      <w:pPr>
        <w:ind w:firstLine="640"/>
        <w:rPr>
          <w:color w:val="000000"/>
          <w:sz w:val="32"/>
          <w:szCs w:val="32"/>
          <w:highlight w:val="none"/>
          <w:u w:color="000000"/>
          <w:lang w:val="zh-TW" w:eastAsia="zh-TW"/>
        </w:rPr>
      </w:pPr>
      <w:r>
        <w:rPr>
          <w:rFonts w:hint="eastAsia" w:ascii="仿宋" w:hAnsi="仿宋" w:eastAsia="仿宋" w:cs="仿宋"/>
          <w:color w:val="000000"/>
          <w:sz w:val="32"/>
          <w:szCs w:val="32"/>
          <w:highlight w:val="none"/>
          <w:u w:color="000000"/>
          <w:lang w:val="zh-TW" w:eastAsia="zh-TW"/>
        </w:rPr>
        <w:t>项目</w:t>
      </w:r>
      <w:r>
        <w:rPr>
          <w:rFonts w:hint="eastAsia" w:ascii="仿宋" w:hAnsi="仿宋" w:eastAsia="仿宋" w:cs="仿宋"/>
          <w:sz w:val="32"/>
          <w:szCs w:val="32"/>
          <w:highlight w:val="none"/>
        </w:rPr>
        <w:t>过程</w:t>
      </w:r>
      <w:r>
        <w:rPr>
          <w:rFonts w:hint="eastAsia" w:ascii="仿宋" w:hAnsi="仿宋" w:eastAsia="仿宋" w:cs="仿宋"/>
          <w:color w:val="000000"/>
          <w:sz w:val="32"/>
          <w:szCs w:val="32"/>
          <w:highlight w:val="none"/>
          <w:u w:color="000000"/>
        </w:rPr>
        <w:t>管理</w:t>
      </w:r>
      <w:r>
        <w:rPr>
          <w:rFonts w:hint="eastAsia" w:ascii="仿宋" w:hAnsi="仿宋" w:eastAsia="仿宋" w:cs="仿宋"/>
          <w:color w:val="000000"/>
          <w:sz w:val="32"/>
          <w:szCs w:val="32"/>
          <w:highlight w:val="none"/>
          <w:u w:color="000000"/>
          <w:lang w:val="zh-TW" w:eastAsia="zh-TW"/>
        </w:rPr>
        <w:t>类指标由</w:t>
      </w:r>
      <w:r>
        <w:rPr>
          <w:rFonts w:hint="eastAsia" w:ascii="仿宋" w:hAnsi="仿宋" w:eastAsia="仿宋" w:cs="仿宋"/>
          <w:color w:val="000000"/>
          <w:sz w:val="32"/>
          <w:szCs w:val="32"/>
          <w:highlight w:val="none"/>
          <w:u w:color="000000"/>
        </w:rPr>
        <w:t>2</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lang w:val="zh-TW"/>
        </w:rPr>
        <w:t>二</w:t>
      </w:r>
      <w:r>
        <w:rPr>
          <w:rFonts w:hint="eastAsia" w:ascii="仿宋" w:hAnsi="仿宋" w:eastAsia="仿宋" w:cs="仿宋"/>
          <w:color w:val="000000"/>
          <w:sz w:val="32"/>
          <w:szCs w:val="32"/>
          <w:highlight w:val="none"/>
          <w:u w:color="000000"/>
          <w:lang w:val="zh-TW" w:eastAsia="zh-TW"/>
        </w:rPr>
        <w:t>级指标和</w:t>
      </w:r>
      <w:r>
        <w:rPr>
          <w:rFonts w:hint="eastAsia" w:ascii="仿宋" w:hAnsi="仿宋" w:eastAsia="仿宋" w:cs="仿宋"/>
          <w:color w:val="000000"/>
          <w:sz w:val="32"/>
          <w:szCs w:val="32"/>
          <w:highlight w:val="none"/>
          <w:u w:color="000000"/>
        </w:rPr>
        <w:t>5</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rPr>
        <w:t>三</w:t>
      </w:r>
      <w:r>
        <w:rPr>
          <w:rFonts w:hint="eastAsia" w:ascii="仿宋" w:hAnsi="仿宋" w:eastAsia="仿宋" w:cs="仿宋"/>
          <w:color w:val="000000"/>
          <w:sz w:val="32"/>
          <w:szCs w:val="32"/>
          <w:highlight w:val="none"/>
          <w:u w:color="000000"/>
          <w:lang w:val="zh-TW" w:eastAsia="zh-TW"/>
        </w:rPr>
        <w:t>级指标构成，权重分</w:t>
      </w:r>
      <w:r>
        <w:rPr>
          <w:rFonts w:hint="eastAsia" w:ascii="仿宋" w:hAnsi="仿宋" w:eastAsia="仿宋" w:cs="仿宋"/>
          <w:color w:val="000000"/>
          <w:sz w:val="32"/>
          <w:szCs w:val="32"/>
          <w:highlight w:val="none"/>
          <w:u w:color="000000"/>
        </w:rPr>
        <w:t>20</w:t>
      </w:r>
      <w:r>
        <w:rPr>
          <w:rFonts w:hint="eastAsia" w:ascii="仿宋" w:hAnsi="仿宋" w:eastAsia="仿宋" w:cs="仿宋"/>
          <w:color w:val="000000"/>
          <w:sz w:val="32"/>
          <w:szCs w:val="32"/>
          <w:highlight w:val="none"/>
          <w:u w:color="000000"/>
          <w:lang w:val="zh-TW" w:eastAsia="zh-TW"/>
        </w:rPr>
        <w:t>分，实际得分</w:t>
      </w:r>
      <w:r>
        <w:rPr>
          <w:rFonts w:hint="eastAsia" w:ascii="仿宋" w:hAnsi="仿宋" w:eastAsia="仿宋" w:cs="仿宋"/>
          <w:color w:val="000000"/>
          <w:sz w:val="32"/>
          <w:szCs w:val="32"/>
          <w:highlight w:val="none"/>
          <w:u w:color="000000"/>
          <w:lang w:val="en-US" w:eastAsia="zh-CN"/>
        </w:rPr>
        <w:t>20</w:t>
      </w:r>
      <w:r>
        <w:rPr>
          <w:rFonts w:hint="eastAsia" w:ascii="仿宋" w:hAnsi="仿宋" w:eastAsia="仿宋" w:cs="仿宋"/>
          <w:color w:val="000000"/>
          <w:sz w:val="32"/>
          <w:szCs w:val="32"/>
          <w:highlight w:val="none"/>
          <w:u w:color="000000"/>
          <w:lang w:val="zh-TW" w:eastAsia="zh-TW"/>
        </w:rPr>
        <w:t>分</w:t>
      </w:r>
      <w:r>
        <w:rPr>
          <w:rFonts w:hint="eastAsia" w:ascii="仿宋" w:hAnsi="仿宋" w:eastAsia="仿宋" w:cs="仿宋"/>
          <w:color w:val="000000"/>
          <w:sz w:val="32"/>
          <w:szCs w:val="32"/>
          <w:highlight w:val="none"/>
          <w:u w:color="000000"/>
          <w:lang w:val="zh-TW"/>
        </w:rPr>
        <w:t>，</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4-2</w:t>
      </w:r>
      <w:r>
        <w:rPr>
          <w:rFonts w:hint="eastAsia" w:ascii="仿宋" w:hAnsi="仿宋" w:eastAsia="仿宋" w:cs="仿宋"/>
          <w:color w:val="000000"/>
          <w:sz w:val="32"/>
          <w:szCs w:val="32"/>
          <w:highlight w:val="none"/>
          <w:u w:color="000000"/>
          <w:lang w:val="zh-TW" w:eastAsia="zh-TW"/>
        </w:rPr>
        <w:t>所示：</w:t>
      </w:r>
    </w:p>
    <w:p>
      <w:pPr>
        <w:ind w:firstLine="562"/>
        <w:jc w:val="center"/>
        <w:rPr>
          <w:rFonts w:hint="eastAsia" w:ascii="仿宋" w:hAnsi="仿宋" w:eastAsia="仿宋" w:cs="仿宋"/>
          <w:b/>
          <w:bCs/>
          <w:color w:val="000000"/>
          <w:highlight w:val="none"/>
          <w:u w:color="000000"/>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4-2</w:t>
      </w:r>
      <w:r>
        <w:rPr>
          <w:rFonts w:hint="eastAsia" w:ascii="仿宋" w:hAnsi="仿宋" w:eastAsia="仿宋" w:cs="仿宋"/>
          <w:b/>
          <w:bCs/>
          <w:color w:val="000000"/>
          <w:highlight w:val="none"/>
          <w:u w:color="000000"/>
          <w:lang w:val="zh-TW" w:eastAsia="zh-TW"/>
        </w:rPr>
        <w:t>项目</w:t>
      </w:r>
      <w:r>
        <w:rPr>
          <w:rFonts w:hint="eastAsia" w:ascii="仿宋" w:hAnsi="仿宋" w:eastAsia="仿宋" w:cs="仿宋"/>
          <w:b/>
          <w:bCs/>
          <w:color w:val="000000"/>
          <w:highlight w:val="none"/>
          <w:u w:color="000000"/>
          <w:lang w:val="zh-TW"/>
        </w:rPr>
        <w:t>管理</w:t>
      </w:r>
      <w:r>
        <w:rPr>
          <w:rFonts w:hint="eastAsia" w:ascii="仿宋" w:hAnsi="仿宋" w:eastAsia="仿宋" w:cs="仿宋"/>
          <w:b/>
          <w:bCs/>
          <w:color w:val="000000"/>
          <w:highlight w:val="none"/>
          <w:u w:color="000000"/>
          <w:lang w:val="zh-TW" w:eastAsia="zh-TW"/>
        </w:rPr>
        <w:t>指标及分值</w:t>
      </w:r>
      <w:r>
        <w:rPr>
          <w:rFonts w:hint="eastAsia" w:ascii="仿宋" w:hAnsi="仿宋" w:eastAsia="仿宋" w:cs="仿宋"/>
          <w:b/>
          <w:bCs/>
          <w:color w:val="000000"/>
          <w:highlight w:val="none"/>
          <w:u w:color="000000"/>
        </w:rPr>
        <w:t>情况</w:t>
      </w:r>
    </w:p>
    <w:tbl>
      <w:tblPr>
        <w:tblStyle w:val="20"/>
        <w:tblW w:w="8317" w:type="dxa"/>
        <w:jc w:val="center"/>
        <w:tblLayout w:type="fixed"/>
        <w:tblCellMar>
          <w:top w:w="0" w:type="dxa"/>
          <w:left w:w="0" w:type="dxa"/>
          <w:bottom w:w="0" w:type="dxa"/>
          <w:right w:w="0" w:type="dxa"/>
        </w:tblCellMar>
      </w:tblPr>
      <w:tblGrid>
        <w:gridCol w:w="1182"/>
        <w:gridCol w:w="738"/>
        <w:gridCol w:w="1248"/>
        <w:gridCol w:w="1176"/>
        <w:gridCol w:w="1644"/>
        <w:gridCol w:w="1176"/>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三级指标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12</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资金到位率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预算执行率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资金使用合规性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8</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管理制度健全性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制度执行有效性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color w:val="000000"/>
                <w:sz w:val="24"/>
                <w:highlight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hint="default"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20</w:t>
            </w:r>
          </w:p>
        </w:tc>
      </w:tr>
    </w:tbl>
    <w:p>
      <w:pPr>
        <w:spacing w:line="540" w:lineRule="exact"/>
        <w:ind w:firstLine="567" w:firstLineChars="181"/>
        <w:rPr>
          <w:rFonts w:hint="eastAsia" w:ascii="楷体" w:hAnsi="楷体" w:eastAsia="楷体" w:cs="楷体"/>
          <w:b/>
          <w:spacing w:val="-4"/>
          <w:sz w:val="32"/>
          <w:szCs w:val="32"/>
          <w:highlight w:val="none"/>
        </w:rPr>
      </w:pPr>
      <w:r>
        <w:rPr>
          <w:rFonts w:hint="eastAsia" w:ascii="楷体" w:hAnsi="楷体" w:eastAsia="楷体" w:cs="楷体"/>
          <w:b/>
          <w:spacing w:val="-4"/>
          <w:sz w:val="32"/>
          <w:szCs w:val="32"/>
          <w:highlight w:val="none"/>
        </w:rPr>
        <w:t>（三）项目产出情况。</w:t>
      </w:r>
    </w:p>
    <w:p>
      <w:pPr>
        <w:ind w:firstLine="640"/>
        <w:rPr>
          <w:rFonts w:hint="eastAsia" w:ascii="仿宋" w:hAnsi="仿宋" w:eastAsia="仿宋" w:cs="仿宋"/>
          <w:color w:val="000000"/>
          <w:sz w:val="32"/>
          <w:szCs w:val="32"/>
          <w:highlight w:val="none"/>
          <w:u w:color="000000"/>
          <w:lang w:val="zh-TW" w:eastAsia="zh-TW"/>
        </w:rPr>
      </w:pPr>
      <w:r>
        <w:rPr>
          <w:rFonts w:hint="eastAsia" w:ascii="仿宋" w:hAnsi="仿宋" w:eastAsia="仿宋" w:cs="仿宋"/>
          <w:color w:val="000000"/>
          <w:sz w:val="32"/>
          <w:szCs w:val="32"/>
          <w:highlight w:val="none"/>
          <w:u w:color="000000"/>
          <w:lang w:val="zh-TW" w:eastAsia="zh-TW"/>
        </w:rPr>
        <w:t>项目</w:t>
      </w:r>
      <w:r>
        <w:rPr>
          <w:rFonts w:hint="eastAsia" w:ascii="仿宋" w:hAnsi="仿宋" w:eastAsia="仿宋" w:cs="仿宋"/>
          <w:sz w:val="32"/>
          <w:szCs w:val="32"/>
          <w:highlight w:val="none"/>
        </w:rPr>
        <w:t>产出</w:t>
      </w:r>
      <w:r>
        <w:rPr>
          <w:rFonts w:hint="eastAsia" w:ascii="仿宋" w:hAnsi="仿宋" w:eastAsia="仿宋" w:cs="仿宋"/>
          <w:color w:val="000000"/>
          <w:sz w:val="32"/>
          <w:szCs w:val="32"/>
          <w:highlight w:val="none"/>
          <w:u w:color="000000"/>
          <w:lang w:val="zh-TW" w:eastAsia="zh-TW"/>
        </w:rPr>
        <w:t>类指标由</w:t>
      </w:r>
      <w:r>
        <w:rPr>
          <w:rFonts w:hint="eastAsia" w:ascii="仿宋" w:hAnsi="仿宋" w:eastAsia="仿宋" w:cs="仿宋"/>
          <w:color w:val="000000"/>
          <w:sz w:val="32"/>
          <w:szCs w:val="32"/>
          <w:highlight w:val="none"/>
          <w:u w:color="000000"/>
        </w:rPr>
        <w:t>4</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lang w:val="zh-TW"/>
        </w:rPr>
        <w:t>二</w:t>
      </w:r>
      <w:r>
        <w:rPr>
          <w:rFonts w:hint="eastAsia" w:ascii="仿宋" w:hAnsi="仿宋" w:eastAsia="仿宋" w:cs="仿宋"/>
          <w:color w:val="000000"/>
          <w:sz w:val="32"/>
          <w:szCs w:val="32"/>
          <w:highlight w:val="none"/>
          <w:u w:color="000000"/>
          <w:lang w:val="zh-TW" w:eastAsia="zh-TW"/>
        </w:rPr>
        <w:t>级指标和</w:t>
      </w:r>
      <w:r>
        <w:rPr>
          <w:rFonts w:hint="eastAsia" w:ascii="仿宋" w:hAnsi="仿宋" w:eastAsia="仿宋" w:cs="仿宋"/>
          <w:color w:val="000000"/>
          <w:sz w:val="32"/>
          <w:szCs w:val="32"/>
          <w:highlight w:val="none"/>
          <w:u w:color="000000"/>
          <w:lang w:val="en-US" w:eastAsia="zh-CN"/>
        </w:rPr>
        <w:t>13</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rPr>
        <w:t>三</w:t>
      </w:r>
      <w:r>
        <w:rPr>
          <w:rFonts w:hint="eastAsia" w:ascii="仿宋" w:hAnsi="仿宋" w:eastAsia="仿宋" w:cs="仿宋"/>
          <w:color w:val="000000"/>
          <w:sz w:val="32"/>
          <w:szCs w:val="32"/>
          <w:highlight w:val="none"/>
          <w:u w:color="000000"/>
          <w:lang w:val="zh-TW" w:eastAsia="zh-TW"/>
        </w:rPr>
        <w:t>级指标构成，权重分</w:t>
      </w:r>
      <w:r>
        <w:rPr>
          <w:rFonts w:hint="eastAsia" w:ascii="仿宋" w:hAnsi="仿宋" w:eastAsia="仿宋" w:cs="仿宋"/>
          <w:color w:val="000000"/>
          <w:sz w:val="32"/>
          <w:szCs w:val="32"/>
          <w:highlight w:val="none"/>
          <w:u w:color="000000"/>
          <w:lang w:val="en-US" w:eastAsia="zh-CN"/>
        </w:rPr>
        <w:t>50</w:t>
      </w:r>
      <w:r>
        <w:rPr>
          <w:rFonts w:hint="eastAsia" w:ascii="仿宋" w:hAnsi="仿宋" w:eastAsia="仿宋" w:cs="仿宋"/>
          <w:color w:val="000000"/>
          <w:sz w:val="32"/>
          <w:szCs w:val="32"/>
          <w:highlight w:val="none"/>
          <w:u w:color="000000"/>
          <w:lang w:val="zh-TW" w:eastAsia="zh-TW"/>
        </w:rPr>
        <w:t>分，实际得分</w:t>
      </w:r>
      <w:r>
        <w:rPr>
          <w:rFonts w:hint="eastAsia" w:ascii="仿宋" w:hAnsi="仿宋" w:eastAsia="仿宋" w:cs="仿宋"/>
          <w:color w:val="000000"/>
          <w:sz w:val="32"/>
          <w:szCs w:val="32"/>
          <w:highlight w:val="none"/>
          <w:u w:color="000000"/>
          <w:lang w:val="en-US" w:eastAsia="zh-CN"/>
        </w:rPr>
        <w:t>47.82</w:t>
      </w:r>
      <w:r>
        <w:rPr>
          <w:rFonts w:hint="eastAsia" w:ascii="仿宋" w:hAnsi="仿宋" w:eastAsia="仿宋" w:cs="仿宋"/>
          <w:color w:val="000000"/>
          <w:sz w:val="32"/>
          <w:szCs w:val="32"/>
          <w:highlight w:val="none"/>
          <w:u w:color="000000"/>
          <w:lang w:val="zh-TW" w:eastAsia="zh-TW"/>
        </w:rPr>
        <w:t>分</w:t>
      </w:r>
      <w:r>
        <w:rPr>
          <w:rFonts w:hint="eastAsia" w:ascii="仿宋" w:hAnsi="仿宋" w:eastAsia="仿宋" w:cs="仿宋"/>
          <w:color w:val="000000"/>
          <w:sz w:val="32"/>
          <w:szCs w:val="32"/>
          <w:highlight w:val="none"/>
          <w:u w:color="000000"/>
          <w:lang w:val="zh-TW"/>
        </w:rPr>
        <w:t>，</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4-3</w:t>
      </w:r>
      <w:r>
        <w:rPr>
          <w:rFonts w:hint="eastAsia" w:ascii="仿宋" w:hAnsi="仿宋" w:eastAsia="仿宋" w:cs="仿宋"/>
          <w:color w:val="000000"/>
          <w:sz w:val="32"/>
          <w:szCs w:val="32"/>
          <w:highlight w:val="none"/>
          <w:u w:color="000000"/>
          <w:lang w:val="zh-TW" w:eastAsia="zh-TW"/>
        </w:rPr>
        <w:t>所示：</w:t>
      </w:r>
    </w:p>
    <w:p>
      <w:pPr>
        <w:keepNext/>
        <w:keepLines/>
        <w:ind w:firstLine="562"/>
        <w:jc w:val="center"/>
        <w:rPr>
          <w:rFonts w:hint="eastAsia" w:ascii="仿宋" w:hAnsi="仿宋" w:eastAsia="仿宋" w:cs="仿宋"/>
          <w:b/>
          <w:bCs/>
          <w:highlight w:val="none"/>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4-3</w:t>
      </w:r>
      <w:r>
        <w:rPr>
          <w:rFonts w:hint="eastAsia" w:ascii="仿宋" w:hAnsi="仿宋" w:eastAsia="仿宋" w:cs="仿宋"/>
          <w:b/>
          <w:bCs/>
          <w:highlight w:val="none"/>
        </w:rPr>
        <w:t>项目产出</w:t>
      </w:r>
      <w:r>
        <w:rPr>
          <w:rFonts w:hint="eastAsia" w:ascii="仿宋" w:hAnsi="仿宋" w:eastAsia="仿宋" w:cs="仿宋"/>
          <w:b/>
          <w:bCs/>
          <w:color w:val="000000"/>
          <w:highlight w:val="none"/>
          <w:u w:color="000000"/>
          <w:lang w:val="zh-TW" w:eastAsia="zh-TW"/>
        </w:rPr>
        <w:t>指标及分值</w:t>
      </w:r>
      <w:r>
        <w:rPr>
          <w:rFonts w:hint="eastAsia" w:ascii="仿宋" w:hAnsi="仿宋" w:eastAsia="仿宋" w:cs="仿宋"/>
          <w:b/>
          <w:bCs/>
          <w:color w:val="000000"/>
          <w:highlight w:val="none"/>
          <w:u w:color="000000"/>
        </w:rPr>
        <w:t>情况</w:t>
      </w:r>
    </w:p>
    <w:tbl>
      <w:tblPr>
        <w:tblStyle w:val="20"/>
        <w:tblW w:w="8891" w:type="dxa"/>
        <w:tblInd w:w="0" w:type="dxa"/>
        <w:tblLayout w:type="fixed"/>
        <w:tblCellMar>
          <w:top w:w="0" w:type="dxa"/>
          <w:left w:w="0" w:type="dxa"/>
          <w:bottom w:w="0" w:type="dxa"/>
          <w:right w:w="0" w:type="dxa"/>
        </w:tblCellMar>
      </w:tblPr>
      <w:tblGrid>
        <w:gridCol w:w="1062"/>
        <w:gridCol w:w="1016"/>
        <w:gridCol w:w="2468"/>
        <w:gridCol w:w="1222"/>
        <w:gridCol w:w="522"/>
        <w:gridCol w:w="1440"/>
        <w:gridCol w:w="716"/>
        <w:gridCol w:w="445"/>
      </w:tblGrid>
      <w:tr>
        <w:tblPrEx>
          <w:tblCellMar>
            <w:top w:w="0" w:type="dxa"/>
            <w:left w:w="0" w:type="dxa"/>
            <w:bottom w:w="0" w:type="dxa"/>
            <w:right w:w="0" w:type="dxa"/>
          </w:tblCellMar>
        </w:tblPrEx>
        <w:trPr>
          <w:trHeight w:val="23" w:hRule="atLeast"/>
        </w:trPr>
        <w:tc>
          <w:tcPr>
            <w:tcW w:w="10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一级指标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二级指标</w:t>
            </w:r>
          </w:p>
        </w:tc>
        <w:tc>
          <w:tcPr>
            <w:tcW w:w="246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三级指标</w:t>
            </w:r>
          </w:p>
        </w:tc>
        <w:tc>
          <w:tcPr>
            <w:tcW w:w="12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年度指标值</w:t>
            </w:r>
          </w:p>
        </w:tc>
        <w:tc>
          <w:tcPr>
            <w:tcW w:w="5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标杆分值</w:t>
            </w:r>
          </w:p>
        </w:tc>
        <w:tc>
          <w:tcPr>
            <w:tcW w:w="14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全年实际完成值</w:t>
            </w:r>
          </w:p>
        </w:tc>
        <w:tc>
          <w:tcPr>
            <w:tcW w:w="7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指标得分</w:t>
            </w:r>
          </w:p>
        </w:tc>
        <w:tc>
          <w:tcPr>
            <w:tcW w:w="4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备注</w:t>
            </w:r>
          </w:p>
        </w:tc>
      </w:tr>
      <w:tr>
        <w:tblPrEx>
          <w:tblCellMar>
            <w:top w:w="0" w:type="dxa"/>
            <w:left w:w="0" w:type="dxa"/>
            <w:bottom w:w="0" w:type="dxa"/>
            <w:right w:w="0" w:type="dxa"/>
          </w:tblCellMar>
        </w:tblPrEx>
        <w:trPr>
          <w:trHeight w:val="23" w:hRule="atLeast"/>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产出</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数量指标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举办安全培训班期数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&gt;=45期</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54期</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完成安全培训学员人次</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&gt;=4000人</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5385人</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开展安全技术咨询服务项目数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&gt;=10个</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12个</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安全生产设备及安全防护用品检测检验报告数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&gt;=600份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62份</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0.1</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3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采购检验检测设备数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&gt;=10台/套</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46台/套</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质量指标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检验检测报告准确率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&gt;=95%</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安全生产培训覆盖率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90%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检验检测设备采购验收合格率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&gt;=95%</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时效指标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检验检测设备采购期限</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2022年12月</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2022年12月</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3</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安全培训按期完成率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成本指标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采购检验检测设备费</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&lt;=439.50万元</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1</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195.1万元</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highlight w:val="none"/>
              </w:rPr>
              <w:t>0.44</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培训成本性支出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&lt;=1000万元</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762.93万元</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2.29</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安全技术咨询服务成本性支出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&lt;=436.22万元</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435.27万元</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2.99</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57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50</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47.82</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bl>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（四）项目效益情况。</w:t>
      </w:r>
    </w:p>
    <w:p>
      <w:pPr>
        <w:ind w:firstLine="640"/>
        <w:rPr>
          <w:rFonts w:hint="eastAsia" w:ascii="仿宋" w:hAnsi="仿宋" w:eastAsia="仿宋" w:cs="仿宋"/>
          <w:color w:val="000000"/>
          <w:sz w:val="32"/>
          <w:szCs w:val="32"/>
          <w:highlight w:val="none"/>
          <w:u w:color="000000"/>
          <w:lang w:val="zh-TW" w:eastAsia="zh-TW"/>
        </w:rPr>
      </w:pPr>
      <w:r>
        <w:rPr>
          <w:rFonts w:hint="eastAsia" w:ascii="仿宋" w:hAnsi="仿宋" w:eastAsia="仿宋" w:cs="仿宋"/>
          <w:color w:val="000000"/>
          <w:sz w:val="32"/>
          <w:szCs w:val="32"/>
          <w:highlight w:val="none"/>
          <w:u w:color="000000"/>
          <w:lang w:val="zh-TW" w:eastAsia="zh-TW"/>
        </w:rPr>
        <w:t>项目</w:t>
      </w:r>
      <w:r>
        <w:rPr>
          <w:rFonts w:hint="eastAsia" w:ascii="仿宋" w:hAnsi="仿宋" w:eastAsia="仿宋" w:cs="仿宋"/>
          <w:sz w:val="32"/>
          <w:szCs w:val="32"/>
          <w:highlight w:val="none"/>
        </w:rPr>
        <w:t>效益</w:t>
      </w:r>
      <w:r>
        <w:rPr>
          <w:rFonts w:hint="eastAsia" w:ascii="仿宋" w:hAnsi="仿宋" w:eastAsia="仿宋" w:cs="仿宋"/>
          <w:color w:val="000000"/>
          <w:sz w:val="32"/>
          <w:szCs w:val="32"/>
          <w:highlight w:val="none"/>
          <w:u w:color="000000"/>
          <w:lang w:val="zh-TW" w:eastAsia="zh-TW"/>
        </w:rPr>
        <w:t>类指标由</w:t>
      </w:r>
      <w:r>
        <w:rPr>
          <w:rFonts w:hint="eastAsia" w:ascii="仿宋" w:hAnsi="仿宋" w:eastAsia="仿宋" w:cs="仿宋"/>
          <w:color w:val="000000"/>
          <w:sz w:val="32"/>
          <w:szCs w:val="32"/>
          <w:highlight w:val="none"/>
          <w:u w:color="000000"/>
          <w:lang w:val="en-US" w:eastAsia="zh-CN"/>
        </w:rPr>
        <w:t>3</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lang w:val="zh-TW"/>
        </w:rPr>
        <w:t>二</w:t>
      </w:r>
      <w:r>
        <w:rPr>
          <w:rFonts w:hint="eastAsia" w:ascii="仿宋" w:hAnsi="仿宋" w:eastAsia="仿宋" w:cs="仿宋"/>
          <w:color w:val="000000"/>
          <w:sz w:val="32"/>
          <w:szCs w:val="32"/>
          <w:highlight w:val="none"/>
          <w:u w:color="000000"/>
          <w:lang w:val="zh-TW" w:eastAsia="zh-TW"/>
        </w:rPr>
        <w:t>级指标和</w:t>
      </w:r>
      <w:r>
        <w:rPr>
          <w:rFonts w:hint="eastAsia" w:ascii="仿宋" w:hAnsi="仿宋" w:eastAsia="仿宋" w:cs="仿宋"/>
          <w:color w:val="000000"/>
          <w:sz w:val="32"/>
          <w:szCs w:val="32"/>
          <w:highlight w:val="none"/>
          <w:u w:color="000000"/>
          <w:lang w:val="en-US" w:eastAsia="zh-CN"/>
        </w:rPr>
        <w:t>4</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rPr>
        <w:t>三</w:t>
      </w:r>
      <w:r>
        <w:rPr>
          <w:rFonts w:hint="eastAsia" w:ascii="仿宋" w:hAnsi="仿宋" w:eastAsia="仿宋" w:cs="仿宋"/>
          <w:color w:val="000000"/>
          <w:sz w:val="32"/>
          <w:szCs w:val="32"/>
          <w:highlight w:val="none"/>
          <w:u w:color="000000"/>
          <w:lang w:val="zh-TW" w:eastAsia="zh-TW"/>
        </w:rPr>
        <w:t>级指标构成，权重分</w:t>
      </w:r>
      <w:r>
        <w:rPr>
          <w:rFonts w:hint="eastAsia" w:ascii="仿宋" w:hAnsi="仿宋" w:eastAsia="仿宋" w:cs="仿宋"/>
          <w:color w:val="000000"/>
          <w:sz w:val="32"/>
          <w:szCs w:val="32"/>
          <w:highlight w:val="none"/>
          <w:u w:color="000000"/>
          <w:lang w:val="en-US" w:eastAsia="zh-CN"/>
        </w:rPr>
        <w:t>4</w:t>
      </w:r>
      <w:r>
        <w:rPr>
          <w:rFonts w:hint="eastAsia" w:ascii="仿宋" w:hAnsi="仿宋" w:eastAsia="仿宋" w:cs="仿宋"/>
          <w:color w:val="000000"/>
          <w:sz w:val="32"/>
          <w:szCs w:val="32"/>
          <w:highlight w:val="none"/>
          <w:u w:color="000000"/>
        </w:rPr>
        <w:t>0</w:t>
      </w:r>
      <w:r>
        <w:rPr>
          <w:rFonts w:hint="eastAsia" w:ascii="仿宋" w:hAnsi="仿宋" w:eastAsia="仿宋" w:cs="仿宋"/>
          <w:color w:val="000000"/>
          <w:sz w:val="32"/>
          <w:szCs w:val="32"/>
          <w:highlight w:val="none"/>
          <w:u w:color="000000"/>
          <w:lang w:val="zh-TW" w:eastAsia="zh-TW"/>
        </w:rPr>
        <w:t>分，实际得分</w:t>
      </w:r>
      <w:r>
        <w:rPr>
          <w:rFonts w:hint="eastAsia" w:ascii="仿宋" w:hAnsi="仿宋" w:eastAsia="仿宋" w:cs="仿宋"/>
          <w:color w:val="000000"/>
          <w:sz w:val="32"/>
          <w:szCs w:val="32"/>
          <w:highlight w:val="none"/>
          <w:u w:color="000000"/>
          <w:lang w:val="en-US" w:eastAsia="zh-CN"/>
        </w:rPr>
        <w:t>40</w:t>
      </w:r>
      <w:r>
        <w:rPr>
          <w:rFonts w:hint="eastAsia" w:ascii="仿宋" w:hAnsi="仿宋" w:eastAsia="仿宋" w:cs="仿宋"/>
          <w:color w:val="000000"/>
          <w:sz w:val="32"/>
          <w:szCs w:val="32"/>
          <w:highlight w:val="none"/>
          <w:u w:color="000000"/>
          <w:lang w:val="zh-TW" w:eastAsia="zh-TW"/>
        </w:rPr>
        <w:t>分</w:t>
      </w:r>
      <w:r>
        <w:rPr>
          <w:rFonts w:hint="eastAsia" w:ascii="仿宋" w:hAnsi="仿宋" w:eastAsia="仿宋" w:cs="仿宋"/>
          <w:color w:val="000000"/>
          <w:sz w:val="32"/>
          <w:szCs w:val="32"/>
          <w:highlight w:val="none"/>
          <w:u w:color="000000"/>
          <w:lang w:val="zh-TW"/>
        </w:rPr>
        <w:t>，</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4-4</w:t>
      </w:r>
      <w:r>
        <w:rPr>
          <w:rFonts w:hint="eastAsia" w:ascii="仿宋" w:hAnsi="仿宋" w:eastAsia="仿宋" w:cs="仿宋"/>
          <w:color w:val="000000"/>
          <w:sz w:val="32"/>
          <w:szCs w:val="32"/>
          <w:highlight w:val="none"/>
          <w:u w:color="000000"/>
          <w:lang w:val="zh-TW" w:eastAsia="zh-TW"/>
        </w:rPr>
        <w:t>所示：</w:t>
      </w:r>
    </w:p>
    <w:p>
      <w:pPr>
        <w:keepNext/>
        <w:keepLines/>
        <w:ind w:firstLine="562"/>
        <w:jc w:val="center"/>
        <w:rPr>
          <w:rFonts w:hint="eastAsia" w:ascii="仿宋" w:hAnsi="仿宋" w:eastAsia="仿宋" w:cs="仿宋"/>
          <w:highlight w:val="none"/>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4-4</w:t>
      </w:r>
      <w:r>
        <w:rPr>
          <w:rFonts w:hint="eastAsia" w:ascii="仿宋" w:hAnsi="仿宋" w:eastAsia="仿宋" w:cs="仿宋"/>
          <w:b/>
          <w:bCs/>
          <w:highlight w:val="none"/>
        </w:rPr>
        <w:t>项目效益</w:t>
      </w:r>
      <w:r>
        <w:rPr>
          <w:rFonts w:hint="eastAsia" w:ascii="仿宋" w:hAnsi="仿宋" w:eastAsia="仿宋" w:cs="仿宋"/>
          <w:b/>
          <w:bCs/>
          <w:color w:val="000000"/>
          <w:highlight w:val="none"/>
          <w:u w:color="000000"/>
          <w:lang w:val="zh-TW" w:eastAsia="zh-TW"/>
        </w:rPr>
        <w:t>指标及分值</w:t>
      </w:r>
      <w:r>
        <w:rPr>
          <w:rFonts w:hint="eastAsia" w:ascii="仿宋" w:hAnsi="仿宋" w:eastAsia="仿宋" w:cs="仿宋"/>
          <w:b/>
          <w:bCs/>
          <w:color w:val="000000"/>
          <w:highlight w:val="none"/>
          <w:u w:color="000000"/>
        </w:rPr>
        <w:t>情况</w:t>
      </w:r>
    </w:p>
    <w:tbl>
      <w:tblPr>
        <w:tblStyle w:val="20"/>
        <w:tblW w:w="8832" w:type="dxa"/>
        <w:tblInd w:w="0" w:type="dxa"/>
        <w:tblLayout w:type="fixed"/>
        <w:tblCellMar>
          <w:top w:w="0" w:type="dxa"/>
          <w:left w:w="0" w:type="dxa"/>
          <w:bottom w:w="0" w:type="dxa"/>
          <w:right w:w="0" w:type="dxa"/>
        </w:tblCellMar>
      </w:tblPr>
      <w:tblGrid>
        <w:gridCol w:w="678"/>
        <w:gridCol w:w="1213"/>
        <w:gridCol w:w="2137"/>
        <w:gridCol w:w="1400"/>
        <w:gridCol w:w="1087"/>
        <w:gridCol w:w="1095"/>
        <w:gridCol w:w="547"/>
        <w:gridCol w:w="675"/>
      </w:tblGrid>
      <w:tr>
        <w:tblPrEx>
          <w:tblCellMar>
            <w:top w:w="0" w:type="dxa"/>
            <w:left w:w="0" w:type="dxa"/>
            <w:bottom w:w="0" w:type="dxa"/>
            <w:right w:w="0" w:type="dxa"/>
          </w:tblCellMar>
        </w:tblPrEx>
        <w:trPr>
          <w:trHeight w:val="23"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一级指标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二级指标</w:t>
            </w:r>
          </w:p>
        </w:tc>
        <w:tc>
          <w:tcPr>
            <w:tcW w:w="21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三级指标</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年度指标值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标杆分值</w:t>
            </w:r>
          </w:p>
        </w:tc>
        <w:tc>
          <w:tcPr>
            <w:tcW w:w="10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全年实际完成值</w:t>
            </w:r>
          </w:p>
        </w:tc>
        <w:tc>
          <w:tcPr>
            <w:tcW w:w="54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指标得分</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备注</w:t>
            </w:r>
          </w:p>
        </w:tc>
      </w:tr>
      <w:tr>
        <w:tblPrEx>
          <w:tblCellMar>
            <w:top w:w="0" w:type="dxa"/>
            <w:left w:w="0" w:type="dxa"/>
            <w:bottom w:w="0" w:type="dxa"/>
            <w:right w:w="0" w:type="dxa"/>
          </w:tblCellMar>
        </w:tblPrEx>
        <w:trPr>
          <w:trHeight w:val="23" w:hRule="atLeast"/>
        </w:trPr>
        <w:tc>
          <w:tcPr>
            <w:tcW w:w="67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效益</w:t>
            </w: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经济效益指标</w:t>
            </w: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设备利用率</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社会效益指标</w:t>
            </w: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提高全区安全生产理论政策和技术基础研究水平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不断提高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不断提高</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21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满意度指标</w:t>
            </w: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培训学员满意度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67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21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服务企业满意度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542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合计</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40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40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bl>
    <w:p>
      <w:pPr>
        <w:numPr>
          <w:ilvl w:val="0"/>
          <w:numId w:val="0"/>
        </w:numPr>
        <w:spacing w:line="540" w:lineRule="exact"/>
        <w:rPr>
          <w:rStyle w:val="22"/>
          <w:rFonts w:hint="eastAsia" w:ascii="黑体" w:hAnsi="黑体" w:eastAsia="黑体" w:cs="黑体"/>
          <w:b w:val="0"/>
          <w:spacing w:val="-4"/>
          <w:sz w:val="32"/>
          <w:szCs w:val="32"/>
          <w:highlight w:val="none"/>
        </w:rPr>
      </w:pPr>
      <w:r>
        <w:rPr>
          <w:rStyle w:val="22"/>
          <w:rFonts w:hint="eastAsia" w:ascii="黑体" w:hAnsi="黑体" w:eastAsia="黑体" w:cs="黑体"/>
          <w:b w:val="0"/>
          <w:spacing w:val="-4"/>
          <w:sz w:val="32"/>
          <w:szCs w:val="32"/>
          <w:highlight w:val="none"/>
          <w:lang w:val="en-US" w:eastAsia="zh-CN"/>
        </w:rPr>
        <w:t xml:space="preserve">    五、</w:t>
      </w:r>
      <w:r>
        <w:rPr>
          <w:rStyle w:val="22"/>
          <w:rFonts w:hint="eastAsia" w:ascii="黑体" w:hAnsi="黑体" w:eastAsia="黑体" w:cs="黑体"/>
          <w:b w:val="0"/>
          <w:spacing w:val="-4"/>
          <w:sz w:val="32"/>
          <w:szCs w:val="32"/>
          <w:highlight w:val="none"/>
        </w:rPr>
        <w:t>主要经验及做法、存在的问题及原因分析</w:t>
      </w:r>
    </w:p>
    <w:p>
      <w:pPr>
        <w:numPr>
          <w:ilvl w:val="0"/>
          <w:numId w:val="0"/>
        </w:numPr>
        <w:spacing w:line="540" w:lineRule="exact"/>
        <w:rPr>
          <w:rStyle w:val="22"/>
          <w:rFonts w:hint="eastAsia" w:ascii="黑体" w:hAnsi="黑体" w:eastAsia="黑体"/>
          <w:b/>
          <w:bCs w:val="0"/>
          <w:spacing w:val="-4"/>
          <w:sz w:val="32"/>
          <w:szCs w:val="32"/>
          <w:highlight w:val="none"/>
          <w:lang w:eastAsia="zh-CN"/>
        </w:rPr>
      </w:pPr>
      <w:r>
        <w:rPr>
          <w:rStyle w:val="22"/>
          <w:rFonts w:hint="eastAsia" w:ascii="黑体" w:hAnsi="黑体" w:eastAsia="黑体"/>
          <w:b w:val="0"/>
          <w:spacing w:val="-4"/>
          <w:sz w:val="32"/>
          <w:szCs w:val="32"/>
          <w:highlight w:val="none"/>
          <w:lang w:val="en-US" w:eastAsia="zh-CN"/>
        </w:rPr>
        <w:t xml:space="preserve">    </w:t>
      </w:r>
      <w:r>
        <w:rPr>
          <w:rStyle w:val="22"/>
          <w:rFonts w:hint="eastAsia" w:ascii="楷体" w:hAnsi="楷体" w:eastAsia="楷体" w:cs="楷体"/>
          <w:b/>
          <w:bCs w:val="0"/>
          <w:spacing w:val="-4"/>
          <w:sz w:val="32"/>
          <w:szCs w:val="32"/>
          <w:highlight w:val="none"/>
          <w:lang w:eastAsia="zh-CN"/>
        </w:rPr>
        <w:t>（</w:t>
      </w:r>
      <w:r>
        <w:rPr>
          <w:rStyle w:val="22"/>
          <w:rFonts w:hint="eastAsia" w:ascii="楷体" w:hAnsi="楷体" w:eastAsia="楷体" w:cs="楷体"/>
          <w:b/>
          <w:bCs w:val="0"/>
          <w:spacing w:val="-4"/>
          <w:sz w:val="32"/>
          <w:szCs w:val="32"/>
          <w:highlight w:val="none"/>
          <w:lang w:val="en-US" w:eastAsia="zh-CN"/>
        </w:rPr>
        <w:t>一</w:t>
      </w:r>
      <w:r>
        <w:rPr>
          <w:rStyle w:val="22"/>
          <w:rFonts w:hint="eastAsia" w:ascii="楷体" w:hAnsi="楷体" w:eastAsia="楷体" w:cs="楷体"/>
          <w:b/>
          <w:bCs w:val="0"/>
          <w:spacing w:val="-4"/>
          <w:sz w:val="32"/>
          <w:szCs w:val="32"/>
          <w:highlight w:val="none"/>
          <w:lang w:eastAsia="zh-CN"/>
        </w:rPr>
        <w:t>）</w:t>
      </w:r>
      <w:r>
        <w:rPr>
          <w:rStyle w:val="22"/>
          <w:rFonts w:hint="eastAsia" w:ascii="楷体" w:hAnsi="楷体" w:eastAsia="楷体" w:cs="楷体"/>
          <w:b/>
          <w:bCs w:val="0"/>
          <w:spacing w:val="-4"/>
          <w:sz w:val="32"/>
          <w:szCs w:val="32"/>
          <w:highlight w:val="none"/>
        </w:rPr>
        <w:t>主要经验及做法</w:t>
      </w:r>
      <w:r>
        <w:rPr>
          <w:rStyle w:val="22"/>
          <w:rFonts w:hint="eastAsia" w:ascii="楷体" w:hAnsi="楷体" w:eastAsia="楷体" w:cs="楷体"/>
          <w:b/>
          <w:bCs w:val="0"/>
          <w:spacing w:val="-4"/>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结合本单位工作特点，依托安科院科研及师资力量、管理能力、办学条件，根据国家有关安全生产培训政策要求，结合企业实际，制定培训内容及方案，严格过程控制，努力提高培训质量，达到培训预期效果。</w:t>
      </w:r>
      <w:r>
        <w:rPr>
          <w:rStyle w:val="22"/>
          <w:rFonts w:hint="eastAsia" w:ascii="仿宋" w:hAnsi="仿宋" w:eastAsia="仿宋" w:cs="仿宋"/>
          <w:b w:val="0"/>
          <w:bCs/>
          <w:spacing w:val="-4"/>
          <w:sz w:val="32"/>
          <w:szCs w:val="32"/>
          <w:highlight w:val="none"/>
          <w:lang w:val="en-US" w:eastAsia="zh-CN"/>
        </w:rPr>
        <w:t>培训中心适应市场对网络培训需求，加强网络培训学院建设，积极开展线上培训，切实为企业着想降低培训成本。危化中心、检测中心主动联系业务，并为各客户提供良好的技术服务。</w:t>
      </w:r>
      <w:r>
        <w:rPr>
          <w:rFonts w:hint="eastAsia" w:ascii="仿宋" w:hAnsi="仿宋" w:eastAsia="仿宋" w:cs="仿宋"/>
          <w:sz w:val="32"/>
          <w:szCs w:val="32"/>
          <w:highlight w:val="none"/>
          <w:lang w:val="en-US" w:eastAsia="zh-CN"/>
        </w:rPr>
        <w:t>单位各部门有效配合，良好的完成了全年绩效目标。</w:t>
      </w:r>
    </w:p>
    <w:p>
      <w:pPr>
        <w:numPr>
          <w:ilvl w:val="0"/>
          <w:numId w:val="1"/>
        </w:numPr>
        <w:spacing w:line="540" w:lineRule="exact"/>
        <w:ind w:firstLine="608"/>
        <w:rPr>
          <w:rStyle w:val="22"/>
          <w:rFonts w:hint="eastAsia" w:ascii="楷体" w:hAnsi="楷体" w:eastAsia="楷体" w:cs="楷体"/>
          <w:b/>
          <w:bCs w:val="0"/>
          <w:spacing w:val="-4"/>
          <w:sz w:val="32"/>
          <w:szCs w:val="32"/>
          <w:highlight w:val="none"/>
        </w:rPr>
      </w:pPr>
      <w:r>
        <w:rPr>
          <w:rStyle w:val="22"/>
          <w:rFonts w:hint="eastAsia" w:ascii="楷体" w:hAnsi="楷体" w:eastAsia="楷体" w:cs="楷体"/>
          <w:b/>
          <w:bCs w:val="0"/>
          <w:spacing w:val="-4"/>
          <w:sz w:val="32"/>
          <w:szCs w:val="32"/>
          <w:highlight w:val="none"/>
        </w:rPr>
        <w:t>存在的问题及原因分析</w:t>
      </w:r>
    </w:p>
    <w:p>
      <w:pPr>
        <w:ind w:firstLine="640"/>
        <w:rPr>
          <w:rFonts w:hint="eastAsia" w:ascii="仿宋" w:hAnsi="仿宋" w:eastAsia="仿宋" w:cs="仿宋"/>
          <w:sz w:val="32"/>
          <w:szCs w:val="32"/>
          <w:highlight w:val="none"/>
          <w:lang w:val="en-US" w:eastAsia="zh-CN"/>
        </w:rPr>
      </w:pPr>
      <w:r>
        <w:rPr>
          <w:rStyle w:val="22"/>
          <w:rFonts w:hint="eastAsia" w:ascii="仿宋" w:hAnsi="仿宋" w:eastAsia="仿宋" w:cs="仿宋"/>
          <w:b w:val="0"/>
          <w:bCs/>
          <w:spacing w:val="-4"/>
          <w:sz w:val="32"/>
          <w:szCs w:val="32"/>
          <w:highlight w:val="none"/>
        </w:rPr>
        <w:t>存在的问题</w:t>
      </w:r>
      <w:r>
        <w:rPr>
          <w:rStyle w:val="22"/>
          <w:rFonts w:hint="eastAsia" w:ascii="仿宋" w:hAnsi="仿宋" w:eastAsia="仿宋" w:cs="仿宋"/>
          <w:b w:val="0"/>
          <w:bCs/>
          <w:spacing w:val="-4"/>
          <w:sz w:val="32"/>
          <w:szCs w:val="32"/>
          <w:highlight w:val="none"/>
          <w:lang w:eastAsia="zh-CN"/>
        </w:rPr>
        <w:t>：</w:t>
      </w:r>
      <w:r>
        <w:rPr>
          <w:rStyle w:val="22"/>
          <w:rFonts w:hint="eastAsia" w:ascii="仿宋" w:hAnsi="仿宋" w:eastAsia="仿宋" w:cs="仿宋"/>
          <w:b w:val="0"/>
          <w:bCs/>
          <w:spacing w:val="-4"/>
          <w:sz w:val="32"/>
          <w:szCs w:val="32"/>
          <w:highlight w:val="none"/>
        </w:rPr>
        <w:t>单位在科学合理编制项目预算</w:t>
      </w:r>
      <w:r>
        <w:rPr>
          <w:rStyle w:val="22"/>
          <w:rFonts w:hint="eastAsia" w:ascii="仿宋" w:hAnsi="仿宋" w:eastAsia="仿宋" w:cs="仿宋"/>
          <w:b w:val="0"/>
          <w:bCs/>
          <w:spacing w:val="-4"/>
          <w:sz w:val="32"/>
          <w:szCs w:val="32"/>
          <w:highlight w:val="none"/>
          <w:lang w:eastAsia="zh-CN"/>
        </w:rPr>
        <w:t>，设置绩效目标</w:t>
      </w:r>
      <w:r>
        <w:rPr>
          <w:rStyle w:val="22"/>
          <w:rFonts w:hint="eastAsia" w:ascii="仿宋" w:hAnsi="仿宋" w:eastAsia="仿宋" w:cs="仿宋"/>
          <w:b w:val="0"/>
          <w:bCs/>
          <w:spacing w:val="-4"/>
          <w:sz w:val="32"/>
          <w:szCs w:val="32"/>
          <w:highlight w:val="none"/>
        </w:rPr>
        <w:t>上还需要改进和完善</w:t>
      </w:r>
      <w:r>
        <w:rPr>
          <w:rStyle w:val="22"/>
          <w:rFonts w:hint="eastAsia" w:ascii="仿宋" w:hAnsi="仿宋" w:eastAsia="仿宋" w:cs="仿宋"/>
          <w:b w:val="0"/>
          <w:bCs/>
          <w:spacing w:val="-4"/>
          <w:sz w:val="32"/>
          <w:szCs w:val="32"/>
          <w:highlight w:val="none"/>
          <w:lang w:eastAsia="zh-CN"/>
        </w:rPr>
        <w:t>，在具体</w:t>
      </w:r>
      <w:r>
        <w:rPr>
          <w:rStyle w:val="22"/>
          <w:rFonts w:hint="eastAsia" w:ascii="仿宋" w:hAnsi="仿宋" w:eastAsia="仿宋" w:cs="仿宋"/>
          <w:b w:val="0"/>
          <w:bCs/>
          <w:spacing w:val="-4"/>
          <w:sz w:val="32"/>
          <w:szCs w:val="32"/>
          <w:highlight w:val="none"/>
        </w:rPr>
        <w:t>执行项目预算</w:t>
      </w:r>
      <w:r>
        <w:rPr>
          <w:rStyle w:val="22"/>
          <w:rFonts w:hint="eastAsia" w:ascii="仿宋" w:hAnsi="仿宋" w:eastAsia="仿宋" w:cs="仿宋"/>
          <w:b w:val="0"/>
          <w:bCs/>
          <w:spacing w:val="-4"/>
          <w:sz w:val="32"/>
          <w:szCs w:val="32"/>
          <w:highlight w:val="none"/>
          <w:lang w:eastAsia="zh-CN"/>
        </w:rPr>
        <w:t>过程中，还需要进一步管理、控制、及时跟进</w:t>
      </w:r>
      <w:r>
        <w:rPr>
          <w:rStyle w:val="22"/>
          <w:rFonts w:hint="eastAsia" w:ascii="仿宋" w:hAnsi="仿宋" w:eastAsia="仿宋" w:cs="仿宋"/>
          <w:b w:val="0"/>
          <w:bCs/>
          <w:spacing w:val="-4"/>
          <w:sz w:val="32"/>
          <w:szCs w:val="32"/>
          <w:highlight w:val="none"/>
        </w:rPr>
        <w:t>。</w:t>
      </w:r>
    </w:p>
    <w:p>
      <w:pPr>
        <w:numPr>
          <w:ilvl w:val="0"/>
          <w:numId w:val="0"/>
        </w:numPr>
        <w:spacing w:line="540" w:lineRule="exact"/>
        <w:ind w:leftChars="0" w:firstLine="640"/>
        <w:jc w:val="both"/>
        <w:rPr>
          <w:rFonts w:hint="eastAsia" w:ascii="Times New Roman" w:hAnsi="Times New Roman" w:eastAsia="仿宋_GB2312" w:cs="Times New Roman"/>
          <w:bCs/>
          <w:kern w:val="0"/>
          <w:sz w:val="32"/>
          <w:szCs w:val="32"/>
          <w:highlight w:val="none"/>
          <w:lang w:val="en-US" w:eastAsia="zh-CN"/>
        </w:rPr>
      </w:pPr>
      <w:r>
        <w:rPr>
          <w:rFonts w:hint="eastAsia" w:ascii="仿宋" w:hAnsi="仿宋" w:eastAsia="仿宋" w:cs="仿宋"/>
          <w:sz w:val="32"/>
          <w:szCs w:val="32"/>
          <w:highlight w:val="none"/>
          <w:lang w:val="en-US" w:eastAsia="zh-CN"/>
        </w:rPr>
        <w:t>原因分析：</w:t>
      </w:r>
      <w:r>
        <w:rPr>
          <w:rStyle w:val="22"/>
          <w:rFonts w:hint="eastAsia" w:ascii="仿宋" w:hAnsi="仿宋" w:eastAsia="仿宋" w:cs="仿宋"/>
          <w:b w:val="0"/>
          <w:bCs/>
          <w:spacing w:val="-4"/>
          <w:sz w:val="32"/>
          <w:szCs w:val="32"/>
          <w:highlight w:val="none"/>
        </w:rPr>
        <w:t>一是对项目预算编制相关文件政策学习还不够，人员培训时间少，对如何科学设定自然资源项目指标体系理解还不深入全面。二是预算编制过程中，项目</w:t>
      </w:r>
      <w:r>
        <w:rPr>
          <w:rStyle w:val="22"/>
          <w:rFonts w:hint="eastAsia" w:ascii="仿宋" w:hAnsi="仿宋" w:eastAsia="仿宋" w:cs="仿宋"/>
          <w:b w:val="0"/>
          <w:bCs/>
          <w:spacing w:val="-4"/>
          <w:sz w:val="32"/>
          <w:szCs w:val="32"/>
          <w:highlight w:val="none"/>
          <w:lang w:eastAsia="zh-CN"/>
        </w:rPr>
        <w:t>执行部门</w:t>
      </w:r>
      <w:r>
        <w:rPr>
          <w:rStyle w:val="22"/>
          <w:rFonts w:hint="eastAsia" w:ascii="仿宋" w:hAnsi="仿宋" w:eastAsia="仿宋" w:cs="仿宋"/>
          <w:b w:val="0"/>
          <w:bCs/>
          <w:spacing w:val="-4"/>
          <w:sz w:val="32"/>
          <w:szCs w:val="32"/>
          <w:highlight w:val="none"/>
        </w:rPr>
        <w:t>和财务工作还达不到完全契合，编制预算时存在脱节现象，业务生产和财务工作还需要相互加强沟通配合协调，持续改进完善关键环节。三是落实项目绩效目标管理和经费支出执行进度上，还需要建立有效精准的内控机制，加强管理，落实责任，确保项目经费的执行率。</w:t>
      </w:r>
      <w:r>
        <w:rPr>
          <w:rFonts w:hint="eastAsia" w:ascii="仿宋" w:hAnsi="仿宋" w:eastAsia="仿宋" w:cs="仿宋"/>
          <w:sz w:val="32"/>
          <w:szCs w:val="32"/>
          <w:highlight w:val="none"/>
          <w:lang w:val="en-US" w:eastAsia="zh-CN"/>
        </w:rPr>
        <w:t>四是无法及时预测因政策变化，经济、社会环境改变，造成的影响。如：按照自治区应急管理厅办公会议决定，2022年起停止我院矿山安全实验室检测业务；疫情的影响，导致检测工作无法正常开展，故检测检验报告数大幅下降。</w:t>
      </w:r>
      <w:r>
        <w:rPr>
          <w:rFonts w:hint="eastAsia" w:ascii="仿宋" w:hAnsi="仿宋" w:eastAsia="仿宋" w:cs="仿宋"/>
          <w:bCs/>
          <w:kern w:val="0"/>
          <w:sz w:val="32"/>
          <w:szCs w:val="32"/>
          <w:highlight w:val="none"/>
          <w:lang w:val="en-US" w:eastAsia="zh-CN"/>
        </w:rPr>
        <w:t xml:space="preserve">        </w:t>
      </w:r>
      <w:r>
        <w:rPr>
          <w:rFonts w:hint="eastAsia" w:ascii="Times New Roman" w:hAnsi="Times New Roman" w:eastAsia="仿宋_GB2312" w:cs="Times New Roman"/>
          <w:bCs/>
          <w:kern w:val="0"/>
          <w:sz w:val="32"/>
          <w:szCs w:val="32"/>
          <w:highlight w:val="none"/>
          <w:lang w:val="en-US" w:eastAsia="zh-CN"/>
        </w:rPr>
        <w:t xml:space="preserve">                                                            </w:t>
      </w:r>
      <w:r>
        <w:rPr>
          <w:rFonts w:hint="eastAsia" w:eastAsia="仿宋_GB2312" w:cs="Times New Roman"/>
          <w:bCs/>
          <w:kern w:val="0"/>
          <w:sz w:val="32"/>
          <w:szCs w:val="32"/>
          <w:highlight w:val="none"/>
          <w:lang w:val="en-US" w:eastAsia="zh-CN"/>
        </w:rPr>
        <w:t xml:space="preserve">      </w:t>
      </w:r>
    </w:p>
    <w:p>
      <w:pPr>
        <w:ind w:firstLine="624" w:firstLineChars="200"/>
        <w:rPr>
          <w:rStyle w:val="22"/>
          <w:rFonts w:ascii="黑体" w:hAnsi="黑体" w:eastAsia="黑体"/>
          <w:b w:val="0"/>
          <w:spacing w:val="-4"/>
          <w:sz w:val="32"/>
          <w:szCs w:val="32"/>
          <w:highlight w:val="none"/>
        </w:rPr>
      </w:pPr>
      <w:r>
        <w:rPr>
          <w:rStyle w:val="22"/>
          <w:rFonts w:hint="eastAsia" w:ascii="黑体" w:hAnsi="黑体" w:eastAsia="黑体"/>
          <w:b w:val="0"/>
          <w:spacing w:val="-4"/>
          <w:sz w:val="32"/>
          <w:szCs w:val="32"/>
          <w:highlight w:val="none"/>
          <w:lang w:eastAsia="zh-CN"/>
        </w:rPr>
        <w:t>六</w:t>
      </w:r>
      <w:r>
        <w:rPr>
          <w:rStyle w:val="22"/>
          <w:rFonts w:ascii="黑体" w:hAnsi="黑体" w:eastAsia="黑体"/>
          <w:b w:val="0"/>
          <w:spacing w:val="-4"/>
          <w:sz w:val="32"/>
          <w:szCs w:val="32"/>
          <w:highlight w:val="none"/>
        </w:rPr>
        <w:t>、有关建议</w:t>
      </w:r>
    </w:p>
    <w:p>
      <w:pPr>
        <w:spacing w:line="540" w:lineRule="exact"/>
        <w:ind w:firstLine="640" w:firstLineChars="200"/>
        <w:rPr>
          <w:rFonts w:hint="eastAsia" w:ascii="仿宋" w:hAnsi="仿宋" w:eastAsia="仿宋" w:cs="仿宋"/>
          <w:bCs/>
          <w:kern w:val="0"/>
          <w:sz w:val="32"/>
          <w:szCs w:val="32"/>
          <w:highlight w:val="none"/>
          <w:lang w:val="en-US" w:eastAsia="zh-CN"/>
        </w:rPr>
      </w:pPr>
      <w:r>
        <w:rPr>
          <w:rFonts w:hint="eastAsia" w:ascii="仿宋" w:hAnsi="仿宋" w:eastAsia="仿宋" w:cs="仿宋"/>
          <w:bCs/>
          <w:kern w:val="0"/>
          <w:sz w:val="32"/>
          <w:szCs w:val="32"/>
          <w:highlight w:val="none"/>
          <w:lang w:val="en-US" w:eastAsia="zh-CN"/>
        </w:rPr>
        <w:t>无。</w:t>
      </w:r>
    </w:p>
    <w:p>
      <w:pPr>
        <w:spacing w:line="540" w:lineRule="exact"/>
        <w:ind w:firstLine="567"/>
        <w:rPr>
          <w:rStyle w:val="22"/>
          <w:rFonts w:ascii="黑体" w:hAnsi="黑体" w:eastAsia="黑体"/>
          <w:b w:val="0"/>
          <w:spacing w:val="-4"/>
          <w:sz w:val="32"/>
          <w:szCs w:val="32"/>
          <w:highlight w:val="none"/>
        </w:rPr>
      </w:pPr>
      <w:r>
        <w:rPr>
          <w:rStyle w:val="22"/>
          <w:rFonts w:hint="eastAsia" w:ascii="黑体" w:hAnsi="黑体" w:eastAsia="黑体"/>
          <w:b w:val="0"/>
          <w:spacing w:val="-4"/>
          <w:sz w:val="32"/>
          <w:szCs w:val="32"/>
          <w:highlight w:val="none"/>
          <w:lang w:eastAsia="zh-CN"/>
        </w:rPr>
        <w:t>七</w:t>
      </w:r>
      <w:r>
        <w:rPr>
          <w:rStyle w:val="22"/>
          <w:rFonts w:hint="eastAsia" w:ascii="黑体" w:hAnsi="黑体" w:eastAsia="黑体"/>
          <w:b w:val="0"/>
          <w:spacing w:val="-4"/>
          <w:sz w:val="32"/>
          <w:szCs w:val="32"/>
          <w:highlight w:val="none"/>
        </w:rPr>
        <w:t>、其他需要说明的问题</w:t>
      </w:r>
    </w:p>
    <w:p>
      <w:pPr>
        <w:spacing w:line="540" w:lineRule="exact"/>
        <w:ind w:firstLine="567"/>
        <w:rPr>
          <w:rFonts w:hint="eastAsia" w:ascii="仿宋" w:hAnsi="仿宋" w:eastAsia="仿宋" w:cs="仿宋"/>
          <w:bCs/>
          <w:kern w:val="0"/>
          <w:sz w:val="32"/>
          <w:szCs w:val="32"/>
          <w:highlight w:val="none"/>
          <w:lang w:val="en-US" w:eastAsia="zh-CN"/>
        </w:rPr>
      </w:pPr>
      <w:r>
        <w:rPr>
          <w:rFonts w:hint="eastAsia" w:ascii="仿宋" w:hAnsi="仿宋" w:eastAsia="仿宋" w:cs="仿宋"/>
          <w:bCs/>
          <w:kern w:val="0"/>
          <w:sz w:val="32"/>
          <w:szCs w:val="32"/>
          <w:highlight w:val="none"/>
          <w:lang w:val="en-US" w:eastAsia="zh-CN"/>
        </w:rPr>
        <w:t>无其他说明内容。</w:t>
      </w:r>
    </w:p>
    <w:tbl>
      <w:tblPr>
        <w:tblStyle w:val="20"/>
        <w:tblW w:w="10080" w:type="dxa"/>
        <w:jc w:val="center"/>
        <w:tblLayout w:type="fixed"/>
        <w:tblCellMar>
          <w:top w:w="0" w:type="dxa"/>
          <w:left w:w="108" w:type="dxa"/>
          <w:bottom w:w="0" w:type="dxa"/>
          <w:right w:w="108" w:type="dxa"/>
        </w:tblCellMar>
      </w:tblPr>
      <w:tblGrid>
        <w:gridCol w:w="807"/>
        <w:gridCol w:w="683"/>
        <w:gridCol w:w="799"/>
        <w:gridCol w:w="1000"/>
        <w:gridCol w:w="1177"/>
        <w:gridCol w:w="1281"/>
        <w:gridCol w:w="1250"/>
        <w:gridCol w:w="415"/>
        <w:gridCol w:w="612"/>
        <w:gridCol w:w="625"/>
        <w:gridCol w:w="460"/>
        <w:gridCol w:w="300"/>
        <w:gridCol w:w="671"/>
      </w:tblGrid>
      <w:tr>
        <w:tblPrEx>
          <w:tblCellMar>
            <w:top w:w="0" w:type="dxa"/>
            <w:left w:w="108" w:type="dxa"/>
            <w:bottom w:w="0" w:type="dxa"/>
            <w:right w:w="108" w:type="dxa"/>
          </w:tblCellMar>
        </w:tblPrEx>
        <w:trPr>
          <w:trHeight w:val="405" w:hRule="atLeast"/>
          <w:jc w:val="center"/>
        </w:trPr>
        <w:tc>
          <w:tcPr>
            <w:tcW w:w="10080" w:type="dxa"/>
            <w:gridSpan w:val="13"/>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highlight w:val="none"/>
              </w:rPr>
            </w:pPr>
            <w:r>
              <w:rPr>
                <w:rFonts w:hint="eastAsia" w:ascii="仿宋" w:hAnsi="仿宋" w:eastAsia="仿宋" w:cs="仿宋"/>
                <w:b/>
                <w:bCs/>
                <w:color w:val="000000"/>
                <w:kern w:val="0"/>
                <w:sz w:val="32"/>
                <w:szCs w:val="32"/>
                <w:highlight w:val="none"/>
              </w:rPr>
              <w:t>项目支出绩效自评表</w:t>
            </w:r>
          </w:p>
        </w:tc>
      </w:tr>
      <w:tr>
        <w:tblPrEx>
          <w:tblCellMar>
            <w:top w:w="0" w:type="dxa"/>
            <w:left w:w="108" w:type="dxa"/>
            <w:bottom w:w="0" w:type="dxa"/>
            <w:right w:w="108" w:type="dxa"/>
          </w:tblCellMar>
        </w:tblPrEx>
        <w:trPr>
          <w:trHeight w:val="270" w:hRule="atLeast"/>
          <w:jc w:val="center"/>
        </w:trPr>
        <w:tc>
          <w:tcPr>
            <w:tcW w:w="10080" w:type="dxa"/>
            <w:gridSpan w:val="13"/>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270" w:hRule="atLeast"/>
          <w:jc w:val="center"/>
        </w:trPr>
        <w:tc>
          <w:tcPr>
            <w:tcW w:w="1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项目名称</w:t>
            </w:r>
          </w:p>
        </w:tc>
        <w:tc>
          <w:tcPr>
            <w:tcW w:w="8590"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经营税收入成本性支出（安科院）</w:t>
            </w:r>
          </w:p>
        </w:tc>
      </w:tr>
      <w:tr>
        <w:tblPrEx>
          <w:tblCellMar>
            <w:top w:w="0" w:type="dxa"/>
            <w:left w:w="108" w:type="dxa"/>
            <w:bottom w:w="0" w:type="dxa"/>
            <w:right w:w="108" w:type="dxa"/>
          </w:tblCellMar>
        </w:tblPrEx>
        <w:trPr>
          <w:trHeight w:val="642" w:hRule="atLeast"/>
          <w:jc w:val="center"/>
        </w:trPr>
        <w:tc>
          <w:tcPr>
            <w:tcW w:w="1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主管部门</w:t>
            </w:r>
          </w:p>
        </w:tc>
        <w:tc>
          <w:tcPr>
            <w:tcW w:w="425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eastAsia="宋体" w:cs="宋体"/>
                <w:i w:val="0"/>
                <w:caps w:val="0"/>
                <w:color w:val="333333"/>
                <w:spacing w:val="0"/>
                <w:sz w:val="21"/>
                <w:szCs w:val="21"/>
                <w:highlight w:val="none"/>
                <w:shd w:val="clear" w:fill="FFFFFF"/>
              </w:rPr>
              <w:t>自治区应急管理厅</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实施单位</w:t>
            </w:r>
          </w:p>
        </w:tc>
        <w:tc>
          <w:tcPr>
            <w:tcW w:w="2668" w:type="dxa"/>
            <w:gridSpan w:val="5"/>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新疆维吾尔自治区安全科学技术研究院</w:t>
            </w:r>
          </w:p>
        </w:tc>
      </w:tr>
      <w:tr>
        <w:tblPrEx>
          <w:tblCellMar>
            <w:top w:w="0" w:type="dxa"/>
            <w:left w:w="108" w:type="dxa"/>
            <w:bottom w:w="0" w:type="dxa"/>
            <w:right w:w="108" w:type="dxa"/>
          </w:tblCellMar>
        </w:tblPrEx>
        <w:trPr>
          <w:trHeight w:val="480" w:hRule="atLeast"/>
          <w:jc w:val="center"/>
        </w:trPr>
        <w:tc>
          <w:tcPr>
            <w:tcW w:w="14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项目资金</w:t>
            </w: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（万元）</w:t>
            </w: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年初预算数</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全年预算数</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全年执行数</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分值</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执行率</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得分</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年度资金总额</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1875.72</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100</w:t>
            </w:r>
            <w:r>
              <w:rPr>
                <w:rFonts w:hint="eastAsia" w:ascii="宋体" w:hAnsi="宋体" w:cs="宋体"/>
                <w:color w:val="000000"/>
                <w:kern w:val="0"/>
                <w:sz w:val="18"/>
                <w:szCs w:val="18"/>
                <w:highlight w:val="none"/>
              </w:rPr>
              <w:t>%</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1</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其中：当年财政拨款</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xml:space="preserve">     上年结转资金</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xml:space="preserve">  其他资金</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1875.72</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r>
              <w:rPr>
                <w:rFonts w:hint="eastAsia" w:ascii="宋体" w:hAnsi="宋体" w:cs="宋体"/>
                <w:color w:val="000000"/>
                <w:kern w:val="0"/>
                <w:sz w:val="18"/>
                <w:szCs w:val="18"/>
                <w:highlight w:val="none"/>
                <w:lang w:val="en-US" w:eastAsia="zh-CN"/>
              </w:rPr>
              <w:t>100</w:t>
            </w:r>
            <w:r>
              <w:rPr>
                <w:rFonts w:hint="eastAsia" w:ascii="宋体" w:hAnsi="宋体" w:cs="宋体"/>
                <w:color w:val="000000"/>
                <w:kern w:val="0"/>
                <w:sz w:val="18"/>
                <w:szCs w:val="18"/>
                <w:highlight w:val="none"/>
              </w:rPr>
              <w:t>%</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r>
      <w:tr>
        <w:tblPrEx>
          <w:tblCellMar>
            <w:top w:w="0" w:type="dxa"/>
            <w:left w:w="108" w:type="dxa"/>
            <w:bottom w:w="0" w:type="dxa"/>
            <w:right w:w="108" w:type="dxa"/>
          </w:tblCellMar>
        </w:tblPrEx>
        <w:trPr>
          <w:trHeight w:val="270" w:hRule="atLeast"/>
          <w:jc w:val="center"/>
        </w:trPr>
        <w:tc>
          <w:tcPr>
            <w:tcW w:w="8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年度总体目标</w:t>
            </w:r>
          </w:p>
        </w:tc>
        <w:tc>
          <w:tcPr>
            <w:tcW w:w="49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预期目标</w:t>
            </w:r>
          </w:p>
        </w:tc>
        <w:tc>
          <w:tcPr>
            <w:tcW w:w="433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实际完成情况</w:t>
            </w:r>
          </w:p>
        </w:tc>
      </w:tr>
      <w:tr>
        <w:tblPrEx>
          <w:tblCellMar>
            <w:top w:w="0" w:type="dxa"/>
            <w:left w:w="108" w:type="dxa"/>
            <w:bottom w:w="0" w:type="dxa"/>
            <w:right w:w="108" w:type="dxa"/>
          </w:tblCellMar>
        </w:tblPrEx>
        <w:trPr>
          <w:trHeight w:val="1215" w:hRule="atLeast"/>
          <w:jc w:val="center"/>
        </w:trPr>
        <w:tc>
          <w:tcPr>
            <w:tcW w:w="8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4940" w:type="dxa"/>
            <w:gridSpan w:val="5"/>
            <w:tcBorders>
              <w:top w:val="single" w:color="auto" w:sz="4" w:space="0"/>
              <w:left w:val="nil"/>
              <w:bottom w:val="single" w:color="auto" w:sz="4" w:space="0"/>
              <w:right w:val="single" w:color="auto" w:sz="4" w:space="0"/>
            </w:tcBorders>
            <w:shd w:val="clear" w:color="auto" w:fill="auto"/>
          </w:tcPr>
          <w:p>
            <w:pPr>
              <w:widowControl/>
              <w:spacing w:line="300" w:lineRule="exact"/>
              <w:jc w:val="left"/>
              <w:rPr>
                <w:rFonts w:ascii="宋体" w:hAnsi="宋体" w:cs="宋体"/>
                <w:color w:val="000000"/>
                <w:kern w:val="0"/>
                <w:sz w:val="20"/>
                <w:szCs w:val="20"/>
                <w:highlight w:val="none"/>
              </w:rPr>
            </w:pPr>
            <w:r>
              <w:rPr>
                <w:rFonts w:hint="eastAsia" w:ascii="宋体" w:hAnsi="宋体" w:cs="宋体"/>
                <w:color w:val="000000"/>
                <w:kern w:val="0"/>
                <w:sz w:val="18"/>
                <w:szCs w:val="18"/>
                <w:highlight w:val="none"/>
              </w:rPr>
              <w:t>自治区安全科学技术研究院面向全区安全生产领域，牢固树立为政府服务、为自治区安全生产工作服务、为企业安全生产工作服务的发展理念，不断加强全区安全生产理论政策和技术基础研究、安全生产先进实用技术成果推广、全区危险化学品登记注册和技术管理、工矿商贸企业安全生产条件、有关设备（锅炉、压力容器、电梯、防爆电器等特种设备除外）和劳动防护用品的检测检验、作业环境安全卫生监测与评价技术研究、危险源辨识与评价、安全生产事故分析和技术鉴定、相关企业安全生产条件和有关设备及劳动防护用品检验及相关培训工作，为自治区的经济建设和社会稳定发展打下坚实基础。</w:t>
            </w:r>
          </w:p>
        </w:tc>
        <w:tc>
          <w:tcPr>
            <w:tcW w:w="4333" w:type="dxa"/>
            <w:gridSpan w:val="7"/>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jc w:val="left"/>
              <w:rPr>
                <w:rFonts w:ascii="宋体" w:hAnsi="宋体" w:cs="宋体"/>
                <w:color w:val="000000"/>
                <w:kern w:val="0"/>
                <w:sz w:val="20"/>
                <w:szCs w:val="20"/>
                <w:highlight w:val="none"/>
              </w:rPr>
            </w:pPr>
            <w:r>
              <w:rPr>
                <w:rFonts w:hint="eastAsia" w:ascii="宋体" w:hAnsi="宋体" w:eastAsia="宋体" w:cs="宋体"/>
                <w:i w:val="0"/>
                <w:caps w:val="0"/>
                <w:color w:val="333333"/>
                <w:spacing w:val="0"/>
                <w:sz w:val="21"/>
                <w:szCs w:val="21"/>
                <w:highlight w:val="none"/>
                <w:shd w:val="clear" w:fill="FFFFFF"/>
              </w:rPr>
              <w:t>项目资金支持完成了企业62份检测检验报告；2022年举办54期培训班；培训人数5385人次；开展安全技术咨询服务项目数量12个；采购检验检测设备数46套；检验检测报告准确率100%；安全生产培训覆盖率&gt;=90%；检验检测设备采购验收合格率100%；检验检测设备采购期限2022年12月；安全培训按期完成率100%；采购检验检测设备费195.1万元；培训成本性支出762.93万元；安全技术咨询服务成本性支出435.27万元。本年度设备利用率达到100%，全区安全生产理论政策和技术基础研究水平逐年提升。培训学员对培训工作满意度100%。服务企业满意度100%。</w:t>
            </w:r>
          </w:p>
        </w:tc>
      </w:tr>
      <w:tr>
        <w:tblPrEx>
          <w:tblCellMar>
            <w:top w:w="0" w:type="dxa"/>
            <w:left w:w="108" w:type="dxa"/>
            <w:bottom w:w="0" w:type="dxa"/>
            <w:right w:w="108" w:type="dxa"/>
          </w:tblCellMar>
        </w:tblPrEx>
        <w:trPr>
          <w:trHeight w:val="420" w:hRule="atLeast"/>
          <w:jc w:val="center"/>
        </w:trPr>
        <w:tc>
          <w:tcPr>
            <w:tcW w:w="8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6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一级指标</w:t>
            </w:r>
          </w:p>
        </w:tc>
        <w:tc>
          <w:tcPr>
            <w:tcW w:w="7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二级指标</w:t>
            </w:r>
          </w:p>
        </w:tc>
        <w:tc>
          <w:tcPr>
            <w:tcW w:w="21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三级指标</w:t>
            </w:r>
          </w:p>
        </w:tc>
        <w:tc>
          <w:tcPr>
            <w:tcW w:w="12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年度指标值</w:t>
            </w: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实际完成值</w:t>
            </w:r>
          </w:p>
        </w:tc>
        <w:tc>
          <w:tcPr>
            <w:tcW w:w="10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10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偏差原因分析及改进措施</w:t>
            </w:r>
          </w:p>
        </w:tc>
      </w:tr>
      <w:tr>
        <w:tblPrEx>
          <w:tblCellMar>
            <w:top w:w="0" w:type="dxa"/>
            <w:left w:w="108" w:type="dxa"/>
            <w:bottom w:w="0" w:type="dxa"/>
            <w:right w:w="108" w:type="dxa"/>
          </w:tblCellMar>
        </w:tblPrEx>
        <w:trPr>
          <w:trHeight w:val="375"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2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0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525" w:hRule="atLeast"/>
          <w:jc w:val="center"/>
        </w:trPr>
        <w:tc>
          <w:tcPr>
            <w:tcW w:w="8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年度绩效指标完成情况</w:t>
            </w:r>
          </w:p>
        </w:tc>
        <w:tc>
          <w:tcPr>
            <w:tcW w:w="6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举办安全培训班期数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&gt;=45期</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54期</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完成安全培训学员人次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&gt;=4000人</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5385人</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开展安全技术咨询服务项目数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&gt;=10个</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12个</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安全生产设备及安全防护用品检测检验报告数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&gt;=600份</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62份</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0.1</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采购检验检测设备数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&gt;=10台/套</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46台/套</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检验检测报告准确率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&gt;=95%</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安全生产培训覆盖率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90%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检验检测设备采购验收合格率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&gt;=95%</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检验检测设备采购期限</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2022年12月</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2022年12月</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安全培训按期完成率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采购检验检测设备费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&lt;=439.50万元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195.1万元</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0.44</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培训成本性支出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&lt;=1000万元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762.93万元</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2.29</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安全技术咨询服务成本性支出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&lt;=436.22万元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435.27万元</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2.99</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效益指标</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设备利用率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提高全区安全生产理论政策和技术基础研究水平</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不断提高</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不断提高</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满意度指标</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培训学员满意度</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服务企业满意度</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360" w:hRule="atLeast"/>
          <w:jc w:val="center"/>
        </w:trPr>
        <w:tc>
          <w:tcPr>
            <w:tcW w:w="6997"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总分</w:t>
            </w:r>
          </w:p>
        </w:tc>
        <w:tc>
          <w:tcPr>
            <w:tcW w:w="10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lang w:val="en-US" w:eastAsia="zh-CN"/>
              </w:rPr>
              <w:t>90</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lang w:val="en-US" w:eastAsia="zh-CN"/>
              </w:rPr>
              <w:t>87.82</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cs="宋体"/>
                <w:color w:val="000000"/>
                <w:kern w:val="0"/>
                <w:sz w:val="20"/>
                <w:szCs w:val="20"/>
                <w:highlight w:val="none"/>
              </w:rPr>
            </w:pPr>
          </w:p>
        </w:tc>
      </w:tr>
    </w:tbl>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附件1</w:t>
      </w:r>
    </w:p>
    <w:p>
      <w:pPr>
        <w:pStyle w:val="12"/>
        <w:ind w:left="0" w:leftChars="0" w:firstLine="0" w:firstLineChars="0"/>
        <w:jc w:val="center"/>
        <w:rPr>
          <w:rFonts w:hint="eastAsia" w:ascii="仿宋" w:hAnsi="仿宋" w:eastAsia="仿宋" w:cs="仿宋"/>
          <w:highlight w:val="none"/>
          <w:lang w:val="en-US" w:eastAsia="zh-CN"/>
        </w:rPr>
      </w:pPr>
      <w:r>
        <w:rPr>
          <w:rFonts w:hint="eastAsia" w:ascii="仿宋" w:hAnsi="仿宋" w:cs="仿宋"/>
          <w:highlight w:val="none"/>
          <w:lang w:val="en-US" w:eastAsia="zh-CN"/>
        </w:rPr>
        <w:t>经营税收入成本性支出（安科院）指标体系评分表</w:t>
      </w:r>
    </w:p>
    <w:tbl>
      <w:tblPr>
        <w:tblStyle w:val="20"/>
        <w:tblW w:w="99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10"/>
        <w:gridCol w:w="700"/>
        <w:gridCol w:w="750"/>
        <w:gridCol w:w="1716"/>
        <w:gridCol w:w="4274"/>
        <w:gridCol w:w="893"/>
        <w:gridCol w:w="9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1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75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1716"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427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1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tc>
        <w:tc>
          <w:tcPr>
            <w:tcW w:w="70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4274"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vMerge w:val="continue"/>
            <w:shd w:val="clear" w:color="auto" w:fill="FFFFFF"/>
            <w:vAlign w:val="center"/>
          </w:tcPr>
          <w:p>
            <w:pPr>
              <w:widowControl/>
              <w:spacing w:line="0" w:lineRule="atLeast"/>
              <w:jc w:val="center"/>
              <w:rPr>
                <w:color w:val="000000"/>
                <w:kern w:val="0"/>
                <w:sz w:val="22"/>
                <w:szCs w:val="22"/>
                <w:highlight w:val="none"/>
              </w:rPr>
            </w:pP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4274"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4274"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71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0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4274"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4274"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highlight w:val="none"/>
              </w:rPr>
            </w:pPr>
          </w:p>
        </w:tc>
        <w:tc>
          <w:tcPr>
            <w:tcW w:w="700" w:type="dxa"/>
            <w:vMerge w:val="continue"/>
            <w:shd w:val="clear" w:color="auto" w:fill="FFFFFF"/>
            <w:vAlign w:val="center"/>
          </w:tcPr>
          <w:p>
            <w:pPr>
              <w:widowControl/>
              <w:spacing w:line="0" w:lineRule="atLeast"/>
              <w:jc w:val="center"/>
              <w:rPr>
                <w:color w:val="000000"/>
                <w:kern w:val="0"/>
                <w:sz w:val="22"/>
                <w:szCs w:val="22"/>
                <w:highlight w:val="none"/>
              </w:rPr>
            </w:pP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4274"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10" w:type="dxa"/>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tc>
        <w:tc>
          <w:tcPr>
            <w:tcW w:w="70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4274"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vMerge w:val="continue"/>
            <w:shd w:val="clear" w:color="auto" w:fill="FFFFFF"/>
            <w:vAlign w:val="center"/>
          </w:tcPr>
          <w:p>
            <w:pPr>
              <w:spacing w:line="0" w:lineRule="atLeast"/>
              <w:jc w:val="center"/>
              <w:rPr>
                <w:color w:val="000000"/>
                <w:kern w:val="0"/>
                <w:sz w:val="22"/>
                <w:szCs w:val="22"/>
                <w:highlight w:val="none"/>
              </w:rPr>
            </w:pP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4274"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 w:hRule="atLeast"/>
          <w:jc w:val="center"/>
        </w:trPr>
        <w:tc>
          <w:tcPr>
            <w:tcW w:w="71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过程　</w:t>
            </w:r>
          </w:p>
        </w:tc>
        <w:tc>
          <w:tcPr>
            <w:tcW w:w="70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4274"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10" w:type="dxa"/>
            <w:vMerge w:val="continue"/>
            <w:shd w:val="clear" w:color="auto" w:fill="FFFFFF"/>
            <w:vAlign w:val="center"/>
          </w:tcPr>
          <w:p>
            <w:pPr>
              <w:spacing w:line="0" w:lineRule="atLeast"/>
              <w:jc w:val="center"/>
              <w:rPr>
                <w:color w:val="000000"/>
                <w:kern w:val="0"/>
                <w:sz w:val="22"/>
                <w:szCs w:val="22"/>
              </w:rPr>
            </w:pPr>
          </w:p>
        </w:tc>
        <w:tc>
          <w:tcPr>
            <w:tcW w:w="70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89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c>
          <w:tcPr>
            <w:tcW w:w="9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5"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rPr>
            </w:pPr>
          </w:p>
        </w:tc>
        <w:tc>
          <w:tcPr>
            <w:tcW w:w="700" w:type="dxa"/>
            <w:vMerge w:val="continue"/>
            <w:shd w:val="clear" w:color="auto" w:fill="FFFFFF"/>
            <w:vAlign w:val="center"/>
          </w:tcPr>
          <w:p>
            <w:pPr>
              <w:widowControl/>
              <w:spacing w:line="0" w:lineRule="atLeast"/>
              <w:jc w:val="center"/>
              <w:rPr>
                <w:color w:val="000000"/>
                <w:kern w:val="0"/>
                <w:sz w:val="22"/>
                <w:szCs w:val="22"/>
              </w:rPr>
            </w:pP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89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c>
          <w:tcPr>
            <w:tcW w:w="9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1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20</w:t>
            </w:r>
          </w:p>
        </w:tc>
        <w:tc>
          <w:tcPr>
            <w:tcW w:w="9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19.1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8" w:hRule="atLeast"/>
          <w:jc w:val="center"/>
        </w:trPr>
        <w:tc>
          <w:tcPr>
            <w:tcW w:w="71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15</w:t>
            </w:r>
          </w:p>
        </w:tc>
        <w:tc>
          <w:tcPr>
            <w:tcW w:w="9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r>
              <w:rPr>
                <w:rFonts w:hint="eastAsia"/>
                <w:b/>
                <w:bCs/>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10" w:type="dxa"/>
            <w:vMerge w:val="continue"/>
            <w:shd w:val="clear" w:color="auto" w:fill="FFFFFF"/>
            <w:vAlign w:val="center"/>
          </w:tcPr>
          <w:p>
            <w:pPr>
              <w:spacing w:line="0" w:lineRule="atLeast"/>
              <w:jc w:val="center"/>
              <w:rPr>
                <w:color w:val="000000"/>
                <w:kern w:val="0"/>
                <w:sz w:val="22"/>
                <w:szCs w:val="22"/>
              </w:rPr>
            </w:pPr>
          </w:p>
        </w:tc>
        <w:tc>
          <w:tcPr>
            <w:tcW w:w="700"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8</w:t>
            </w:r>
          </w:p>
        </w:tc>
        <w:tc>
          <w:tcPr>
            <w:tcW w:w="9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rPr>
            </w:pPr>
          </w:p>
        </w:tc>
        <w:tc>
          <w:tcPr>
            <w:tcW w:w="70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成本节约率=[（计划成本-实际成本）/计划成本]×100%。</w:t>
            </w:r>
          </w:p>
          <w:p>
            <w:pPr>
              <w:widowControl/>
              <w:spacing w:line="0" w:lineRule="atLeast"/>
              <w:rPr>
                <w:color w:val="000000"/>
                <w:kern w:val="0"/>
                <w:sz w:val="22"/>
                <w:szCs w:val="22"/>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7</w:t>
            </w:r>
          </w:p>
        </w:tc>
        <w:tc>
          <w:tcPr>
            <w:tcW w:w="9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5.72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4" w:hRule="atLeast"/>
          <w:jc w:val="center"/>
        </w:trPr>
        <w:tc>
          <w:tcPr>
            <w:tcW w:w="71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效益</w:t>
            </w:r>
          </w:p>
        </w:tc>
        <w:tc>
          <w:tcPr>
            <w:tcW w:w="70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750" w:type="dxa"/>
            <w:shd w:val="clear" w:color="auto" w:fill="FFFFFF"/>
            <w:vAlign w:val="center"/>
          </w:tcPr>
          <w:p>
            <w:pPr>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经济和社会效益</w:t>
            </w:r>
          </w:p>
        </w:tc>
        <w:tc>
          <w:tcPr>
            <w:tcW w:w="1716" w:type="dxa"/>
            <w:shd w:val="clear" w:color="auto" w:fill="FFFFFF"/>
            <w:vAlign w:val="center"/>
          </w:tcPr>
          <w:p>
            <w:pPr>
              <w:spacing w:line="0" w:lineRule="atLeast"/>
              <w:rPr>
                <w:rFonts w:hint="eastAsia" w:eastAsia="宋体"/>
                <w:color w:val="000000"/>
                <w:kern w:val="0"/>
                <w:sz w:val="22"/>
                <w:szCs w:val="22"/>
                <w:lang w:val="en-US" w:eastAsia="zh-CN"/>
              </w:rPr>
            </w:pPr>
            <w:r>
              <w:rPr>
                <w:rFonts w:hint="eastAsia"/>
                <w:color w:val="000000"/>
                <w:kern w:val="0"/>
                <w:sz w:val="22"/>
                <w:szCs w:val="22"/>
                <w:lang w:val="en-US" w:eastAsia="zh-CN"/>
              </w:rPr>
              <w:t>主要指投入产出比，设备利用率，节本降耗情况及科技成果对社会安定、协调、健康发展等方面所起的作用于变化的评定指标。</w:t>
            </w:r>
          </w:p>
        </w:tc>
        <w:tc>
          <w:tcPr>
            <w:tcW w:w="4274" w:type="dxa"/>
            <w:shd w:val="clear" w:color="auto" w:fill="FFFFFF"/>
            <w:vAlign w:val="center"/>
          </w:tcPr>
          <w:p>
            <w:pPr>
              <w:spacing w:line="0" w:lineRule="atLeast"/>
              <w:rPr>
                <w:rFonts w:hint="eastAsia"/>
                <w:color w:val="000000"/>
                <w:kern w:val="0"/>
                <w:sz w:val="22"/>
                <w:szCs w:val="22"/>
                <w:lang w:val="en-US" w:eastAsia="zh-CN"/>
              </w:rPr>
            </w:pPr>
            <w:r>
              <w:rPr>
                <w:rFonts w:hint="eastAsia"/>
                <w:color w:val="000000"/>
                <w:kern w:val="0"/>
                <w:sz w:val="22"/>
                <w:szCs w:val="22"/>
                <w:lang w:val="en-US" w:eastAsia="zh-CN"/>
              </w:rPr>
              <w:t>①实验室仪器设备利用率大于90%</w:t>
            </w:r>
          </w:p>
          <w:p>
            <w:pPr>
              <w:spacing w:line="0" w:lineRule="atLeast"/>
              <w:rPr>
                <w:color w:val="000000"/>
                <w:kern w:val="0"/>
                <w:sz w:val="22"/>
                <w:szCs w:val="22"/>
              </w:rPr>
            </w:pPr>
            <w:r>
              <w:rPr>
                <w:rFonts w:hint="eastAsia"/>
                <w:color w:val="000000"/>
                <w:kern w:val="0"/>
                <w:sz w:val="22"/>
                <w:szCs w:val="22"/>
                <w:lang w:val="en-US" w:eastAsia="zh-CN"/>
              </w:rPr>
              <w:t>②不断提高全区安全生产理论政策和技术基础研究水平</w:t>
            </w:r>
          </w:p>
        </w:tc>
        <w:tc>
          <w:tcPr>
            <w:tcW w:w="893" w:type="dxa"/>
            <w:shd w:val="clear" w:color="auto" w:fill="FFFFFF"/>
            <w:vAlign w:val="center"/>
          </w:tcPr>
          <w:p>
            <w:pPr>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30</w:t>
            </w:r>
          </w:p>
        </w:tc>
        <w:tc>
          <w:tcPr>
            <w:tcW w:w="900" w:type="dxa"/>
            <w:shd w:val="clear" w:color="auto" w:fill="FFFFFF"/>
            <w:vAlign w:val="center"/>
          </w:tcPr>
          <w:p>
            <w:pPr>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96"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rPr>
            </w:pPr>
          </w:p>
        </w:tc>
        <w:tc>
          <w:tcPr>
            <w:tcW w:w="700" w:type="dxa"/>
            <w:vMerge w:val="continue"/>
            <w:shd w:val="clear" w:color="auto" w:fill="FFFFFF"/>
            <w:vAlign w:val="center"/>
          </w:tcPr>
          <w:p>
            <w:pPr>
              <w:widowControl/>
              <w:spacing w:line="0" w:lineRule="atLeast"/>
              <w:jc w:val="center"/>
              <w:rPr>
                <w:color w:val="000000"/>
                <w:kern w:val="0"/>
                <w:sz w:val="22"/>
                <w:szCs w:val="22"/>
              </w:rPr>
            </w:pPr>
          </w:p>
        </w:tc>
        <w:tc>
          <w:tcPr>
            <w:tcW w:w="750" w:type="dxa"/>
            <w:shd w:val="clear" w:color="auto" w:fill="FFFFFF"/>
            <w:vAlign w:val="center"/>
          </w:tcPr>
          <w:p>
            <w:pPr>
              <w:spacing w:line="0" w:lineRule="atLeast"/>
              <w:jc w:val="center"/>
              <w:rPr>
                <w:color w:val="000000"/>
                <w:kern w:val="0"/>
                <w:sz w:val="22"/>
                <w:szCs w:val="22"/>
              </w:rPr>
            </w:pPr>
            <w:r>
              <w:rPr>
                <w:color w:val="000000"/>
                <w:kern w:val="0"/>
                <w:sz w:val="22"/>
                <w:szCs w:val="22"/>
              </w:rPr>
              <w:t>满意度</w:t>
            </w:r>
          </w:p>
        </w:tc>
        <w:tc>
          <w:tcPr>
            <w:tcW w:w="1716" w:type="dxa"/>
            <w:shd w:val="clear" w:color="auto" w:fill="FFFFFF"/>
            <w:vAlign w:val="center"/>
          </w:tcPr>
          <w:p>
            <w:pPr>
              <w:spacing w:line="0" w:lineRule="atLeast"/>
              <w:rPr>
                <w:color w:val="000000"/>
                <w:kern w:val="0"/>
                <w:sz w:val="22"/>
                <w:szCs w:val="22"/>
              </w:rPr>
            </w:pPr>
            <w:r>
              <w:rPr>
                <w:color w:val="000000"/>
                <w:kern w:val="0"/>
                <w:sz w:val="22"/>
                <w:szCs w:val="22"/>
              </w:rPr>
              <w:t>社会公众或服务对象对项目实施效果的满意程度</w:t>
            </w:r>
            <w:r>
              <w:rPr>
                <w:rFonts w:hint="eastAsia"/>
                <w:color w:val="000000"/>
                <w:kern w:val="0"/>
                <w:sz w:val="22"/>
                <w:szCs w:val="22"/>
              </w:rPr>
              <w:t>。</w:t>
            </w:r>
          </w:p>
        </w:tc>
        <w:tc>
          <w:tcPr>
            <w:tcW w:w="4274" w:type="dxa"/>
            <w:shd w:val="clear" w:color="auto" w:fill="FFFFFF"/>
            <w:vAlign w:val="center"/>
          </w:tcPr>
          <w:p>
            <w:pPr>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893" w:type="dxa"/>
            <w:shd w:val="clear" w:color="auto" w:fill="FFFFFF"/>
            <w:vAlign w:val="center"/>
          </w:tcPr>
          <w:p>
            <w:pPr>
              <w:spacing w:line="0" w:lineRule="atLeast"/>
              <w:jc w:val="center"/>
              <w:rPr>
                <w:rFonts w:hint="eastAsia"/>
                <w:b/>
                <w:bCs/>
                <w:color w:val="000000"/>
                <w:kern w:val="0"/>
                <w:sz w:val="22"/>
                <w:szCs w:val="22"/>
              </w:rPr>
            </w:pPr>
            <w:r>
              <w:rPr>
                <w:rFonts w:hint="eastAsia"/>
                <w:b/>
                <w:bCs/>
                <w:color w:val="000000"/>
                <w:kern w:val="0"/>
                <w:sz w:val="22"/>
                <w:szCs w:val="22"/>
              </w:rPr>
              <w:t>10</w:t>
            </w:r>
          </w:p>
        </w:tc>
        <w:tc>
          <w:tcPr>
            <w:tcW w:w="900" w:type="dxa"/>
            <w:shd w:val="clear" w:color="auto" w:fill="FFFFFF"/>
            <w:vAlign w:val="center"/>
          </w:tcPr>
          <w:p>
            <w:pPr>
              <w:spacing w:line="0" w:lineRule="atLeast"/>
              <w:jc w:val="center"/>
              <w:rPr>
                <w:rFonts w:hint="eastAsia"/>
                <w:b/>
                <w:bCs/>
                <w:color w:val="000000"/>
                <w:kern w:val="0"/>
                <w:sz w:val="22"/>
                <w:szCs w:val="22"/>
              </w:rPr>
            </w:pPr>
            <w:r>
              <w:rPr>
                <w:rFonts w:hint="eastAsia"/>
                <w:b/>
                <w:bCs/>
                <w:color w:val="000000"/>
                <w:kern w:val="0"/>
                <w:sz w:val="22"/>
                <w:szCs w:val="22"/>
              </w:rPr>
              <w:t>10</w:t>
            </w:r>
          </w:p>
        </w:tc>
      </w:tr>
    </w:tbl>
    <w:p>
      <w:pPr>
        <w:pStyle w:val="12"/>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
    <w:panose1 w:val="02010609060101010101"/>
    <w:charset w:val="86"/>
    <w:family w:val="swiss"/>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小标宋">
    <w:altName w:val="微软雅黑"/>
    <w:panose1 w:val="03000509000000000000"/>
    <w:charset w:val="86"/>
    <w:family w:val="script"/>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16"/>
                                <w:jc w:val="center"/>
                              </w:pPr>
                              <w:r>
                                <w:fldChar w:fldCharType="begin"/>
                              </w:r>
                              <w:r>
                                <w:instrText xml:space="preserve">PAGE   \* MERGEFORMAT</w:instrText>
                              </w:r>
                              <w:r>
                                <w:fldChar w:fldCharType="separate"/>
                              </w:r>
                              <w:r>
                                <w:rPr>
                                  <w:lang w:val="zh-CN"/>
                                </w:rPr>
                                <w:t>1</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pPr>
                          <w:pStyle w:val="16"/>
                          <w:jc w:val="center"/>
                        </w:pPr>
                        <w:r>
                          <w:fldChar w:fldCharType="begin"/>
                        </w:r>
                        <w:r>
                          <w:instrText xml:space="preserve">PAGE   \* MERGEFORMAT</w:instrText>
                        </w:r>
                        <w:r>
                          <w:fldChar w:fldCharType="separate"/>
                        </w:r>
                        <w:r>
                          <w:rPr>
                            <w:lang w:val="zh-CN"/>
                          </w:rPr>
                          <w:t>1</w:t>
                        </w:r>
                        <w:r>
                          <w:fldChar w:fldCharType="end"/>
                        </w:r>
                      </w:p>
                    </w:sdtContent>
                  </w:sdt>
                  <w:p>
                    <w:pPr>
                      <w:pStyle w:val="2"/>
                    </w:pPr>
                  </w:p>
                </w:txbxContent>
              </v:textbox>
            </v:shape>
          </w:pict>
        </mc:Fallback>
      </mc:AlternateContent>
    </w:r>
  </w:p>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FC8DD4"/>
    <w:multiLevelType w:val="singleLevel"/>
    <w:tmpl w:val="63FC8DD4"/>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Mzg4ZjJhNDdiZDA0MWQ5Yzg2ZTk1NzQwY2Y5OTkifQ=="/>
  </w:docVars>
  <w:rsids>
    <w:rsidRoot w:val="00CA6457"/>
    <w:rsid w:val="000110C4"/>
    <w:rsid w:val="00037D50"/>
    <w:rsid w:val="0005416C"/>
    <w:rsid w:val="00056465"/>
    <w:rsid w:val="000A549F"/>
    <w:rsid w:val="001028C5"/>
    <w:rsid w:val="00102DFF"/>
    <w:rsid w:val="00121AE4"/>
    <w:rsid w:val="0014601B"/>
    <w:rsid w:val="00146AAD"/>
    <w:rsid w:val="00150F05"/>
    <w:rsid w:val="001B3A40"/>
    <w:rsid w:val="00246049"/>
    <w:rsid w:val="00273CCD"/>
    <w:rsid w:val="00291BC0"/>
    <w:rsid w:val="00311DBE"/>
    <w:rsid w:val="00345DD7"/>
    <w:rsid w:val="00351EFF"/>
    <w:rsid w:val="003B0577"/>
    <w:rsid w:val="003E7E58"/>
    <w:rsid w:val="003F5180"/>
    <w:rsid w:val="00414C3A"/>
    <w:rsid w:val="004366A8"/>
    <w:rsid w:val="00440AFC"/>
    <w:rsid w:val="004A05EE"/>
    <w:rsid w:val="004C38BC"/>
    <w:rsid w:val="004F1F3C"/>
    <w:rsid w:val="00502BA7"/>
    <w:rsid w:val="00513695"/>
    <w:rsid w:val="005162F1"/>
    <w:rsid w:val="00535153"/>
    <w:rsid w:val="00554F82"/>
    <w:rsid w:val="0056390D"/>
    <w:rsid w:val="005719B0"/>
    <w:rsid w:val="005A4F2E"/>
    <w:rsid w:val="005A5018"/>
    <w:rsid w:val="005C51DF"/>
    <w:rsid w:val="005D10D6"/>
    <w:rsid w:val="005E7C5E"/>
    <w:rsid w:val="0073164B"/>
    <w:rsid w:val="0075584F"/>
    <w:rsid w:val="00770051"/>
    <w:rsid w:val="00855E3A"/>
    <w:rsid w:val="0091457F"/>
    <w:rsid w:val="00922CB9"/>
    <w:rsid w:val="00925D36"/>
    <w:rsid w:val="00941FF7"/>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0010"/>
    <w:rsid w:val="00EB10A0"/>
    <w:rsid w:val="00F32FEE"/>
    <w:rsid w:val="00F97326"/>
    <w:rsid w:val="00FB10BB"/>
    <w:rsid w:val="012B0DF9"/>
    <w:rsid w:val="012C687B"/>
    <w:rsid w:val="01715CEB"/>
    <w:rsid w:val="01785675"/>
    <w:rsid w:val="017F0884"/>
    <w:rsid w:val="018A0E13"/>
    <w:rsid w:val="01B01053"/>
    <w:rsid w:val="01CF6084"/>
    <w:rsid w:val="01E84A30"/>
    <w:rsid w:val="01E96C2E"/>
    <w:rsid w:val="01FC7E4D"/>
    <w:rsid w:val="020635CD"/>
    <w:rsid w:val="021E4F0A"/>
    <w:rsid w:val="02316129"/>
    <w:rsid w:val="023A0FB7"/>
    <w:rsid w:val="025E466E"/>
    <w:rsid w:val="02A318E0"/>
    <w:rsid w:val="02BF340E"/>
    <w:rsid w:val="02C62203"/>
    <w:rsid w:val="02E1392C"/>
    <w:rsid w:val="02ED42DD"/>
    <w:rsid w:val="02F361E7"/>
    <w:rsid w:val="03182BA3"/>
    <w:rsid w:val="03747A3A"/>
    <w:rsid w:val="03851ED2"/>
    <w:rsid w:val="03C12EEB"/>
    <w:rsid w:val="03EE1902"/>
    <w:rsid w:val="03EF7383"/>
    <w:rsid w:val="03F82211"/>
    <w:rsid w:val="041E2451"/>
    <w:rsid w:val="045412A6"/>
    <w:rsid w:val="0457222B"/>
    <w:rsid w:val="048765FD"/>
    <w:rsid w:val="048C4C83"/>
    <w:rsid w:val="04A45BAD"/>
    <w:rsid w:val="04A6582D"/>
    <w:rsid w:val="04AB122C"/>
    <w:rsid w:val="04BD5452"/>
    <w:rsid w:val="04C218DA"/>
    <w:rsid w:val="04CC7C6B"/>
    <w:rsid w:val="05176DE6"/>
    <w:rsid w:val="05212B27"/>
    <w:rsid w:val="052A0005"/>
    <w:rsid w:val="05420F2F"/>
    <w:rsid w:val="05711A7E"/>
    <w:rsid w:val="057A490C"/>
    <w:rsid w:val="058B70F3"/>
    <w:rsid w:val="05A45750"/>
    <w:rsid w:val="05BC2DF7"/>
    <w:rsid w:val="05C32781"/>
    <w:rsid w:val="05D4629F"/>
    <w:rsid w:val="05D94925"/>
    <w:rsid w:val="05DE0DAD"/>
    <w:rsid w:val="05E42CB6"/>
    <w:rsid w:val="063B36C5"/>
    <w:rsid w:val="0648625E"/>
    <w:rsid w:val="06493CDF"/>
    <w:rsid w:val="06661F8B"/>
    <w:rsid w:val="06744B24"/>
    <w:rsid w:val="06921B55"/>
    <w:rsid w:val="06B93F93"/>
    <w:rsid w:val="06BB7496"/>
    <w:rsid w:val="06CB7731"/>
    <w:rsid w:val="06CE3F39"/>
    <w:rsid w:val="06DC324E"/>
    <w:rsid w:val="07005A0C"/>
    <w:rsid w:val="0701348E"/>
    <w:rsid w:val="07627B46"/>
    <w:rsid w:val="0782145E"/>
    <w:rsid w:val="078401E4"/>
    <w:rsid w:val="07963981"/>
    <w:rsid w:val="07983601"/>
    <w:rsid w:val="07CD605A"/>
    <w:rsid w:val="08180A58"/>
    <w:rsid w:val="08475D24"/>
    <w:rsid w:val="088D2C15"/>
    <w:rsid w:val="08973524"/>
    <w:rsid w:val="08A03E34"/>
    <w:rsid w:val="08B927DF"/>
    <w:rsid w:val="08EA2FAE"/>
    <w:rsid w:val="08EC42B3"/>
    <w:rsid w:val="0919607C"/>
    <w:rsid w:val="095600DF"/>
    <w:rsid w:val="0989347B"/>
    <w:rsid w:val="098C6067"/>
    <w:rsid w:val="099E62D5"/>
    <w:rsid w:val="09B86E7F"/>
    <w:rsid w:val="09BC1108"/>
    <w:rsid w:val="09C15590"/>
    <w:rsid w:val="09E35745"/>
    <w:rsid w:val="09F81E67"/>
    <w:rsid w:val="09F978E8"/>
    <w:rsid w:val="0A087F03"/>
    <w:rsid w:val="0A4F2875"/>
    <w:rsid w:val="0A5A6688"/>
    <w:rsid w:val="0A600591"/>
    <w:rsid w:val="0A9820F8"/>
    <w:rsid w:val="0A9B4EF3"/>
    <w:rsid w:val="0A9F717D"/>
    <w:rsid w:val="0AA16DFC"/>
    <w:rsid w:val="0ABD672D"/>
    <w:rsid w:val="0ACB34C4"/>
    <w:rsid w:val="0ADC375E"/>
    <w:rsid w:val="0AE578F1"/>
    <w:rsid w:val="0AF61D8A"/>
    <w:rsid w:val="0B0E7430"/>
    <w:rsid w:val="0B1E1C49"/>
    <w:rsid w:val="0B285DDC"/>
    <w:rsid w:val="0B300C6A"/>
    <w:rsid w:val="0B8912F8"/>
    <w:rsid w:val="0B95098E"/>
    <w:rsid w:val="0BA666AA"/>
    <w:rsid w:val="0BD9237C"/>
    <w:rsid w:val="0BDF4286"/>
    <w:rsid w:val="0BE71115"/>
    <w:rsid w:val="0BF254A5"/>
    <w:rsid w:val="0BF873AE"/>
    <w:rsid w:val="0C190BE7"/>
    <w:rsid w:val="0C2A0E82"/>
    <w:rsid w:val="0C840297"/>
    <w:rsid w:val="0CA5404F"/>
    <w:rsid w:val="0CB44F22"/>
    <w:rsid w:val="0CB73F69"/>
    <w:rsid w:val="0CF672D1"/>
    <w:rsid w:val="0CF74D52"/>
    <w:rsid w:val="0CFC4A5D"/>
    <w:rsid w:val="0D277AA0"/>
    <w:rsid w:val="0D5044E7"/>
    <w:rsid w:val="0D5D37FD"/>
    <w:rsid w:val="0DA306EE"/>
    <w:rsid w:val="0DC82EAC"/>
    <w:rsid w:val="0DD359BA"/>
    <w:rsid w:val="0DF35EEF"/>
    <w:rsid w:val="0DF43970"/>
    <w:rsid w:val="0DFB62C6"/>
    <w:rsid w:val="0E2B76CE"/>
    <w:rsid w:val="0E5E0E21"/>
    <w:rsid w:val="0E7D3C55"/>
    <w:rsid w:val="0E8841E4"/>
    <w:rsid w:val="0EB577E3"/>
    <w:rsid w:val="0F0C223F"/>
    <w:rsid w:val="0F0D443D"/>
    <w:rsid w:val="0F0D7CC0"/>
    <w:rsid w:val="0F180250"/>
    <w:rsid w:val="0F2C4CF2"/>
    <w:rsid w:val="0F403993"/>
    <w:rsid w:val="0F971E23"/>
    <w:rsid w:val="0FB64C56"/>
    <w:rsid w:val="0FD77389"/>
    <w:rsid w:val="100214D2"/>
    <w:rsid w:val="1012756E"/>
    <w:rsid w:val="101D58FF"/>
    <w:rsid w:val="103E38B5"/>
    <w:rsid w:val="105421D6"/>
    <w:rsid w:val="10726408"/>
    <w:rsid w:val="108E10B6"/>
    <w:rsid w:val="109A074C"/>
    <w:rsid w:val="10A100D7"/>
    <w:rsid w:val="10C14D88"/>
    <w:rsid w:val="10DC6C37"/>
    <w:rsid w:val="110000F0"/>
    <w:rsid w:val="11314143"/>
    <w:rsid w:val="11632393"/>
    <w:rsid w:val="12437483"/>
    <w:rsid w:val="127F1866"/>
    <w:rsid w:val="12A82A2A"/>
    <w:rsid w:val="12C61FDA"/>
    <w:rsid w:val="1316525D"/>
    <w:rsid w:val="132013EF"/>
    <w:rsid w:val="132135EE"/>
    <w:rsid w:val="132539EB"/>
    <w:rsid w:val="136D14EF"/>
    <w:rsid w:val="13982333"/>
    <w:rsid w:val="13F6014E"/>
    <w:rsid w:val="14250C9D"/>
    <w:rsid w:val="14671706"/>
    <w:rsid w:val="14861FBB"/>
    <w:rsid w:val="14BD2115"/>
    <w:rsid w:val="1507380E"/>
    <w:rsid w:val="15193728"/>
    <w:rsid w:val="15674B2D"/>
    <w:rsid w:val="15767345"/>
    <w:rsid w:val="15D43E5C"/>
    <w:rsid w:val="162D57EF"/>
    <w:rsid w:val="163376F8"/>
    <w:rsid w:val="166B30D5"/>
    <w:rsid w:val="16D162FD"/>
    <w:rsid w:val="16F220B5"/>
    <w:rsid w:val="16F5303A"/>
    <w:rsid w:val="17026ACC"/>
    <w:rsid w:val="17072F54"/>
    <w:rsid w:val="171C7676"/>
    <w:rsid w:val="1744663C"/>
    <w:rsid w:val="1811250D"/>
    <w:rsid w:val="184D326B"/>
    <w:rsid w:val="18535174"/>
    <w:rsid w:val="185D1307"/>
    <w:rsid w:val="186B609E"/>
    <w:rsid w:val="18912A5B"/>
    <w:rsid w:val="18C26AAD"/>
    <w:rsid w:val="18CC73BC"/>
    <w:rsid w:val="18DA1F55"/>
    <w:rsid w:val="196D6F46"/>
    <w:rsid w:val="19827DE5"/>
    <w:rsid w:val="198432E8"/>
    <w:rsid w:val="19AB6A2A"/>
    <w:rsid w:val="19BF34CD"/>
    <w:rsid w:val="19D133E7"/>
    <w:rsid w:val="19DD04FE"/>
    <w:rsid w:val="19DE26FD"/>
    <w:rsid w:val="19E90A8E"/>
    <w:rsid w:val="1A33348C"/>
    <w:rsid w:val="1A491DAC"/>
    <w:rsid w:val="1A4E1AB7"/>
    <w:rsid w:val="1ABD7B6C"/>
    <w:rsid w:val="1AF225C5"/>
    <w:rsid w:val="1AF9414E"/>
    <w:rsid w:val="1B0A7C6C"/>
    <w:rsid w:val="1B1142E3"/>
    <w:rsid w:val="1B134CF8"/>
    <w:rsid w:val="1B5003E0"/>
    <w:rsid w:val="1B5A546C"/>
    <w:rsid w:val="1B895FBB"/>
    <w:rsid w:val="1B9F015F"/>
    <w:rsid w:val="1BB003F9"/>
    <w:rsid w:val="1BC6259D"/>
    <w:rsid w:val="1BDC4741"/>
    <w:rsid w:val="1BE73E4E"/>
    <w:rsid w:val="1BED245D"/>
    <w:rsid w:val="1C097B8F"/>
    <w:rsid w:val="1C14011E"/>
    <w:rsid w:val="1C2C1048"/>
    <w:rsid w:val="1C311C4C"/>
    <w:rsid w:val="1C4E11FC"/>
    <w:rsid w:val="1C8B48E5"/>
    <w:rsid w:val="1C931CF1"/>
    <w:rsid w:val="1C962C76"/>
    <w:rsid w:val="1C9B70FD"/>
    <w:rsid w:val="1CD96BE2"/>
    <w:rsid w:val="1CE63CF9"/>
    <w:rsid w:val="1D5A0435"/>
    <w:rsid w:val="1DBA7555"/>
    <w:rsid w:val="1DBF39DD"/>
    <w:rsid w:val="1DC65566"/>
    <w:rsid w:val="1DF94ABB"/>
    <w:rsid w:val="1E222B7B"/>
    <w:rsid w:val="1E2E7514"/>
    <w:rsid w:val="1E5828D6"/>
    <w:rsid w:val="1E7B3D90"/>
    <w:rsid w:val="1EA33C4F"/>
    <w:rsid w:val="1EB33EEA"/>
    <w:rsid w:val="1EB573ED"/>
    <w:rsid w:val="1EF42755"/>
    <w:rsid w:val="1F15070B"/>
    <w:rsid w:val="1F325ABD"/>
    <w:rsid w:val="1F33353E"/>
    <w:rsid w:val="1F63408D"/>
    <w:rsid w:val="1F6F209E"/>
    <w:rsid w:val="1FA67FFA"/>
    <w:rsid w:val="1FBC5A21"/>
    <w:rsid w:val="201560AF"/>
    <w:rsid w:val="20232E47"/>
    <w:rsid w:val="2044337B"/>
    <w:rsid w:val="204B0788"/>
    <w:rsid w:val="20502A11"/>
    <w:rsid w:val="20700D48"/>
    <w:rsid w:val="208A18F1"/>
    <w:rsid w:val="208B7373"/>
    <w:rsid w:val="20B736BA"/>
    <w:rsid w:val="20F06D17"/>
    <w:rsid w:val="211A14C5"/>
    <w:rsid w:val="214851A7"/>
    <w:rsid w:val="21761A98"/>
    <w:rsid w:val="217A6C7B"/>
    <w:rsid w:val="21D65D10"/>
    <w:rsid w:val="22185880"/>
    <w:rsid w:val="22272617"/>
    <w:rsid w:val="222F54A5"/>
    <w:rsid w:val="22364E30"/>
    <w:rsid w:val="22446344"/>
    <w:rsid w:val="226755FF"/>
    <w:rsid w:val="22914245"/>
    <w:rsid w:val="22B578FD"/>
    <w:rsid w:val="22DC55BE"/>
    <w:rsid w:val="22E826D5"/>
    <w:rsid w:val="22FD1376"/>
    <w:rsid w:val="2379093F"/>
    <w:rsid w:val="23834AD2"/>
    <w:rsid w:val="23A14082"/>
    <w:rsid w:val="23BA4FAC"/>
    <w:rsid w:val="23F6158E"/>
    <w:rsid w:val="243F7403"/>
    <w:rsid w:val="244D419B"/>
    <w:rsid w:val="248249F5"/>
    <w:rsid w:val="24990D97"/>
    <w:rsid w:val="25055EC8"/>
    <w:rsid w:val="256107E0"/>
    <w:rsid w:val="256C6B71"/>
    <w:rsid w:val="25AA1ED9"/>
    <w:rsid w:val="25C9278E"/>
    <w:rsid w:val="25D21D98"/>
    <w:rsid w:val="25DA2A28"/>
    <w:rsid w:val="260F767F"/>
    <w:rsid w:val="26197F8E"/>
    <w:rsid w:val="26330B38"/>
    <w:rsid w:val="266D7A18"/>
    <w:rsid w:val="269862DE"/>
    <w:rsid w:val="26A91DFC"/>
    <w:rsid w:val="26CF423A"/>
    <w:rsid w:val="26D63BC5"/>
    <w:rsid w:val="26D94B49"/>
    <w:rsid w:val="26EB02E7"/>
    <w:rsid w:val="26F61EFB"/>
    <w:rsid w:val="270E3D1E"/>
    <w:rsid w:val="27202D3F"/>
    <w:rsid w:val="272E2055"/>
    <w:rsid w:val="273A38E9"/>
    <w:rsid w:val="27524813"/>
    <w:rsid w:val="277F0B5A"/>
    <w:rsid w:val="27827560"/>
    <w:rsid w:val="278E3373"/>
    <w:rsid w:val="27AF712B"/>
    <w:rsid w:val="27DD30F2"/>
    <w:rsid w:val="27E3561E"/>
    <w:rsid w:val="27E92788"/>
    <w:rsid w:val="280055BA"/>
    <w:rsid w:val="2868435B"/>
    <w:rsid w:val="287E64FF"/>
    <w:rsid w:val="28B04171"/>
    <w:rsid w:val="28DD6518"/>
    <w:rsid w:val="28EC32AF"/>
    <w:rsid w:val="29001F50"/>
    <w:rsid w:val="290C37E4"/>
    <w:rsid w:val="291D7302"/>
    <w:rsid w:val="29283114"/>
    <w:rsid w:val="29444FC3"/>
    <w:rsid w:val="2960326E"/>
    <w:rsid w:val="29796396"/>
    <w:rsid w:val="299C5651"/>
    <w:rsid w:val="29AC58EC"/>
    <w:rsid w:val="29AE4672"/>
    <w:rsid w:val="2A226BAF"/>
    <w:rsid w:val="2A2542B1"/>
    <w:rsid w:val="2A2B2AE4"/>
    <w:rsid w:val="2A3A09D3"/>
    <w:rsid w:val="2A4B1F72"/>
    <w:rsid w:val="2AA1167C"/>
    <w:rsid w:val="2AA9450A"/>
    <w:rsid w:val="2AB84B24"/>
    <w:rsid w:val="2ABE6A2E"/>
    <w:rsid w:val="2AF424B9"/>
    <w:rsid w:val="2B355773"/>
    <w:rsid w:val="2B6A23CA"/>
    <w:rsid w:val="2BAF3DB8"/>
    <w:rsid w:val="2BB611C4"/>
    <w:rsid w:val="2BCC3368"/>
    <w:rsid w:val="2BE1588C"/>
    <w:rsid w:val="2C1C43EC"/>
    <w:rsid w:val="2C8D1E36"/>
    <w:rsid w:val="2C8F0EA7"/>
    <w:rsid w:val="2C8F472B"/>
    <w:rsid w:val="2CAE175C"/>
    <w:rsid w:val="2D560C70"/>
    <w:rsid w:val="2D593DF3"/>
    <w:rsid w:val="2D642184"/>
    <w:rsid w:val="2D697572"/>
    <w:rsid w:val="2D87143F"/>
    <w:rsid w:val="2D953FD8"/>
    <w:rsid w:val="2DAA06FA"/>
    <w:rsid w:val="2DC10320"/>
    <w:rsid w:val="2E14375B"/>
    <w:rsid w:val="2E1F47B0"/>
    <w:rsid w:val="2E377F5E"/>
    <w:rsid w:val="2E3D1E67"/>
    <w:rsid w:val="2E4317F2"/>
    <w:rsid w:val="2E8A2CE9"/>
    <w:rsid w:val="2EA50592"/>
    <w:rsid w:val="2EB30BAD"/>
    <w:rsid w:val="2F093B3A"/>
    <w:rsid w:val="2F123144"/>
    <w:rsid w:val="2F2321D8"/>
    <w:rsid w:val="2F5838B9"/>
    <w:rsid w:val="2F642F4F"/>
    <w:rsid w:val="2F7047BB"/>
    <w:rsid w:val="2F731EE4"/>
    <w:rsid w:val="2F77416E"/>
    <w:rsid w:val="2F9D65AC"/>
    <w:rsid w:val="2FB74F57"/>
    <w:rsid w:val="30054CD6"/>
    <w:rsid w:val="30195EF5"/>
    <w:rsid w:val="3028070E"/>
    <w:rsid w:val="30357A24"/>
    <w:rsid w:val="30EA625A"/>
    <w:rsid w:val="31056DF8"/>
    <w:rsid w:val="31A95387"/>
    <w:rsid w:val="31D22CC8"/>
    <w:rsid w:val="31E96171"/>
    <w:rsid w:val="323B26F8"/>
    <w:rsid w:val="328714F2"/>
    <w:rsid w:val="32A020CE"/>
    <w:rsid w:val="335453C3"/>
    <w:rsid w:val="33564149"/>
    <w:rsid w:val="33D9561C"/>
    <w:rsid w:val="33F474CA"/>
    <w:rsid w:val="341E6110"/>
    <w:rsid w:val="34542D67"/>
    <w:rsid w:val="3461207D"/>
    <w:rsid w:val="347D19AD"/>
    <w:rsid w:val="347D4B77"/>
    <w:rsid w:val="34964AD5"/>
    <w:rsid w:val="34A53A6B"/>
    <w:rsid w:val="350D2195"/>
    <w:rsid w:val="35577E53"/>
    <w:rsid w:val="35B56E40"/>
    <w:rsid w:val="35B85EB2"/>
    <w:rsid w:val="35BA5B31"/>
    <w:rsid w:val="35DA3E68"/>
    <w:rsid w:val="35E05D71"/>
    <w:rsid w:val="35E57C7A"/>
    <w:rsid w:val="363D2887"/>
    <w:rsid w:val="36460F99"/>
    <w:rsid w:val="366E215D"/>
    <w:rsid w:val="368E138D"/>
    <w:rsid w:val="36A40142"/>
    <w:rsid w:val="36CA3770"/>
    <w:rsid w:val="370400D2"/>
    <w:rsid w:val="373B602E"/>
    <w:rsid w:val="37417F37"/>
    <w:rsid w:val="37512750"/>
    <w:rsid w:val="37537E51"/>
    <w:rsid w:val="376B54F8"/>
    <w:rsid w:val="377B3594"/>
    <w:rsid w:val="37C07A2D"/>
    <w:rsid w:val="37CD4298"/>
    <w:rsid w:val="37F31F59"/>
    <w:rsid w:val="380E3E07"/>
    <w:rsid w:val="3812280E"/>
    <w:rsid w:val="38180E94"/>
    <w:rsid w:val="38702BA7"/>
    <w:rsid w:val="38733B2C"/>
    <w:rsid w:val="38865581"/>
    <w:rsid w:val="38934061"/>
    <w:rsid w:val="390C2A26"/>
    <w:rsid w:val="392F1CE1"/>
    <w:rsid w:val="39471586"/>
    <w:rsid w:val="394F6992"/>
    <w:rsid w:val="39515718"/>
    <w:rsid w:val="39941685"/>
    <w:rsid w:val="39A3641C"/>
    <w:rsid w:val="39B16A37"/>
    <w:rsid w:val="39B44138"/>
    <w:rsid w:val="39F71729"/>
    <w:rsid w:val="3A1D3B67"/>
    <w:rsid w:val="3ADA1E8B"/>
    <w:rsid w:val="3AEE643E"/>
    <w:rsid w:val="3B056063"/>
    <w:rsid w:val="3B191B5E"/>
    <w:rsid w:val="3B491FD0"/>
    <w:rsid w:val="3B4E3ED9"/>
    <w:rsid w:val="3B782B1F"/>
    <w:rsid w:val="3BB13F7E"/>
    <w:rsid w:val="3BB57101"/>
    <w:rsid w:val="3BC3771B"/>
    <w:rsid w:val="3BC7289E"/>
    <w:rsid w:val="3BCA70A6"/>
    <w:rsid w:val="3BFE07FA"/>
    <w:rsid w:val="3C520284"/>
    <w:rsid w:val="3C9E707E"/>
    <w:rsid w:val="3CB52527"/>
    <w:rsid w:val="3D0D09B7"/>
    <w:rsid w:val="3D2D0EEC"/>
    <w:rsid w:val="3D3F248B"/>
    <w:rsid w:val="3D6B2F4F"/>
    <w:rsid w:val="3D972B19"/>
    <w:rsid w:val="3DA75332"/>
    <w:rsid w:val="3DB249C8"/>
    <w:rsid w:val="3DCE51F2"/>
    <w:rsid w:val="3DDD580C"/>
    <w:rsid w:val="3DF257B2"/>
    <w:rsid w:val="3DF52EB3"/>
    <w:rsid w:val="3E1249E2"/>
    <w:rsid w:val="3E1D4077"/>
    <w:rsid w:val="3E340419"/>
    <w:rsid w:val="3E355E9B"/>
    <w:rsid w:val="3E733781"/>
    <w:rsid w:val="3E7F5015"/>
    <w:rsid w:val="3E8C212D"/>
    <w:rsid w:val="3EE06334"/>
    <w:rsid w:val="3F0D3980"/>
    <w:rsid w:val="3F6B3D19"/>
    <w:rsid w:val="3FAB6D01"/>
    <w:rsid w:val="3FB62B14"/>
    <w:rsid w:val="4002589D"/>
    <w:rsid w:val="40204742"/>
    <w:rsid w:val="402F14D9"/>
    <w:rsid w:val="40782BD2"/>
    <w:rsid w:val="4091157D"/>
    <w:rsid w:val="40915CFA"/>
    <w:rsid w:val="40993106"/>
    <w:rsid w:val="40BB01C3"/>
    <w:rsid w:val="40E81F8C"/>
    <w:rsid w:val="40EB768D"/>
    <w:rsid w:val="40F24A9A"/>
    <w:rsid w:val="40FB31AB"/>
    <w:rsid w:val="41084A3F"/>
    <w:rsid w:val="41205969"/>
    <w:rsid w:val="41240AEC"/>
    <w:rsid w:val="41471FA6"/>
    <w:rsid w:val="41516138"/>
    <w:rsid w:val="415E1BCB"/>
    <w:rsid w:val="418F019B"/>
    <w:rsid w:val="41A36E3C"/>
    <w:rsid w:val="41CD3503"/>
    <w:rsid w:val="41D66391"/>
    <w:rsid w:val="41F9564C"/>
    <w:rsid w:val="4204145F"/>
    <w:rsid w:val="422B389D"/>
    <w:rsid w:val="422C131F"/>
    <w:rsid w:val="425C406C"/>
    <w:rsid w:val="42702D0D"/>
    <w:rsid w:val="427C23A2"/>
    <w:rsid w:val="428A38B6"/>
    <w:rsid w:val="42BA7C89"/>
    <w:rsid w:val="42C65C9A"/>
    <w:rsid w:val="42F567E9"/>
    <w:rsid w:val="43112896"/>
    <w:rsid w:val="431A5724"/>
    <w:rsid w:val="431E79AD"/>
    <w:rsid w:val="43215F65"/>
    <w:rsid w:val="43592C8A"/>
    <w:rsid w:val="437D79C7"/>
    <w:rsid w:val="43B655A2"/>
    <w:rsid w:val="43F01F04"/>
    <w:rsid w:val="44520CA4"/>
    <w:rsid w:val="445F7FB9"/>
    <w:rsid w:val="44786965"/>
    <w:rsid w:val="44896F30"/>
    <w:rsid w:val="44D91E82"/>
    <w:rsid w:val="44DE410B"/>
    <w:rsid w:val="45053FCB"/>
    <w:rsid w:val="452138FB"/>
    <w:rsid w:val="453932B7"/>
    <w:rsid w:val="453F7628"/>
    <w:rsid w:val="45574CCE"/>
    <w:rsid w:val="45742080"/>
    <w:rsid w:val="45876B22"/>
    <w:rsid w:val="45A602D1"/>
    <w:rsid w:val="45D04998"/>
    <w:rsid w:val="45DC07AB"/>
    <w:rsid w:val="45EA0DC5"/>
    <w:rsid w:val="460B5A77"/>
    <w:rsid w:val="46714521"/>
    <w:rsid w:val="468034B7"/>
    <w:rsid w:val="46D851CA"/>
    <w:rsid w:val="46DE3850"/>
    <w:rsid w:val="4703600F"/>
    <w:rsid w:val="471F593F"/>
    <w:rsid w:val="473A6169"/>
    <w:rsid w:val="473B3BEA"/>
    <w:rsid w:val="47480D01"/>
    <w:rsid w:val="47783A4F"/>
    <w:rsid w:val="47830FE5"/>
    <w:rsid w:val="47A70D1B"/>
    <w:rsid w:val="47D01EDF"/>
    <w:rsid w:val="47E82E09"/>
    <w:rsid w:val="47ED5F10"/>
    <w:rsid w:val="47FC203A"/>
    <w:rsid w:val="480F7446"/>
    <w:rsid w:val="481316CF"/>
    <w:rsid w:val="48264E6C"/>
    <w:rsid w:val="483B158F"/>
    <w:rsid w:val="48403498"/>
    <w:rsid w:val="4857563B"/>
    <w:rsid w:val="48622BAD"/>
    <w:rsid w:val="4889130E"/>
    <w:rsid w:val="489E3831"/>
    <w:rsid w:val="48C12AEC"/>
    <w:rsid w:val="48F94E45"/>
    <w:rsid w:val="490D18E7"/>
    <w:rsid w:val="492D1E1C"/>
    <w:rsid w:val="49310822"/>
    <w:rsid w:val="493801AD"/>
    <w:rsid w:val="494F7DD2"/>
    <w:rsid w:val="49A40B61"/>
    <w:rsid w:val="49BD3C89"/>
    <w:rsid w:val="49D97D36"/>
    <w:rsid w:val="4A121195"/>
    <w:rsid w:val="4A125911"/>
    <w:rsid w:val="4A144698"/>
    <w:rsid w:val="4A236EB1"/>
    <w:rsid w:val="4A264ABA"/>
    <w:rsid w:val="4A3D7A5A"/>
    <w:rsid w:val="4A641E98"/>
    <w:rsid w:val="4A70372C"/>
    <w:rsid w:val="4A7C753F"/>
    <w:rsid w:val="4ABC5433"/>
    <w:rsid w:val="4AC00034"/>
    <w:rsid w:val="4ACC3E46"/>
    <w:rsid w:val="4AEB3076"/>
    <w:rsid w:val="4B1A6144"/>
    <w:rsid w:val="4B434D8A"/>
    <w:rsid w:val="4B6A4194"/>
    <w:rsid w:val="4B8D0681"/>
    <w:rsid w:val="4B8F1D2F"/>
    <w:rsid w:val="4BB949C8"/>
    <w:rsid w:val="4BBD11D0"/>
    <w:rsid w:val="4BC6625C"/>
    <w:rsid w:val="4BCB2A33"/>
    <w:rsid w:val="4BCB5F67"/>
    <w:rsid w:val="4BF6482D"/>
    <w:rsid w:val="4C060764"/>
    <w:rsid w:val="4C074AC8"/>
    <w:rsid w:val="4C1E7F70"/>
    <w:rsid w:val="4C205671"/>
    <w:rsid w:val="4C5E0D5A"/>
    <w:rsid w:val="4C981E38"/>
    <w:rsid w:val="4CBB5870"/>
    <w:rsid w:val="4CE679B9"/>
    <w:rsid w:val="4CEB3E41"/>
    <w:rsid w:val="4D1A6F0E"/>
    <w:rsid w:val="4D2606A1"/>
    <w:rsid w:val="4D2E5BAF"/>
    <w:rsid w:val="4D67120C"/>
    <w:rsid w:val="4D881740"/>
    <w:rsid w:val="4D973F59"/>
    <w:rsid w:val="4DE864B3"/>
    <w:rsid w:val="4DF777F6"/>
    <w:rsid w:val="4E023609"/>
    <w:rsid w:val="4E13143F"/>
    <w:rsid w:val="4E19322E"/>
    <w:rsid w:val="4E400EEF"/>
    <w:rsid w:val="4E6F61BB"/>
    <w:rsid w:val="4EA33192"/>
    <w:rsid w:val="4EC20512"/>
    <w:rsid w:val="4ED41763"/>
    <w:rsid w:val="4EDE4270"/>
    <w:rsid w:val="4EF46414"/>
    <w:rsid w:val="4F036A2F"/>
    <w:rsid w:val="4F1D2E5C"/>
    <w:rsid w:val="4F373A05"/>
    <w:rsid w:val="4F442D1B"/>
    <w:rsid w:val="4F5167AE"/>
    <w:rsid w:val="4F5318B9"/>
    <w:rsid w:val="4F5B70BD"/>
    <w:rsid w:val="4FB1204A"/>
    <w:rsid w:val="4FC357E8"/>
    <w:rsid w:val="4FD41305"/>
    <w:rsid w:val="4FD64808"/>
    <w:rsid w:val="501F5F01"/>
    <w:rsid w:val="50406436"/>
    <w:rsid w:val="504925C9"/>
    <w:rsid w:val="50824921"/>
    <w:rsid w:val="50B057F0"/>
    <w:rsid w:val="50B84DFB"/>
    <w:rsid w:val="50DA2DB1"/>
    <w:rsid w:val="50E0273C"/>
    <w:rsid w:val="50E52447"/>
    <w:rsid w:val="50E64646"/>
    <w:rsid w:val="51054EFA"/>
    <w:rsid w:val="511E0023"/>
    <w:rsid w:val="514349DF"/>
    <w:rsid w:val="514733E5"/>
    <w:rsid w:val="517F6DC2"/>
    <w:rsid w:val="51F42604"/>
    <w:rsid w:val="51FF2B94"/>
    <w:rsid w:val="52634E37"/>
    <w:rsid w:val="52B82691"/>
    <w:rsid w:val="52C319D8"/>
    <w:rsid w:val="52F57C29"/>
    <w:rsid w:val="52FB1B32"/>
    <w:rsid w:val="53132A5C"/>
    <w:rsid w:val="53316789"/>
    <w:rsid w:val="536227DB"/>
    <w:rsid w:val="53676C63"/>
    <w:rsid w:val="5389049C"/>
    <w:rsid w:val="53BE1870"/>
    <w:rsid w:val="53C16078"/>
    <w:rsid w:val="53C85A03"/>
    <w:rsid w:val="53F16BC7"/>
    <w:rsid w:val="53F6304F"/>
    <w:rsid w:val="54070D6B"/>
    <w:rsid w:val="54265D9C"/>
    <w:rsid w:val="547B54A6"/>
    <w:rsid w:val="54C449A1"/>
    <w:rsid w:val="54F62BF2"/>
    <w:rsid w:val="5556068C"/>
    <w:rsid w:val="556B0632"/>
    <w:rsid w:val="55877462"/>
    <w:rsid w:val="55957278"/>
    <w:rsid w:val="55B6522E"/>
    <w:rsid w:val="55B72CB0"/>
    <w:rsid w:val="55C135BF"/>
    <w:rsid w:val="56024028"/>
    <w:rsid w:val="562E6171"/>
    <w:rsid w:val="564A221E"/>
    <w:rsid w:val="565E0EBF"/>
    <w:rsid w:val="56642DC8"/>
    <w:rsid w:val="56761DE9"/>
    <w:rsid w:val="569764CB"/>
    <w:rsid w:val="56B43E4C"/>
    <w:rsid w:val="56E15C15"/>
    <w:rsid w:val="56E733A1"/>
    <w:rsid w:val="56FD0C55"/>
    <w:rsid w:val="570738D6"/>
    <w:rsid w:val="571760EF"/>
    <w:rsid w:val="571F55B2"/>
    <w:rsid w:val="572E5D14"/>
    <w:rsid w:val="57376624"/>
    <w:rsid w:val="573B234B"/>
    <w:rsid w:val="575B62B2"/>
    <w:rsid w:val="579F72CD"/>
    <w:rsid w:val="57A005D2"/>
    <w:rsid w:val="57A9565E"/>
    <w:rsid w:val="57CC4919"/>
    <w:rsid w:val="581C2119"/>
    <w:rsid w:val="5841015B"/>
    <w:rsid w:val="586D44A2"/>
    <w:rsid w:val="587A7F35"/>
    <w:rsid w:val="58825341"/>
    <w:rsid w:val="58840844"/>
    <w:rsid w:val="588440C7"/>
    <w:rsid w:val="58C70034"/>
    <w:rsid w:val="58FB7589"/>
    <w:rsid w:val="591F1D47"/>
    <w:rsid w:val="596B0B42"/>
    <w:rsid w:val="59907A7D"/>
    <w:rsid w:val="599154FE"/>
    <w:rsid w:val="59BC7647"/>
    <w:rsid w:val="59E31A85"/>
    <w:rsid w:val="59F93C29"/>
    <w:rsid w:val="5A203AE8"/>
    <w:rsid w:val="5A51593C"/>
    <w:rsid w:val="5A715E71"/>
    <w:rsid w:val="5A893518"/>
    <w:rsid w:val="5A9F56BB"/>
    <w:rsid w:val="5AED79B9"/>
    <w:rsid w:val="5B1259FA"/>
    <w:rsid w:val="5B501C5C"/>
    <w:rsid w:val="5B5A5DEF"/>
    <w:rsid w:val="5B77791D"/>
    <w:rsid w:val="5B8F2DC6"/>
    <w:rsid w:val="5B9F67C1"/>
    <w:rsid w:val="5BBC4B8E"/>
    <w:rsid w:val="5BF25068"/>
    <w:rsid w:val="5BF501EB"/>
    <w:rsid w:val="5C27423E"/>
    <w:rsid w:val="5C692729"/>
    <w:rsid w:val="5C753FBD"/>
    <w:rsid w:val="5C7F0150"/>
    <w:rsid w:val="5CA2740B"/>
    <w:rsid w:val="5CAF2E9D"/>
    <w:rsid w:val="5CDB71E4"/>
    <w:rsid w:val="5D2D376B"/>
    <w:rsid w:val="5D4E3CA0"/>
    <w:rsid w:val="5D975399"/>
    <w:rsid w:val="5D9C7622"/>
    <w:rsid w:val="5D9E4D24"/>
    <w:rsid w:val="5DB54949"/>
    <w:rsid w:val="5DC529E5"/>
    <w:rsid w:val="5DCF0D76"/>
    <w:rsid w:val="5E277206"/>
    <w:rsid w:val="5E5A2ED9"/>
    <w:rsid w:val="5E5B095A"/>
    <w:rsid w:val="5E6315EA"/>
    <w:rsid w:val="5E747306"/>
    <w:rsid w:val="5EA65556"/>
    <w:rsid w:val="5EBA1FF9"/>
    <w:rsid w:val="5ED42BA2"/>
    <w:rsid w:val="5F056BF5"/>
    <w:rsid w:val="5F507F6E"/>
    <w:rsid w:val="5F5664FD"/>
    <w:rsid w:val="5FAD0307"/>
    <w:rsid w:val="5FB3698D"/>
    <w:rsid w:val="5FC24A29"/>
    <w:rsid w:val="600C0321"/>
    <w:rsid w:val="601531AE"/>
    <w:rsid w:val="60482704"/>
    <w:rsid w:val="606A3F3D"/>
    <w:rsid w:val="60825D61"/>
    <w:rsid w:val="60B168B0"/>
    <w:rsid w:val="60E32902"/>
    <w:rsid w:val="60EB5790"/>
    <w:rsid w:val="61115644"/>
    <w:rsid w:val="61445E1F"/>
    <w:rsid w:val="61453671"/>
    <w:rsid w:val="61811507"/>
    <w:rsid w:val="61894395"/>
    <w:rsid w:val="6198332B"/>
    <w:rsid w:val="61D4570E"/>
    <w:rsid w:val="61E97C32"/>
    <w:rsid w:val="62111CEF"/>
    <w:rsid w:val="623D76BC"/>
    <w:rsid w:val="625A33E9"/>
    <w:rsid w:val="62600B75"/>
    <w:rsid w:val="62736511"/>
    <w:rsid w:val="6284202E"/>
    <w:rsid w:val="62B87005"/>
    <w:rsid w:val="62CF6C2B"/>
    <w:rsid w:val="62D91738"/>
    <w:rsid w:val="633A04D8"/>
    <w:rsid w:val="636D582F"/>
    <w:rsid w:val="639962F3"/>
    <w:rsid w:val="63FC3E19"/>
    <w:rsid w:val="640843A9"/>
    <w:rsid w:val="642D45E8"/>
    <w:rsid w:val="6437077B"/>
    <w:rsid w:val="64561F2A"/>
    <w:rsid w:val="646621C4"/>
    <w:rsid w:val="64A123A9"/>
    <w:rsid w:val="64B7454D"/>
    <w:rsid w:val="64CB2C9E"/>
    <w:rsid w:val="64D64E55"/>
    <w:rsid w:val="64DA7F84"/>
    <w:rsid w:val="64EA021F"/>
    <w:rsid w:val="653F1EA7"/>
    <w:rsid w:val="65526949"/>
    <w:rsid w:val="656B7873"/>
    <w:rsid w:val="65834F1A"/>
    <w:rsid w:val="658E54A9"/>
    <w:rsid w:val="65923EB0"/>
    <w:rsid w:val="65F67457"/>
    <w:rsid w:val="65F870D7"/>
    <w:rsid w:val="667557A7"/>
    <w:rsid w:val="66B4528C"/>
    <w:rsid w:val="66B7342F"/>
    <w:rsid w:val="66BA4C17"/>
    <w:rsid w:val="66D1483C"/>
    <w:rsid w:val="66D457C1"/>
    <w:rsid w:val="66DB514B"/>
    <w:rsid w:val="66F25BDF"/>
    <w:rsid w:val="67090219"/>
    <w:rsid w:val="67413BF6"/>
    <w:rsid w:val="674A3201"/>
    <w:rsid w:val="676169F8"/>
    <w:rsid w:val="67945BFF"/>
    <w:rsid w:val="67D66668"/>
    <w:rsid w:val="67EF5014"/>
    <w:rsid w:val="67F14C93"/>
    <w:rsid w:val="67F6499F"/>
    <w:rsid w:val="682057E3"/>
    <w:rsid w:val="6844251F"/>
    <w:rsid w:val="686007CB"/>
    <w:rsid w:val="68637551"/>
    <w:rsid w:val="686E7AE0"/>
    <w:rsid w:val="687938F3"/>
    <w:rsid w:val="687C3196"/>
    <w:rsid w:val="689C2BAE"/>
    <w:rsid w:val="68B70EDA"/>
    <w:rsid w:val="68E35521"/>
    <w:rsid w:val="69482CC7"/>
    <w:rsid w:val="69526E59"/>
    <w:rsid w:val="696A4500"/>
    <w:rsid w:val="69B82081"/>
    <w:rsid w:val="69E63E4A"/>
    <w:rsid w:val="69FF49F3"/>
    <w:rsid w:val="6A1B68A2"/>
    <w:rsid w:val="6A302FC4"/>
    <w:rsid w:val="6A953FED"/>
    <w:rsid w:val="6ABC642B"/>
    <w:rsid w:val="6B131038"/>
    <w:rsid w:val="6B221653"/>
    <w:rsid w:val="6B4C2497"/>
    <w:rsid w:val="6B814EF0"/>
    <w:rsid w:val="6BBC5FCE"/>
    <w:rsid w:val="6BC85664"/>
    <w:rsid w:val="6BF22C25"/>
    <w:rsid w:val="6C4A4939"/>
    <w:rsid w:val="6C600CDA"/>
    <w:rsid w:val="6C8C2E23"/>
    <w:rsid w:val="6CAA5C57"/>
    <w:rsid w:val="6CDD3B27"/>
    <w:rsid w:val="6CE428F3"/>
    <w:rsid w:val="6CFF3162"/>
    <w:rsid w:val="6D462252"/>
    <w:rsid w:val="6D496A5A"/>
    <w:rsid w:val="6D830A87"/>
    <w:rsid w:val="6DA36718"/>
    <w:rsid w:val="6DB6160C"/>
    <w:rsid w:val="6DC22EA0"/>
    <w:rsid w:val="6DFB0A7C"/>
    <w:rsid w:val="6E091096"/>
    <w:rsid w:val="6E123F24"/>
    <w:rsid w:val="6E231C40"/>
    <w:rsid w:val="6E262BC5"/>
    <w:rsid w:val="6E283E10"/>
    <w:rsid w:val="6E310F56"/>
    <w:rsid w:val="6E526F0C"/>
    <w:rsid w:val="6E565912"/>
    <w:rsid w:val="6E737441"/>
    <w:rsid w:val="6E946A7C"/>
    <w:rsid w:val="6E9E3B08"/>
    <w:rsid w:val="6EC61449"/>
    <w:rsid w:val="6ECA7E4F"/>
    <w:rsid w:val="6EDE6AF0"/>
    <w:rsid w:val="6F635E50"/>
    <w:rsid w:val="6F766529"/>
    <w:rsid w:val="6F8B7F0D"/>
    <w:rsid w:val="6FA43036"/>
    <w:rsid w:val="6FB33650"/>
    <w:rsid w:val="6FDE1F16"/>
    <w:rsid w:val="700965DD"/>
    <w:rsid w:val="70213FD3"/>
    <w:rsid w:val="703A6DAC"/>
    <w:rsid w:val="70500F50"/>
    <w:rsid w:val="70711485"/>
    <w:rsid w:val="70726F06"/>
    <w:rsid w:val="70784693"/>
    <w:rsid w:val="709616C4"/>
    <w:rsid w:val="70AA28E3"/>
    <w:rsid w:val="70AB0365"/>
    <w:rsid w:val="70CE181E"/>
    <w:rsid w:val="711E06A4"/>
    <w:rsid w:val="713502C9"/>
    <w:rsid w:val="713759CB"/>
    <w:rsid w:val="713C1E52"/>
    <w:rsid w:val="714162DA"/>
    <w:rsid w:val="718070C4"/>
    <w:rsid w:val="71B23116"/>
    <w:rsid w:val="71F41601"/>
    <w:rsid w:val="722865D8"/>
    <w:rsid w:val="722F17E6"/>
    <w:rsid w:val="72866971"/>
    <w:rsid w:val="728743F3"/>
    <w:rsid w:val="72902B04"/>
    <w:rsid w:val="72C13AFA"/>
    <w:rsid w:val="72D2576C"/>
    <w:rsid w:val="73173CE2"/>
    <w:rsid w:val="732F1389"/>
    <w:rsid w:val="73391C98"/>
    <w:rsid w:val="73430029"/>
    <w:rsid w:val="73AE76D8"/>
    <w:rsid w:val="73B467B4"/>
    <w:rsid w:val="73F32145"/>
    <w:rsid w:val="740D76F2"/>
    <w:rsid w:val="741E320F"/>
    <w:rsid w:val="748E25CA"/>
    <w:rsid w:val="74992B59"/>
    <w:rsid w:val="74A90BF5"/>
    <w:rsid w:val="74AE727B"/>
    <w:rsid w:val="74B66737"/>
    <w:rsid w:val="74BF2D99"/>
    <w:rsid w:val="74D900BF"/>
    <w:rsid w:val="75001604"/>
    <w:rsid w:val="7522503C"/>
    <w:rsid w:val="752F0ACE"/>
    <w:rsid w:val="753D7DE4"/>
    <w:rsid w:val="75504886"/>
    <w:rsid w:val="759E6B84"/>
    <w:rsid w:val="75CA0CCD"/>
    <w:rsid w:val="75DF53EF"/>
    <w:rsid w:val="75FB149C"/>
    <w:rsid w:val="75FF7EA2"/>
    <w:rsid w:val="764A4A9E"/>
    <w:rsid w:val="767336E4"/>
    <w:rsid w:val="76BA05D5"/>
    <w:rsid w:val="76DF0815"/>
    <w:rsid w:val="76FD3648"/>
    <w:rsid w:val="77556255"/>
    <w:rsid w:val="776564EF"/>
    <w:rsid w:val="77663F71"/>
    <w:rsid w:val="77715B85"/>
    <w:rsid w:val="77C96214"/>
    <w:rsid w:val="77D558AA"/>
    <w:rsid w:val="77F428DB"/>
    <w:rsid w:val="780472F2"/>
    <w:rsid w:val="78476AE2"/>
    <w:rsid w:val="785051F3"/>
    <w:rsid w:val="78535A2F"/>
    <w:rsid w:val="789C1DEF"/>
    <w:rsid w:val="78A33979"/>
    <w:rsid w:val="78F76C86"/>
    <w:rsid w:val="790D55A6"/>
    <w:rsid w:val="79431457"/>
    <w:rsid w:val="7970564B"/>
    <w:rsid w:val="79741AD3"/>
    <w:rsid w:val="797926D7"/>
    <w:rsid w:val="79A90CA8"/>
    <w:rsid w:val="79B6253C"/>
    <w:rsid w:val="79FA3F2A"/>
    <w:rsid w:val="7A024BBA"/>
    <w:rsid w:val="7A3E119B"/>
    <w:rsid w:val="7A4F1436"/>
    <w:rsid w:val="7A5F16D0"/>
    <w:rsid w:val="7A66105B"/>
    <w:rsid w:val="7AA9084B"/>
    <w:rsid w:val="7AB5465D"/>
    <w:rsid w:val="7AB611BC"/>
    <w:rsid w:val="7AC77DFB"/>
    <w:rsid w:val="7B5257E0"/>
    <w:rsid w:val="7B567A6A"/>
    <w:rsid w:val="7B5909EE"/>
    <w:rsid w:val="7B8633B6"/>
    <w:rsid w:val="7B9E45DB"/>
    <w:rsid w:val="7BAB16F2"/>
    <w:rsid w:val="7BB51512"/>
    <w:rsid w:val="7BCD09AD"/>
    <w:rsid w:val="7BEE565F"/>
    <w:rsid w:val="7C2E6448"/>
    <w:rsid w:val="7C3C6A63"/>
    <w:rsid w:val="7C505703"/>
    <w:rsid w:val="7C7B6547"/>
    <w:rsid w:val="7C9106EB"/>
    <w:rsid w:val="7C93788C"/>
    <w:rsid w:val="7CB16A21"/>
    <w:rsid w:val="7CC75342"/>
    <w:rsid w:val="7CF5040F"/>
    <w:rsid w:val="7D112D46"/>
    <w:rsid w:val="7D121F3E"/>
    <w:rsid w:val="7D1E15D4"/>
    <w:rsid w:val="7D3533F7"/>
    <w:rsid w:val="7D585F36"/>
    <w:rsid w:val="7D861EFD"/>
    <w:rsid w:val="7D941212"/>
    <w:rsid w:val="7D9E75A3"/>
    <w:rsid w:val="7DBC01D8"/>
    <w:rsid w:val="7DC06BDF"/>
    <w:rsid w:val="7DD74221"/>
    <w:rsid w:val="7DEA1C21"/>
    <w:rsid w:val="7E0D0EDC"/>
    <w:rsid w:val="7E1B0C58"/>
    <w:rsid w:val="7E2D398F"/>
    <w:rsid w:val="7E393025"/>
    <w:rsid w:val="7E9136B4"/>
    <w:rsid w:val="7EBB6A76"/>
    <w:rsid w:val="7ECC4792"/>
    <w:rsid w:val="7ED11B1C"/>
    <w:rsid w:val="7EDC02B0"/>
    <w:rsid w:val="7F182693"/>
    <w:rsid w:val="7F3B60CB"/>
    <w:rsid w:val="7F800DBE"/>
    <w:rsid w:val="7F83123F"/>
    <w:rsid w:val="7FD52A46"/>
    <w:rsid w:val="7FDF0D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Normal Indent"/>
    <w:basedOn w:val="1"/>
    <w:unhideWhenUsed/>
    <w:qFormat/>
    <w:uiPriority w:val="99"/>
    <w:pPr>
      <w:ind w:firstLine="420" w:firstLineChars="200"/>
    </w:pPr>
    <w:rPr>
      <w:rFonts w:eastAsia="仿宋"/>
      <w:sz w:val="32"/>
    </w:rPr>
  </w:style>
  <w:style w:type="paragraph" w:styleId="13">
    <w:name w:val="annotation text"/>
    <w:basedOn w:val="1"/>
    <w:unhideWhenUsed/>
    <w:qFormat/>
    <w:uiPriority w:val="99"/>
    <w:pPr>
      <w:jc w:val="left"/>
    </w:pPr>
  </w:style>
  <w:style w:type="paragraph" w:styleId="14">
    <w:name w:val="Body Text Indent"/>
    <w:basedOn w:val="1"/>
    <w:next w:val="12"/>
    <w:qFormat/>
    <w:uiPriority w:val="0"/>
    <w:pPr>
      <w:spacing w:after="120"/>
      <w:ind w:left="420" w:leftChars="200"/>
    </w:pPr>
  </w:style>
  <w:style w:type="paragraph" w:styleId="15">
    <w:name w:val="Balloon Text"/>
    <w:basedOn w:val="1"/>
    <w:link w:val="49"/>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2"/>
    <w:basedOn w:val="14"/>
    <w:next w:val="14"/>
    <w:qFormat/>
    <w:uiPriority w:val="99"/>
    <w:pPr>
      <w:spacing w:after="0"/>
      <w:ind w:left="0" w:leftChars="0" w:firstLine="420" w:firstLineChars="200"/>
    </w:pPr>
    <w:rPr>
      <w:sz w:val="30"/>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8"/>
    <w:qFormat/>
    <w:uiPriority w:val="11"/>
    <w:rPr>
      <w:rFonts w:asciiTheme="majorHAnsi" w:hAnsiTheme="majorHAnsi" w:eastAsiaTheme="majorEastAsia"/>
      <w:sz w:val="24"/>
      <w:szCs w:val="24"/>
    </w:rPr>
  </w:style>
  <w:style w:type="paragraph" w:customStyle="1"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customStyle="1"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unhideWhenUsed/>
    <w:qFormat/>
    <w:uiPriority w:val="39"/>
    <w:pPr>
      <w:outlineLvl w:val="9"/>
    </w:pPr>
    <w:rPr>
      <w:lang w:eastAsia="en-US" w:bidi="en-US"/>
    </w:rPr>
  </w:style>
  <w:style w:type="character" w:customStyle="1" w:styleId="47">
    <w:name w:val="页眉 字符"/>
    <w:basedOn w:val="21"/>
    <w:link w:val="17"/>
    <w:qFormat/>
    <w:uiPriority w:val="99"/>
    <w:rPr>
      <w:rFonts w:ascii="Calibri" w:hAnsi="Calibri" w:eastAsia="宋体"/>
      <w:kern w:val="2"/>
      <w:sz w:val="18"/>
      <w:szCs w:val="18"/>
    </w:rPr>
  </w:style>
  <w:style w:type="character" w:customStyle="1" w:styleId="48">
    <w:name w:val="页脚 字符"/>
    <w:basedOn w:val="21"/>
    <w:link w:val="16"/>
    <w:qFormat/>
    <w:uiPriority w:val="99"/>
    <w:rPr>
      <w:rFonts w:ascii="Calibri" w:hAnsi="Calibri" w:eastAsia="宋体"/>
      <w:kern w:val="2"/>
      <w:sz w:val="18"/>
      <w:szCs w:val="18"/>
    </w:rPr>
  </w:style>
  <w:style w:type="character" w:customStyle="1" w:styleId="49">
    <w:name w:val="批注框文本 字符"/>
    <w:basedOn w:val="21"/>
    <w:link w:val="15"/>
    <w:semiHidden/>
    <w:qFormat/>
    <w:uiPriority w:val="99"/>
    <w:rPr>
      <w:rFonts w:ascii="Times New Roman" w:hAnsi="Times New Roman" w:eastAsia="宋体"/>
      <w:kern w:val="2"/>
      <w:sz w:val="18"/>
      <w:szCs w:val="18"/>
    </w:rPr>
  </w:style>
  <w:style w:type="paragraph" w:customStyle="1" w:styleId="50">
    <w:name w:val="闻政-正文段落文字"/>
    <w:basedOn w:val="1"/>
    <w:qFormat/>
    <w:uiPriority w:val="3"/>
    <w:pPr>
      <w:spacing w:line="500" w:lineRule="exact"/>
      <w:ind w:firstLine="200"/>
    </w:pPr>
    <w:rPr>
      <w:rFonts w:cs="Times New Roman"/>
      <w:kern w:val="0"/>
      <w:szCs w:val="28"/>
    </w:rPr>
  </w:style>
  <w:style w:type="paragraph" w:customStyle="1" w:styleId="51">
    <w:name w:val="Default"/>
    <w:basedOn w:val="1"/>
    <w:semiHidden/>
    <w:qFormat/>
    <w:uiPriority w:val="0"/>
    <w:pPr>
      <w:autoSpaceDE w:val="0"/>
      <w:autoSpaceDN w:val="0"/>
      <w:adjustRightInd w:val="0"/>
      <w:jc w:val="left"/>
    </w:pPr>
    <w:rPr>
      <w:rFonts w:ascii="黑体" w:hAnsi="黑体" w:eastAsia="黑体" w:cs="Times New Roman"/>
      <w:color w:val="000000"/>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7730</Words>
  <Characters>8279</Characters>
  <Lines>5</Lines>
  <Paragraphs>1</Paragraphs>
  <TotalTime>0</TotalTime>
  <ScaleCrop>false</ScaleCrop>
  <LinksUpToDate>false</LinksUpToDate>
  <CharactersWithSpaces>8413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车</cp:lastModifiedBy>
  <cp:lastPrinted>2018-12-31T10:56:00Z</cp:lastPrinted>
  <dcterms:modified xsi:type="dcterms:W3CDTF">2024-08-02T09:12:22Z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933533168F634B869892BF76285F86E3</vt:lpwstr>
  </property>
</Properties>
</file>