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2022</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Fonts w:hint="eastAsia" w:hAnsi="宋体" w:eastAsia="仿宋_GB2312" w:cs="宋体"/>
          <w:kern w:val="0"/>
          <w:sz w:val="36"/>
          <w:szCs w:val="36"/>
          <w:lang w:eastAsia="zh-CN"/>
        </w:rPr>
        <w:t>危险化学品登记工作经费</w:t>
      </w:r>
    </w:p>
    <w:p>
      <w:pPr>
        <w:spacing w:line="540" w:lineRule="exact"/>
        <w:ind w:firstLine="567"/>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新疆维吾尔自治区安全科学技术研究院</w:t>
      </w:r>
    </w:p>
    <w:p>
      <w:pPr>
        <w:spacing w:line="540" w:lineRule="exact"/>
        <w:ind w:firstLine="567"/>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新疆维吾尔自治区安全科学技术研究院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梅晶</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2023年2月24日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自治区危险化学品登记经费是根据《危险化学品安全管理条例》、《危险化学品登记注册管理办法》、《关于不宜收取危险化学品登记费等有关问题复函》、《自治区安全生产专项资金管理暂行办法》等规定，用于全区危险化学品登记注册，开展新化学品和不明化学品的危险性鉴别、分类、评估、检测和分析，危险化学品生产单位的主要负责人和安全管理人员进行安全培训，数据库的系统维护，交通费，差旅费，专家咨询费，资料邮寄费，办公费等日常费用，保证全区危险化学品登记注册工作顺利进行的专项经费。</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为树立安全发展理念，坚持“安全第一、预防为主、综合治理”的方针，加强危险化学品安全管理，进一步完善自治区危险化学品数据库，评价和公开危险化学品的危险特性，开展化学品物理危险性鉴定，预防和控制危险化学品危害，充分发挥危险化学品登记注册的作用，为建立化学品事故应急网络打下基础，为全区危险化学品安全的全程监控实现动态管理创造条件，为安全监管部门进行危险化学品监督管理，事故预防和化学品事故应急救援提供信息和技术支持。分别设定一级目标三个（包括：产出指标、效益指标、满意度指标）、二级目标</w:t>
      </w:r>
      <w:r>
        <w:rPr>
          <w:rStyle w:val="17"/>
          <w:rFonts w:hint="eastAsia" w:ascii="仿宋" w:hAnsi="仿宋" w:eastAsia="仿宋"/>
          <w:b w:val="0"/>
          <w:spacing w:val="-4"/>
          <w:sz w:val="32"/>
          <w:szCs w:val="32"/>
          <w:lang w:val="en-US" w:eastAsia="zh-CN"/>
        </w:rPr>
        <w:t>6</w:t>
      </w:r>
      <w:r>
        <w:rPr>
          <w:rStyle w:val="17"/>
          <w:rFonts w:hint="eastAsia" w:ascii="仿宋" w:hAnsi="仿宋" w:eastAsia="仿宋"/>
          <w:b w:val="0"/>
          <w:spacing w:val="-4"/>
          <w:sz w:val="32"/>
          <w:szCs w:val="32"/>
        </w:rPr>
        <w:t>个（包括：数量指标、成本指标、质量指标、时效指标、</w:t>
      </w:r>
      <w:r>
        <w:rPr>
          <w:rStyle w:val="17"/>
          <w:rFonts w:hint="eastAsia" w:ascii="仿宋" w:hAnsi="仿宋" w:eastAsia="仿宋"/>
          <w:b w:val="0"/>
          <w:spacing w:val="-4"/>
          <w:sz w:val="32"/>
          <w:szCs w:val="32"/>
          <w:lang w:eastAsia="zh-CN"/>
        </w:rPr>
        <w:t>经济益</w:t>
      </w:r>
      <w:r>
        <w:rPr>
          <w:rStyle w:val="17"/>
          <w:rFonts w:hint="eastAsia" w:ascii="仿宋" w:hAnsi="仿宋" w:eastAsia="仿宋"/>
          <w:b w:val="0"/>
          <w:spacing w:val="-4"/>
          <w:sz w:val="32"/>
          <w:szCs w:val="32"/>
        </w:rPr>
        <w:t>指标、满意度指标）、三级目标</w:t>
      </w:r>
      <w:r>
        <w:rPr>
          <w:rStyle w:val="17"/>
          <w:rFonts w:hint="eastAsia" w:ascii="仿宋" w:hAnsi="仿宋" w:eastAsia="仿宋"/>
          <w:b w:val="0"/>
          <w:spacing w:val="-4"/>
          <w:sz w:val="32"/>
          <w:szCs w:val="32"/>
          <w:lang w:val="en-US" w:eastAsia="zh-CN"/>
        </w:rPr>
        <w:t>17</w:t>
      </w:r>
      <w:r>
        <w:rPr>
          <w:rStyle w:val="17"/>
          <w:rFonts w:hint="eastAsia" w:ascii="仿宋" w:hAnsi="仿宋" w:eastAsia="仿宋"/>
          <w:b w:val="0"/>
          <w:spacing w:val="-4"/>
          <w:sz w:val="32"/>
          <w:szCs w:val="32"/>
        </w:rPr>
        <w:t>个（包括：受理危险化学品企业登记资料</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危险化学品现场调查人员</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全年技术咨询聘请专家人次</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采购荷兰压力容器试验仪</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检验检测设备维修维护数</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设备验收合格率</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危险品登记工作完成率</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采购设备完成期限</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资金拨付及时率</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现场核查项目费用</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聘请专家咨询费</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采购荷兰压力容器试验仪费用</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检验检测设备维修维护费</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业务活动费</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设备利用率</w:t>
      </w:r>
      <w:r>
        <w:rPr>
          <w:rStyle w:val="17"/>
          <w:rFonts w:hint="eastAsia" w:ascii="仿宋" w:hAnsi="仿宋" w:eastAsia="仿宋"/>
          <w:b w:val="0"/>
          <w:spacing w:val="-4"/>
          <w:sz w:val="32"/>
          <w:szCs w:val="32"/>
          <w:lang w:eastAsia="zh-CN"/>
        </w:rPr>
        <w:t>；</w:t>
      </w:r>
      <w:r>
        <w:rPr>
          <w:rStyle w:val="17"/>
          <w:rFonts w:hint="default" w:ascii="仿宋" w:hAnsi="仿宋" w:eastAsia="仿宋"/>
          <w:b w:val="0"/>
          <w:spacing w:val="-4"/>
          <w:sz w:val="32"/>
          <w:szCs w:val="32"/>
          <w:lang w:val="en-US" w:eastAsia="zh-CN"/>
        </w:rPr>
        <w:t>危险化学品登记企业对于受理工作满意度</w:t>
      </w:r>
      <w:r>
        <w:rPr>
          <w:rStyle w:val="17"/>
          <w:rFonts w:hint="eastAsia" w:ascii="仿宋" w:hAnsi="仿宋" w:eastAsia="仿宋"/>
          <w:b w:val="0"/>
          <w:spacing w:val="-4"/>
          <w:sz w:val="32"/>
          <w:szCs w:val="32"/>
          <w:lang w:val="en-US" w:eastAsia="zh-CN"/>
        </w:rPr>
        <w:t>；</w:t>
      </w:r>
      <w:r>
        <w:rPr>
          <w:rStyle w:val="17"/>
          <w:rFonts w:hint="eastAsia" w:ascii="仿宋" w:hAnsi="仿宋" w:eastAsia="仿宋"/>
          <w:b w:val="0"/>
          <w:spacing w:val="-4"/>
          <w:sz w:val="32"/>
          <w:szCs w:val="32"/>
        </w:rPr>
        <w:t>使用人员满意度）。</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绩效评价目的确保危化品登记管理办公室支出符合要求。</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绩效评价对象为危化品登记管理办公室。</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绩效评价范围包括危化品登记管理办公室开展的工作。</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(1)客观原则。绩效评估应尽可能科学地进行评价，使之具有可靠性、客观性、公平性。考评应根据明确的考评标准、针对客观考评资料进行评价，尽量减少主观性和感情色彩。这就要求评估内容要由用科学方法设计的一些指标来反映。在指标的设计过程中，要避免个人的主观因素，尽量采用客观尺度，使评估指标不仅内容准确、具体，而且应尽可能量化。评估指标有定性指标和定量指标之分，对定性指标也要尽可能量化，多运用一些数量方法，以避免较大程度上的主观随意性，增强评估的客观性和准确性。</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(2)可行原则。评估方法可行是指评估使用的方法要为人们所接受并能较长期使用。这一点对于评估能否真正取得成效很重要。评估项目的数量应适中，既不太多、太繁杂，也不太少、过于简单，并且针对组织不同层次的人员采用不同的评估方法。另外，要明确评估方法的目的和含义，使人们自觉接受和配合评估工作的进行。</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(3)经常化、制度化原则。为使评估的各项功能得以有效发挥，组织应制定一套科学的评估制度体系，将评估工作落实到具体部门。应进行经常性的评估，尽可能多地获取有关员工的实际资料，加强评估的效果。</w:t>
      </w:r>
    </w:p>
    <w:p>
      <w:pPr>
        <w:spacing w:line="540" w:lineRule="exact"/>
        <w:ind w:firstLine="567"/>
        <w:rPr>
          <w:rStyle w:val="17"/>
          <w:rFonts w:ascii="楷体" w:hAnsi="楷体" w:eastAsia="楷体"/>
          <w:spacing w:val="-4"/>
          <w:sz w:val="32"/>
          <w:szCs w:val="32"/>
        </w:rPr>
      </w:pPr>
      <w:r>
        <w:rPr>
          <w:rStyle w:val="17"/>
          <w:rFonts w:hint="eastAsia" w:ascii="仿宋" w:hAnsi="仿宋" w:eastAsia="仿宋"/>
          <w:b w:val="0"/>
          <w:spacing w:val="-4"/>
          <w:sz w:val="32"/>
          <w:szCs w:val="32"/>
        </w:rPr>
        <w:t>绩效评定方法采用业绩评定表法，是利用所规定的绩效因素（例如，完成工作的质量，数量等）对工作进行评估，把工作的业绩与规定表中的因素进行逐一对比打分，然后得出工作业绩的最终结果，它分为几个等级，例如优秀、良好、一般等。</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第一阶段：准备阶段；第二阶段：指标体系设定与评价方案；第三阶段：执行评价工作；第四阶段：总结绩效评价工作。</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ascii="楷体" w:hAnsi="楷体" w:eastAsia="楷体"/>
          <w:spacing w:val="-4"/>
          <w:sz w:val="32"/>
          <w:szCs w:val="32"/>
        </w:rPr>
      </w:pPr>
      <w:r>
        <w:rPr>
          <w:rStyle w:val="17"/>
          <w:rFonts w:hint="eastAsia" w:ascii="仿宋" w:hAnsi="仿宋" w:eastAsia="仿宋"/>
          <w:b w:val="0"/>
          <w:spacing w:val="-4"/>
          <w:sz w:val="32"/>
          <w:szCs w:val="32"/>
        </w:rPr>
        <w:t>危化品登记管理办公室设定的一级目标、二级目标、三级目标符合实际要求，且完成效果良好。经费支出符合财政支出要求。</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我区于2006年成立了自治区危险化学品登记注册管理办公室，与自治区安科院两块牌子一套人马。新疆安科院是直属于新疆应急管理厅的科研事业单位，危化登记登记业务由下设危险化学品登记中心负责，目前在岗人数为7人，每年由自治区下拨专项经费100万元，2019年下调至75万元，2020年下调至70万元。</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2022年，新疆维吾尔自治区危险化学品登记注册管理办公室（以下简称“新疆登记办”）在国家化学品登记中心、新疆维吾尔自治区应急管理厅和新疆维吾尔自治区安全科学技术研究院的领导和大力支持下，认真履行职责，深入开展危险化学品登记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1.企业登记基本情况；</w:t>
      </w:r>
    </w:p>
    <w:p>
      <w:pPr>
        <w:spacing w:line="540" w:lineRule="exact"/>
        <w:ind w:firstLine="567"/>
        <w:rPr>
          <w:rStyle w:val="17"/>
          <w:rFonts w:hint="default"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2.积极推动新版系统升级改造和推广应用工作；</w:t>
      </w:r>
    </w:p>
    <w:p>
      <w:pPr>
        <w:spacing w:line="540" w:lineRule="exact"/>
        <w:ind w:firstLine="567"/>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3.积极推进登记信息抽查核查全覆盖工作；</w:t>
      </w:r>
    </w:p>
    <w:p>
      <w:pPr>
        <w:spacing w:line="540" w:lineRule="exact"/>
        <w:ind w:firstLine="567"/>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4.全力配合“危险化学品</w:t>
      </w:r>
      <w:bookmarkStart w:id="0" w:name="_Hlk29204776"/>
      <w:r>
        <w:rPr>
          <w:rStyle w:val="17"/>
          <w:rFonts w:hint="eastAsia" w:ascii="仿宋" w:hAnsi="仿宋" w:eastAsia="仿宋"/>
          <w:b w:val="0"/>
          <w:spacing w:val="-4"/>
          <w:sz w:val="32"/>
          <w:szCs w:val="32"/>
          <w:lang w:val="en-US" w:eastAsia="zh-CN"/>
        </w:rPr>
        <w:t>风险监测预警系统</w:t>
      </w:r>
      <w:bookmarkEnd w:id="0"/>
      <w:r>
        <w:rPr>
          <w:rStyle w:val="17"/>
          <w:rFonts w:hint="eastAsia" w:ascii="仿宋" w:hAnsi="仿宋" w:eastAsia="仿宋"/>
          <w:b w:val="0"/>
          <w:spacing w:val="-4"/>
          <w:sz w:val="32"/>
          <w:szCs w:val="32"/>
          <w:lang w:val="en-US" w:eastAsia="zh-CN"/>
        </w:rPr>
        <w:t>”的建设；</w:t>
      </w:r>
    </w:p>
    <w:p>
      <w:pPr>
        <w:spacing w:line="540" w:lineRule="exact"/>
        <w:ind w:firstLine="567"/>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5.加快</w:t>
      </w:r>
      <w:bookmarkStart w:id="1" w:name="_Hlk29219162"/>
      <w:r>
        <w:rPr>
          <w:rStyle w:val="17"/>
          <w:rFonts w:hint="eastAsia" w:ascii="仿宋" w:hAnsi="仿宋" w:eastAsia="仿宋"/>
          <w:b w:val="0"/>
          <w:spacing w:val="-4"/>
          <w:sz w:val="32"/>
          <w:szCs w:val="32"/>
          <w:lang w:val="en-US" w:eastAsia="zh-CN"/>
        </w:rPr>
        <w:t>化学品物理危险性分类鉴定实验室</w:t>
      </w:r>
      <w:bookmarkEnd w:id="1"/>
      <w:r>
        <w:rPr>
          <w:rStyle w:val="17"/>
          <w:rFonts w:hint="eastAsia" w:ascii="仿宋" w:hAnsi="仿宋" w:eastAsia="仿宋"/>
          <w:b w:val="0"/>
          <w:spacing w:val="-4"/>
          <w:sz w:val="32"/>
          <w:szCs w:val="32"/>
          <w:lang w:val="en-US" w:eastAsia="zh-CN"/>
        </w:rPr>
        <w:t>建设；</w:t>
      </w:r>
    </w:p>
    <w:p>
      <w:pPr>
        <w:spacing w:line="540" w:lineRule="exact"/>
        <w:ind w:firstLine="567"/>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6.积极协助开展“一张图一张表”建设。</w:t>
      </w:r>
      <w:bookmarkStart w:id="2" w:name="_GoBack"/>
      <w:bookmarkEnd w:id="2"/>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受理危险化学品企业登记资料117份，危险化学品生产企业更新补录企业数量200多家。</w:t>
      </w:r>
    </w:p>
    <w:p>
      <w:pPr>
        <w:spacing w:line="540" w:lineRule="exact"/>
        <w:ind w:firstLine="567"/>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危险化学品登记现场核查率30%以上。</w:t>
      </w:r>
    </w:p>
    <w:p>
      <w:pPr>
        <w:spacing w:line="540" w:lineRule="exact"/>
        <w:ind w:firstLine="567"/>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根据国家化学品登记中心具体通知落实相关工作，2022年12月底前完成各项工作指标。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firstLineChars="181"/>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项目效益指标完成情况良好。</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满意度指标：危险化学品登记企业对于受理工作满意度，设备使用人员满意度，均达标。</w:t>
      </w:r>
    </w:p>
    <w:p>
      <w:pPr>
        <w:numPr>
          <w:ilvl w:val="0"/>
          <w:numId w:val="1"/>
        </w:numPr>
        <w:spacing w:line="540" w:lineRule="exact"/>
        <w:ind w:firstLine="640"/>
        <w:rPr>
          <w:rStyle w:val="17"/>
          <w:rFonts w:ascii="黑体" w:hAnsi="黑体" w:eastAsia="黑体"/>
          <w:b w:val="0"/>
          <w:spacing w:val="-4"/>
          <w:sz w:val="32"/>
          <w:szCs w:val="32"/>
        </w:rPr>
      </w:pPr>
      <w:r>
        <w:rPr>
          <w:rStyle w:val="17"/>
          <w:rFonts w:ascii="黑体" w:hAnsi="黑体" w:eastAsia="黑体"/>
          <w:b w:val="0"/>
          <w:spacing w:val="-4"/>
          <w:sz w:val="32"/>
          <w:szCs w:val="32"/>
        </w:rPr>
        <w:t>主要经验及做法、存在的问题及原因分析</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(一）主要经验及做法</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严格按照国家化学品登记中心和自治区应急管理厅的要求，开展危险化学品登记注册，做好新版系统的应用推广工作，建立和完善危险化学品登记信息数据库，加强危险化学品的安全管理，为危险化学品事故预防和应急救援提供技术、信息支持。</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（1）加强组织领导保障。加强组织领导，做好部门协调，充分调动各方面的积极性，明确工作职责，落实工作责任。</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lang w:val="en-US" w:eastAsia="zh-CN"/>
        </w:rPr>
        <w:t>（2）加强专项资金管理。做到专款专用，防止截留、挤占、挪用，并严格执行资金审批拨付程序，确保工作顺利推进。</w:t>
      </w:r>
    </w:p>
    <w:p>
      <w:p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（二）存在的问题及原因分析</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1、进口危险化学品企业登记工作推进缓慢。</w:t>
      </w:r>
    </w:p>
    <w:p>
      <w:pPr>
        <w:spacing w:line="540" w:lineRule="exact"/>
        <w:ind w:firstLine="624" w:firstLineChars="200"/>
        <w:rPr>
          <w:rStyle w:val="17"/>
          <w:rFonts w:hint="eastAsia" w:ascii="仿宋" w:hAnsi="仿宋" w:eastAsia="仿宋"/>
          <w:b w:val="0"/>
          <w:spacing w:val="-4"/>
          <w:sz w:val="32"/>
          <w:szCs w:val="32"/>
          <w:lang w:val="en-US" w:eastAsia="zh-CN"/>
        </w:rPr>
      </w:pPr>
      <w:r>
        <w:rPr>
          <w:rStyle w:val="17"/>
          <w:rFonts w:hint="eastAsia" w:ascii="仿宋" w:hAnsi="仿宋" w:eastAsia="仿宋"/>
          <w:b w:val="0"/>
          <w:spacing w:val="-4"/>
          <w:sz w:val="32"/>
          <w:szCs w:val="32"/>
        </w:rPr>
        <w:t>2、登记系统待进一步提升功能性和稳定性。</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无有关建议。</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无其他需要说明问题</w:t>
      </w:r>
    </w:p>
    <w:p>
      <w:pPr>
        <w:spacing w:line="540" w:lineRule="exact"/>
        <w:ind w:firstLine="627" w:firstLineChars="200"/>
        <w:rPr>
          <w:rStyle w:val="17"/>
          <w:rFonts w:ascii="楷体" w:hAnsi="楷体" w:eastAsia="楷体"/>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黑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微软雅黑">
    <w:panose1 w:val="020B0503020204020204"/>
    <w:charset w:val="86"/>
    <w:family w:val="script"/>
    <w:pitch w:val="default"/>
    <w:sig w:usb0="80000287" w:usb1="280F3C52"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77228164">
    <w:nsid w:val="63F87884"/>
    <w:multiLevelType w:val="singleLevel"/>
    <w:tmpl w:val="63F87884"/>
    <w:lvl w:ilvl="0" w:tentative="1">
      <w:start w:val="5"/>
      <w:numFmt w:val="chineseCounting"/>
      <w:suff w:val="nothing"/>
      <w:lvlText w:val="%1、"/>
      <w:lvlJc w:val="left"/>
    </w:lvl>
  </w:abstractNum>
  <w:num w:numId="1">
    <w:abstractNumId w:val="16772281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6ED0F6A"/>
    <w:rsid w:val="0CB44F22"/>
    <w:rsid w:val="0E3B7968"/>
    <w:rsid w:val="108F6B38"/>
    <w:rsid w:val="1D1513DE"/>
    <w:rsid w:val="3BF406F1"/>
    <w:rsid w:val="45724A17"/>
    <w:rsid w:val="4D2606A1"/>
    <w:rsid w:val="51592EBE"/>
    <w:rsid w:val="62EE3C5C"/>
    <w:rsid w:val="68546F36"/>
    <w:rsid w:val="78CA163A"/>
    <w:rsid w:val="7CA21C8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2">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3"/>
    <w:qFormat/>
    <w:uiPriority w:val="9"/>
    <w:rPr>
      <w:rFonts w:asciiTheme="majorHAnsi" w:hAnsiTheme="majorHAnsi" w:eastAsiaTheme="majorEastAsia"/>
      <w:b/>
      <w:bCs/>
      <w:kern w:val="32"/>
      <w:sz w:val="32"/>
      <w:szCs w:val="32"/>
    </w:rPr>
  </w:style>
  <w:style w:type="character" w:customStyle="1" w:styleId="21">
    <w:name w:val="标题 2 字符"/>
    <w:basedOn w:val="16"/>
    <w:link w:val="4"/>
    <w:semiHidden/>
    <w:qFormat/>
    <w:uiPriority w:val="9"/>
    <w:rPr>
      <w:rFonts w:asciiTheme="majorHAnsi" w:hAnsiTheme="majorHAnsi" w:eastAsiaTheme="majorEastAsia"/>
      <w:b/>
      <w:bCs/>
      <w:i/>
      <w:iCs/>
      <w:sz w:val="28"/>
      <w:szCs w:val="28"/>
    </w:rPr>
  </w:style>
  <w:style w:type="character" w:customStyle="1" w:styleId="22">
    <w:name w:val="标题 3 字符"/>
    <w:basedOn w:val="16"/>
    <w:link w:val="5"/>
    <w:semiHidden/>
    <w:qFormat/>
    <w:uiPriority w:val="9"/>
    <w:rPr>
      <w:rFonts w:asciiTheme="majorHAnsi" w:hAnsiTheme="majorHAnsi" w:eastAsiaTheme="majorEastAsia"/>
      <w:b/>
      <w:bCs/>
      <w:sz w:val="26"/>
      <w:szCs w:val="26"/>
    </w:rPr>
  </w:style>
  <w:style w:type="character" w:customStyle="1" w:styleId="23">
    <w:name w:val="标题 4 字符"/>
    <w:basedOn w:val="16"/>
    <w:link w:val="2"/>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3"/>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2023-02-27T10:13:51Z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