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（2022年度）</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rPr>
          <w:rFonts w:hAnsi="宋体" w:eastAsia="仿宋_GB2312" w:cs="宋体"/>
          <w:kern w:val="0"/>
          <w:sz w:val="30"/>
          <w:szCs w:val="30"/>
        </w:rPr>
      </w:pPr>
    </w:p>
    <w:p>
      <w:pPr>
        <w:spacing w:line="700" w:lineRule="exact"/>
        <w:jc w:val="left"/>
        <w:rPr>
          <w:rFonts w:hAnsi="宋体" w:eastAsia="仿宋_GB2312" w:cs="宋体"/>
          <w:kern w:val="0"/>
          <w:sz w:val="36"/>
          <w:szCs w:val="36"/>
        </w:rPr>
      </w:pPr>
    </w:p>
    <w:p>
      <w:pPr>
        <w:spacing w:line="700" w:lineRule="exact"/>
        <w:ind w:firstLine="900" w:firstLineChars="250"/>
        <w:jc w:val="left"/>
        <w:rPr>
          <w:rFonts w:cs="宋体" w:asciiTheme="majorEastAsia" w:hAnsiTheme="majorEastAsia" w:eastAsiaTheme="majorEastAsia"/>
          <w:kern w:val="0"/>
          <w:sz w:val="30"/>
          <w:szCs w:val="30"/>
        </w:rPr>
      </w:pPr>
      <w:r>
        <w:rPr>
          <w:rFonts w:hint="eastAsia" w:hAnsi="宋体" w:eastAsia="仿宋_GB2312" w:cs="宋体"/>
          <w:kern w:val="0"/>
          <w:sz w:val="36"/>
          <w:szCs w:val="36"/>
        </w:rPr>
        <w:t>项目名称：</w:t>
      </w:r>
      <w:r>
        <w:rPr>
          <w:rFonts w:hint="eastAsia" w:asciiTheme="majorEastAsia" w:hAnsiTheme="majorEastAsia" w:eastAsiaTheme="majorEastAsia"/>
          <w:color w:val="333333"/>
          <w:sz w:val="30"/>
          <w:szCs w:val="30"/>
          <w:shd w:val="clear" w:color="auto" w:fill="FFFFFF"/>
        </w:rPr>
        <w:t>2022年自治区残疾人事业发展补助资金项目</w:t>
      </w:r>
    </w:p>
    <w:p>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Fonts w:hint="eastAsia"/>
          <w:color w:val="333333"/>
          <w:sz w:val="24"/>
          <w:szCs w:val="24"/>
          <w:shd w:val="clear" w:color="auto" w:fill="FFFFFF"/>
        </w:rPr>
        <w:t>新疆维吾尔自治区残疾人</w:t>
      </w:r>
      <w:r>
        <w:rPr>
          <w:rFonts w:hint="eastAsia"/>
          <w:color w:val="333333"/>
          <w:sz w:val="24"/>
          <w:szCs w:val="24"/>
          <w:shd w:val="clear" w:color="auto" w:fill="FFFFFF"/>
          <w:lang w:eastAsia="zh-CN"/>
        </w:rPr>
        <w:t>联合会信息</w:t>
      </w:r>
      <w:r>
        <w:rPr>
          <w:rFonts w:hint="eastAsia"/>
          <w:color w:val="333333"/>
          <w:sz w:val="24"/>
          <w:szCs w:val="24"/>
          <w:shd w:val="clear" w:color="auto" w:fill="FFFFFF"/>
        </w:rPr>
        <w:t>中心</w:t>
      </w:r>
    </w:p>
    <w:p>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color w:val="333333"/>
          <w:sz w:val="24"/>
          <w:szCs w:val="24"/>
          <w:shd w:val="clear" w:color="auto" w:fill="FFFFFF"/>
        </w:rPr>
        <w:t>新疆维吾尔区残疾人联合会</w:t>
      </w:r>
    </w:p>
    <w:p>
      <w:pPr>
        <w:spacing w:line="540" w:lineRule="exact"/>
        <w:ind w:firstLine="900" w:firstLineChars="250"/>
        <w:rPr>
          <w:rFonts w:hint="eastAsia" w:eastAsia="仿宋_GB2312"/>
          <w:color w:val="333333"/>
          <w:sz w:val="28"/>
          <w:szCs w:val="28"/>
          <w:shd w:val="clear" w:color="auto" w:fill="FFFFFF"/>
          <w:lang w:eastAsia="zh-CN"/>
        </w:rPr>
      </w:pPr>
      <w:r>
        <w:rPr>
          <w:rFonts w:hint="eastAsia" w:hAnsi="宋体" w:eastAsia="仿宋_GB2312" w:cs="宋体"/>
          <w:kern w:val="0"/>
          <w:sz w:val="36"/>
          <w:szCs w:val="36"/>
        </w:rPr>
        <w:t>项目负责人（签章）：</w:t>
      </w:r>
      <w:r>
        <w:rPr>
          <w:rFonts w:hint="eastAsia" w:eastAsia="仿宋_GB2312"/>
          <w:color w:val="333333"/>
          <w:sz w:val="24"/>
          <w:shd w:val="clear" w:color="auto" w:fill="FFFFFF"/>
          <w:lang w:eastAsia="zh-CN"/>
        </w:rPr>
        <w:t>邓君华</w:t>
      </w:r>
    </w:p>
    <w:p>
      <w:pPr>
        <w:spacing w:line="540" w:lineRule="exact"/>
        <w:ind w:left="273" w:firstLine="567"/>
        <w:rPr>
          <w:rStyle w:val="22"/>
          <w:rFonts w:ascii="楷体" w:hAnsi="楷体" w:eastAsia="楷体"/>
          <w:spacing w:val="-4"/>
          <w:sz w:val="32"/>
          <w:szCs w:val="32"/>
        </w:rPr>
      </w:pPr>
      <w:r>
        <w:rPr>
          <w:rFonts w:hint="eastAsia" w:hAnsi="宋体" w:eastAsia="仿宋_GB2312" w:cs="宋体"/>
          <w:kern w:val="0"/>
          <w:sz w:val="36"/>
          <w:szCs w:val="36"/>
        </w:rPr>
        <w:t>填报时间：2023年</w:t>
      </w:r>
      <w:r>
        <w:rPr>
          <w:rFonts w:hint="eastAsia" w:hAnsi="宋体" w:eastAsia="仿宋_GB2312" w:cs="宋体"/>
          <w:kern w:val="0"/>
          <w:sz w:val="36"/>
          <w:szCs w:val="36"/>
          <w:lang w:val="en-US" w:eastAsia="zh-CN"/>
        </w:rPr>
        <w:t>1</w:t>
      </w:r>
      <w:r>
        <w:rPr>
          <w:rFonts w:hint="eastAsia" w:hAnsi="宋体" w:eastAsia="仿宋_GB2312" w:cs="宋体"/>
          <w:kern w:val="0"/>
          <w:sz w:val="36"/>
          <w:szCs w:val="36"/>
        </w:rPr>
        <w:t>月</w:t>
      </w:r>
      <w:r>
        <w:rPr>
          <w:rFonts w:hint="eastAsia" w:hAnsi="宋体" w:eastAsia="仿宋_GB2312" w:cs="宋体"/>
          <w:kern w:val="0"/>
          <w:sz w:val="36"/>
          <w:szCs w:val="36"/>
          <w:lang w:val="en-US" w:eastAsia="zh-CN"/>
        </w:rPr>
        <w:t>3</w:t>
      </w:r>
      <w:r>
        <w:rPr>
          <w:rFonts w:hint="eastAsia" w:hAnsi="宋体" w:eastAsia="仿宋_GB2312" w:cs="宋体"/>
          <w:kern w:val="0"/>
          <w:sz w:val="36"/>
          <w:szCs w:val="36"/>
        </w:rPr>
        <w:t>日</w:t>
      </w:r>
    </w:p>
    <w:p>
      <w:pPr>
        <w:spacing w:line="700" w:lineRule="exact"/>
        <w:ind w:firstLine="708" w:firstLineChars="236"/>
        <w:jc w:val="left"/>
        <w:rPr>
          <w:rFonts w:hAnsi="宋体" w:eastAsia="仿宋_GB2312" w:cs="宋体"/>
          <w:kern w:val="0"/>
          <w:sz w:val="30"/>
          <w:szCs w:val="30"/>
        </w:rPr>
      </w:pPr>
    </w:p>
    <w:p>
      <w:pPr>
        <w:spacing w:line="540" w:lineRule="exact"/>
        <w:rPr>
          <w:rStyle w:val="22"/>
          <w:rFonts w:ascii="黑体" w:hAnsi="黑体" w:eastAsia="黑体"/>
          <w:b w:val="0"/>
          <w:spacing w:val="-4"/>
          <w:sz w:val="32"/>
          <w:szCs w:val="32"/>
        </w:rPr>
      </w:pPr>
    </w:p>
    <w:p>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一、基本情况</w:t>
      </w:r>
    </w:p>
    <w:p>
      <w:pPr>
        <w:spacing w:line="540" w:lineRule="exact"/>
        <w:ind w:firstLine="567"/>
        <w:rPr>
          <w:rStyle w:val="22"/>
          <w:rFonts w:ascii="楷体" w:hAnsi="楷体" w:eastAsia="楷体"/>
          <w:spacing w:val="-4"/>
          <w:sz w:val="32"/>
          <w:szCs w:val="32"/>
        </w:rPr>
      </w:pPr>
      <w:r>
        <w:rPr>
          <w:rStyle w:val="22"/>
          <w:rFonts w:hint="eastAsia" w:ascii="楷体" w:hAnsi="楷体" w:eastAsia="楷体"/>
          <w:spacing w:val="-4"/>
          <w:sz w:val="32"/>
          <w:szCs w:val="32"/>
        </w:rPr>
        <w:t>（一）项目概况。包括项目背景、主要内容及实施情况、资金投入和使用情况等。</w:t>
      </w:r>
    </w:p>
    <w:p>
      <w:pPr>
        <w:ind w:firstLine="940" w:firstLineChars="300"/>
        <w:rPr>
          <w:rFonts w:hint="eastAsia" w:asciiTheme="minorEastAsia" w:hAnsiTheme="minorEastAsia" w:eastAsiaTheme="minorEastAsia"/>
          <w:sz w:val="32"/>
          <w:szCs w:val="32"/>
          <w:lang w:eastAsia="zh-CN"/>
        </w:rPr>
      </w:pPr>
      <w:r>
        <w:rPr>
          <w:rStyle w:val="22"/>
          <w:rFonts w:hint="eastAsia" w:ascii="楷体" w:hAnsi="楷体" w:eastAsia="楷体"/>
          <w:spacing w:val="-4"/>
          <w:sz w:val="32"/>
          <w:szCs w:val="32"/>
        </w:rPr>
        <w:t>项目背景：</w:t>
      </w:r>
      <w:r>
        <w:rPr>
          <w:rFonts w:hint="eastAsia" w:asciiTheme="minorEastAsia" w:hAnsiTheme="minorEastAsia" w:eastAsiaTheme="minorEastAsia"/>
          <w:sz w:val="32"/>
          <w:szCs w:val="32"/>
          <w:lang w:eastAsia="zh-CN"/>
        </w:rPr>
        <w:t>《网络安全法》、《关于关键信息基础设施安全保护工作有关事项的通知》（网信委[2019]3号）和自治区残联、发展和改革委、财政厅等部门《关于印发自治区残疾人事业信息化建设“十三五”实施方案的通知》“加强信息系统安全体系建设”。</w:t>
      </w:r>
    </w:p>
    <w:p>
      <w:pPr>
        <w:ind w:firstLine="960" w:firstLineChars="3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val="en-US" w:eastAsia="zh-CN"/>
        </w:rPr>
        <w:t>①</w:t>
      </w:r>
      <w:r>
        <w:rPr>
          <w:rFonts w:hint="eastAsia" w:asciiTheme="minorEastAsia" w:hAnsiTheme="minorEastAsia" w:eastAsiaTheme="minorEastAsia"/>
          <w:sz w:val="32"/>
          <w:szCs w:val="32"/>
          <w:lang w:eastAsia="zh-CN"/>
        </w:rPr>
        <w:t>考虑到当前的疫情形势，自治区残联与14个地州残联组织间需要定期频繁进行视频会议，以传达部署相关工作，在当前建设高清视频会议系统已是当务之急；②运用“互联网+”思维建设视频会议系统，是做好疫情防控常态化背景下残疾人基本民生保障工作的重要手段，有利于指导基层残联开展好各项业务工作，加大对残疾人的帮扶救助力度。③通过视频会议系统，可以在任意两个、多个点之间视频互通，进行工作协调，指导工作推进，满足自治区残联与各地州市残联随时进行交互式视频需要，以便加强实时沟通，提高沟通效率，降低差旅成本，提升整体执行力及响应速度。</w:t>
      </w:r>
    </w:p>
    <w:p>
      <w:pPr>
        <w:ind w:firstLine="960" w:firstLineChars="300"/>
        <w:rPr>
          <w:rFonts w:hint="eastAsia" w:asciiTheme="minorEastAsia" w:hAnsiTheme="minorEastAsia" w:eastAsiaTheme="minorEastAsia"/>
          <w:sz w:val="32"/>
          <w:szCs w:val="32"/>
          <w:lang w:eastAsia="zh-CN"/>
        </w:rPr>
      </w:pPr>
      <w:r>
        <w:rPr>
          <w:rFonts w:hint="eastAsia" w:asciiTheme="minorEastAsia" w:hAnsiTheme="minorEastAsia" w:eastAsiaTheme="minorEastAsia"/>
          <w:sz w:val="32"/>
          <w:szCs w:val="32"/>
          <w:lang w:eastAsia="zh-CN"/>
        </w:rPr>
        <w:t>关于印发《关于加快推进自治区政务信息系统迁移整令和密码应用安全性保护工作方案》的通知，新机传【2021】197号新机41063。</w:t>
      </w:r>
    </w:p>
    <w:p>
      <w:pPr>
        <w:ind w:firstLine="664" w:firstLineChars="200"/>
        <w:rPr>
          <w:rFonts w:asciiTheme="minorEastAsia" w:hAnsiTheme="minorEastAsia" w:eastAsiaTheme="minorEastAsia"/>
          <w:spacing w:val="6"/>
          <w:sz w:val="32"/>
          <w:szCs w:val="32"/>
        </w:rPr>
      </w:pPr>
    </w:p>
    <w:p>
      <w:pPr>
        <w:spacing w:line="540" w:lineRule="exact"/>
        <w:ind w:firstLine="567"/>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2.主要内容及实施情况</w:t>
      </w:r>
    </w:p>
    <w:p>
      <w:pPr>
        <w:ind w:firstLine="960" w:firstLineChars="300"/>
        <w:rPr>
          <w:rFonts w:hint="eastAsia" w:cs="仿宋" w:asciiTheme="minorEastAsia" w:hAnsiTheme="minorEastAsia" w:eastAsiaTheme="minorEastAsia"/>
          <w:sz w:val="32"/>
          <w:szCs w:val="32"/>
        </w:rPr>
      </w:pPr>
      <w:r>
        <w:rPr>
          <w:rFonts w:hint="eastAsia" w:asciiTheme="minorEastAsia" w:hAnsiTheme="minorEastAsia" w:eastAsiaTheme="minorEastAsia"/>
          <w:sz w:val="32"/>
          <w:szCs w:val="32"/>
        </w:rPr>
        <w:t>2022年自治区残疾人事业发展补助资金</w:t>
      </w:r>
      <w:r>
        <w:rPr>
          <w:rFonts w:hint="eastAsia" w:asciiTheme="minorEastAsia" w:hAnsiTheme="minorEastAsia" w:eastAsiaTheme="minorEastAsia"/>
          <w:sz w:val="32"/>
          <w:szCs w:val="32"/>
          <w:lang w:val="en-US" w:eastAsia="zh-CN"/>
        </w:rPr>
        <w:t>180</w:t>
      </w:r>
      <w:r>
        <w:rPr>
          <w:rFonts w:hint="eastAsia" w:asciiTheme="minorEastAsia" w:hAnsiTheme="minorEastAsia" w:eastAsiaTheme="minorEastAsia"/>
          <w:sz w:val="32"/>
          <w:szCs w:val="32"/>
        </w:rPr>
        <w:t>万元</w:t>
      </w:r>
      <w:r>
        <w:rPr>
          <w:rFonts w:hint="eastAsia" w:asciiTheme="minorEastAsia" w:hAnsiTheme="minorEastAsia" w:eastAsiaTheme="minorEastAsia"/>
          <w:sz w:val="32"/>
          <w:szCs w:val="32"/>
          <w:lang w:eastAsia="zh-CN"/>
        </w:rPr>
        <w:t>，其中一般公共预算</w:t>
      </w:r>
      <w:r>
        <w:rPr>
          <w:rFonts w:hint="eastAsia" w:asciiTheme="minorEastAsia" w:hAnsiTheme="minorEastAsia" w:eastAsiaTheme="minorEastAsia"/>
          <w:sz w:val="32"/>
          <w:szCs w:val="32"/>
          <w:lang w:val="en-US" w:eastAsia="zh-CN"/>
        </w:rPr>
        <w:t>180万元。</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1</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对自治区残联进行网络安全等级保护测评和关键信息基础设施整改与加固工作，从而使单位信息系统达到国家等级保护的建设标准；</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2</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购买网上协同办公系统客户端和安全管理软件，保证残联OA系统的正常运行，为自治区残联进一步提升办公效率、强化为残疾人服务提供支持和保障；</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3</w:t>
      </w:r>
      <w:r>
        <w:rPr>
          <w:rFonts w:hint="eastAsia" w:asciiTheme="minorEastAsia" w:hAnsiTheme="minorEastAsia" w:eastAsiaTheme="minorEastAsia"/>
          <w:sz w:val="32"/>
          <w:szCs w:val="32"/>
          <w:lang w:eastAsia="zh-CN"/>
        </w:rPr>
        <w:t>）</w:t>
      </w:r>
      <w:r>
        <w:rPr>
          <w:rFonts w:hint="eastAsia" w:asciiTheme="minorEastAsia" w:hAnsiTheme="minorEastAsia" w:eastAsiaTheme="minorEastAsia"/>
          <w:sz w:val="32"/>
          <w:szCs w:val="32"/>
        </w:rPr>
        <w:t>实现残疾人大数据管理平台、OA、内控、网站业务系统的密码应用安全。</w:t>
      </w:r>
    </w:p>
    <w:p>
      <w:pPr>
        <w:snapToGrid w:val="0"/>
        <w:spacing w:line="520" w:lineRule="exact"/>
        <w:ind w:firstLine="640" w:firstLineChars="200"/>
        <w:rPr>
          <w:rFonts w:hint="eastAsia" w:asciiTheme="minorEastAsia" w:hAnsiTheme="minorEastAsia" w:eastAsiaTheme="minorEastAsia"/>
          <w:sz w:val="32"/>
          <w:szCs w:val="32"/>
          <w:highlight w:val="none"/>
          <w:lang w:eastAsia="zh-CN"/>
        </w:rPr>
      </w:pPr>
      <w:r>
        <w:rPr>
          <w:rFonts w:hint="eastAsia" w:asciiTheme="minorEastAsia" w:hAnsiTheme="minorEastAsia" w:eastAsiaTheme="minorEastAsia"/>
          <w:sz w:val="32"/>
          <w:szCs w:val="32"/>
        </w:rPr>
        <w:t>截至2022年12月底，</w:t>
      </w:r>
      <w:r>
        <w:rPr>
          <w:rFonts w:hint="eastAsia" w:asciiTheme="minorEastAsia" w:hAnsiTheme="minorEastAsia" w:eastAsiaTheme="minorEastAsia"/>
          <w:sz w:val="32"/>
          <w:szCs w:val="32"/>
          <w:lang w:eastAsia="zh-CN"/>
        </w:rPr>
        <w:t>完成了</w:t>
      </w:r>
      <w:bookmarkStart w:id="1" w:name="_GoBack"/>
      <w:r>
        <w:rPr>
          <w:rFonts w:hint="eastAsia" w:asciiTheme="minorEastAsia" w:hAnsiTheme="minorEastAsia" w:eastAsiaTheme="minorEastAsia"/>
          <w:sz w:val="32"/>
          <w:szCs w:val="32"/>
          <w:highlight w:val="none"/>
          <w:lang w:eastAsia="zh-CN"/>
        </w:rPr>
        <w:t>自治区残联信创项目</w:t>
      </w:r>
      <w:r>
        <w:rPr>
          <w:rFonts w:hint="eastAsia" w:asciiTheme="minorEastAsia" w:hAnsiTheme="minorEastAsia" w:eastAsiaTheme="minorEastAsia"/>
          <w:sz w:val="32"/>
          <w:szCs w:val="32"/>
          <w:highlight w:val="none"/>
          <w:lang w:val="en-US" w:eastAsia="zh-CN"/>
        </w:rPr>
        <w:t>2022年的项目实施工作，并报送了未来5年全面替代工程的实施计划，做好了信息中心的固定资产清查工作，开展了信息技术、视频会议系统、残疾人服务平台、网站信息报送等业务的技术培训和指导工作，全年保障对接全国视频会议十余场，保障自治区级视频会议十余场。协助机关完成机要室BM检查和整改工作，完成各部室和事业单位信息化设备的保养维护工作，及时排除出现的软硬件故障。</w:t>
      </w:r>
    </w:p>
    <w:bookmarkEnd w:id="1"/>
    <w:p>
      <w:p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3.资金投入和使用情况</w:t>
      </w:r>
    </w:p>
    <w:p>
      <w:pPr>
        <w:pStyle w:val="13"/>
        <w:tabs>
          <w:tab w:val="left" w:pos="6372"/>
        </w:tabs>
        <w:adjustRightInd w:val="0"/>
        <w:snapToGrid w:val="0"/>
        <w:spacing w:line="500" w:lineRule="exact"/>
        <w:ind w:firstLine="640" w:firstLineChars="200"/>
        <w:rPr>
          <w:rStyle w:val="22"/>
          <w:rFonts w:cs="仿宋_GB2312" w:asciiTheme="minorEastAsia" w:hAnsiTheme="minorEastAsia" w:eastAsiaTheme="minorEastAsia"/>
          <w:b w:val="0"/>
          <w:bCs w:val="0"/>
          <w:sz w:val="32"/>
          <w:szCs w:val="32"/>
        </w:rPr>
      </w:pPr>
      <w:r>
        <w:rPr>
          <w:rFonts w:hint="eastAsia" w:asciiTheme="minorEastAsia" w:hAnsiTheme="minorEastAsia" w:eastAsiaTheme="minorEastAsia"/>
          <w:sz w:val="32"/>
          <w:szCs w:val="32"/>
        </w:rPr>
        <w:t>自治区财政厅2022年1月拨付残疾人事业发展补助资金</w:t>
      </w:r>
      <w:r>
        <w:rPr>
          <w:rFonts w:hint="eastAsia" w:asciiTheme="minorEastAsia" w:hAnsiTheme="minorEastAsia" w:eastAsiaTheme="minorEastAsia"/>
          <w:sz w:val="32"/>
          <w:szCs w:val="32"/>
          <w:lang w:val="en-US" w:eastAsia="zh-CN"/>
        </w:rPr>
        <w:t>180</w:t>
      </w:r>
      <w:r>
        <w:rPr>
          <w:rFonts w:hint="eastAsia" w:asciiTheme="minorEastAsia" w:hAnsiTheme="minorEastAsia" w:eastAsiaTheme="minorEastAsia"/>
          <w:sz w:val="32"/>
          <w:szCs w:val="32"/>
        </w:rPr>
        <w:t>万元，截至12月底，</w:t>
      </w:r>
      <w:r>
        <w:rPr>
          <w:rFonts w:hint="eastAsia" w:cs="仿宋_GB2312" w:asciiTheme="minorEastAsia" w:hAnsiTheme="minorEastAsia" w:eastAsiaTheme="minorEastAsia"/>
          <w:sz w:val="32"/>
          <w:szCs w:val="32"/>
        </w:rPr>
        <w:t>该项目实际支付</w:t>
      </w:r>
      <w:r>
        <w:rPr>
          <w:rFonts w:hint="eastAsia" w:cs="仿宋_GB2312" w:asciiTheme="minorEastAsia" w:hAnsiTheme="minorEastAsia" w:eastAsiaTheme="minorEastAsia"/>
          <w:sz w:val="32"/>
          <w:szCs w:val="32"/>
          <w:lang w:val="en-US" w:eastAsia="zh-CN"/>
        </w:rPr>
        <w:t>178.77</w:t>
      </w:r>
      <w:r>
        <w:rPr>
          <w:rFonts w:hint="eastAsia" w:cs="仿宋_GB2312" w:asciiTheme="minorEastAsia" w:hAnsiTheme="minorEastAsia" w:eastAsiaTheme="minorEastAsia"/>
          <w:sz w:val="32"/>
          <w:szCs w:val="32"/>
        </w:rPr>
        <w:t>万元，支付完成率9</w:t>
      </w:r>
      <w:r>
        <w:rPr>
          <w:rFonts w:hint="eastAsia" w:cs="仿宋_GB2312" w:asciiTheme="minorEastAsia" w:hAnsiTheme="minorEastAsia" w:eastAsiaTheme="minorEastAsia"/>
          <w:sz w:val="32"/>
          <w:szCs w:val="32"/>
          <w:lang w:val="en-US" w:eastAsia="zh-CN"/>
        </w:rPr>
        <w:t>9.3</w:t>
      </w:r>
      <w:r>
        <w:rPr>
          <w:rFonts w:hint="eastAsia" w:cs="仿宋_GB2312" w:asciiTheme="minorEastAsia" w:hAnsiTheme="minorEastAsia" w:eastAsiaTheme="minorEastAsia"/>
          <w:sz w:val="32"/>
          <w:szCs w:val="32"/>
        </w:rPr>
        <w:t>%。</w:t>
      </w:r>
    </w:p>
    <w:p>
      <w:pPr>
        <w:snapToGrid w:val="0"/>
        <w:spacing w:line="520" w:lineRule="exact"/>
        <w:ind w:firstLine="627" w:firstLineChars="200"/>
        <w:rPr>
          <w:rFonts w:hint="eastAsia" w:cs="仿宋_GB2312" w:asciiTheme="minorEastAsia" w:hAnsiTheme="minorEastAsia" w:eastAsiaTheme="minorEastAsia"/>
          <w:kern w:val="2"/>
          <w:sz w:val="32"/>
          <w:szCs w:val="32"/>
          <w:lang w:val="en-US" w:eastAsia="zh-CN" w:bidi="ar-SA"/>
        </w:rPr>
      </w:pPr>
      <w:r>
        <w:rPr>
          <w:rStyle w:val="22"/>
          <w:rFonts w:hint="eastAsia" w:asciiTheme="minorEastAsia" w:hAnsiTheme="minorEastAsia" w:eastAsiaTheme="minorEastAsia"/>
          <w:spacing w:val="-4"/>
          <w:sz w:val="32"/>
          <w:szCs w:val="32"/>
        </w:rPr>
        <w:t>（二）项目绩效目标。</w:t>
      </w:r>
      <w:r>
        <w:rPr>
          <w:rFonts w:hint="eastAsia" w:cs="仿宋_GB2312" w:asciiTheme="minorEastAsia" w:hAnsiTheme="minorEastAsia" w:eastAsiaTheme="minorEastAsia"/>
          <w:kern w:val="2"/>
          <w:sz w:val="32"/>
          <w:szCs w:val="32"/>
          <w:lang w:val="en-US" w:eastAsia="zh-CN" w:bidi="ar-SA"/>
        </w:rPr>
        <w:t>信息中心本年度依照年初工作计划，1、建立与数据比对交换机制，积极促进残疾人脱贫攻坚，通过政务外网+前置机的方式，打通了数据交换通道；配合完善自治区防止返贫致贫监测预警机制平台中残疾人的相关数据，新增了残疾类别、残疾等级、致残原因、办证时间等数据，促进了残疾人扶贫政策和措施的落实；积极参加自治区脱贫攻坚普查数据审核工作，摸清残疾人稳定脱贫底数，重点参与审核各类普查表中残疾人以及享受残疾人各项政策情况。2、做好自治区残疾人联合会大数据采集交换和决策分析系统项目建设。积极推进智能化残疾人证换发工作，落实智能证的社会应用。推进克拉玛依市、乌鲁木齐市、伊犁州、阿勒泰地区、塔城地区、哈密市、博州和昌吉、吐鲁番、巴州、阿克苏智能化残疾人证发放工作。3、</w:t>
      </w:r>
      <w:r>
        <w:rPr>
          <w:rFonts w:hint="eastAsia" w:cs="仿宋_GB2312" w:asciiTheme="minorEastAsia" w:hAnsiTheme="minorEastAsia" w:eastAsiaTheme="minorEastAsia"/>
          <w:kern w:val="2"/>
          <w:sz w:val="32"/>
          <w:szCs w:val="32"/>
          <w:lang w:val="zh-CN" w:eastAsia="zh-CN" w:bidi="ar-SA"/>
        </w:rPr>
        <w:t>做好事业统计工作，积极和业务部门沟通，审核、确认、上报2019年的台账和年报数据，在疫情期间、利用电话、QQ、微信等技术方法和中国残联及地州市残联进行沟通联系，较好地完成自治区残疾人事业统计工作，编制工作。</w:t>
      </w:r>
      <w:r>
        <w:rPr>
          <w:rFonts w:hint="eastAsia" w:cs="仿宋_GB2312" w:asciiTheme="minorEastAsia" w:hAnsiTheme="minorEastAsia" w:eastAsiaTheme="minorEastAsia"/>
          <w:kern w:val="2"/>
          <w:sz w:val="32"/>
          <w:szCs w:val="32"/>
          <w:lang w:val="en-US" w:eastAsia="zh-CN" w:bidi="ar-SA"/>
        </w:rPr>
        <w:t>4、推进</w:t>
      </w:r>
      <w:r>
        <w:rPr>
          <w:rFonts w:hint="eastAsia" w:cs="仿宋_GB2312" w:asciiTheme="minorEastAsia" w:hAnsiTheme="minorEastAsia" w:eastAsiaTheme="minorEastAsia"/>
          <w:kern w:val="2"/>
          <w:sz w:val="32"/>
          <w:szCs w:val="32"/>
          <w:lang w:val="zh-CN" w:eastAsia="zh-CN" w:bidi="ar-SA"/>
        </w:rPr>
        <w:t>自治区残联协同办公系统建设。5、自治区残联信息系统等级保护测评和整改工作。</w:t>
      </w:r>
    </w:p>
    <w:p>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二、</w:t>
      </w:r>
      <w:r>
        <w:rPr>
          <w:rStyle w:val="22"/>
          <w:rFonts w:hint="eastAsia"/>
          <w:spacing w:val="-4"/>
          <w:sz w:val="32"/>
          <w:szCs w:val="32"/>
        </w:rPr>
        <w:t>绩效评价工作开展情况</w:t>
      </w:r>
    </w:p>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（一）绩效评价目的、对象和范围。</w:t>
      </w:r>
    </w:p>
    <w:p>
      <w:pPr>
        <w:pStyle w:val="11"/>
        <w:ind w:firstLine="640"/>
        <w:rPr>
          <w:rFonts w:hint="eastAsia" w:cs="仿宋" w:asciiTheme="minorEastAsia" w:hAnsiTheme="minorEastAsia" w:eastAsiaTheme="minorEastAsia"/>
          <w:sz w:val="32"/>
          <w:szCs w:val="32"/>
        </w:rPr>
      </w:pPr>
      <w:r>
        <w:rPr>
          <w:rFonts w:hint="eastAsia" w:cs="仿宋" w:asciiTheme="minorEastAsia" w:hAnsiTheme="minorEastAsia" w:eastAsiaTheme="minorEastAsia"/>
          <w:sz w:val="32"/>
          <w:szCs w:val="32"/>
        </w:rPr>
        <w:t>1.绩效评价目的：运用科学、规范的绩效评价方法，按照财政部《项目支出绩效评价管理办法》，对项目进行科学评价，包括预算编制合理性、资金使用合规性、项目管理的规范性、项目目标的实现情况、服务对象的满意度等，通过本次绩效评价来总结经验和教训，促进项目成果转化和应用，为今后类似项目的长效管理，提供可行性参考建议。以绩效目标为依据，从决策、产出、管理、效果四个维度，对新疆维吾尔自治区残疾人</w:t>
      </w:r>
      <w:r>
        <w:rPr>
          <w:rFonts w:hint="eastAsia" w:cs="仿宋" w:asciiTheme="minorEastAsia" w:hAnsiTheme="minorEastAsia" w:eastAsiaTheme="minorEastAsia"/>
          <w:sz w:val="32"/>
          <w:szCs w:val="32"/>
          <w:lang w:eastAsia="zh-CN"/>
        </w:rPr>
        <w:t>联合会信息</w:t>
      </w:r>
      <w:r>
        <w:rPr>
          <w:rFonts w:hint="eastAsia" w:cs="仿宋" w:asciiTheme="minorEastAsia" w:hAnsiTheme="minorEastAsia" w:eastAsiaTheme="minorEastAsia"/>
          <w:sz w:val="32"/>
          <w:szCs w:val="32"/>
        </w:rPr>
        <w:t>中心事业发展补助资金使用的经济性、效率性、效益性进行综合评定，提高财政资金配置效率和使用效益。通过绩效评价总结项目在决策、执行等方面的经验，查找存在的不足，深入分析原因，为项目在以后年度的开展提供可行性参考建议。</w:t>
      </w:r>
    </w:p>
    <w:p>
      <w:pPr>
        <w:pStyle w:val="11"/>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2.评价对象：</w:t>
      </w:r>
      <w:bookmarkStart w:id="0" w:name="_Hlk69772397"/>
      <w:r>
        <w:rPr>
          <w:rFonts w:hint="eastAsia" w:cs="仿宋" w:asciiTheme="minorEastAsia" w:hAnsiTheme="minorEastAsia" w:eastAsiaTheme="minorEastAsia"/>
          <w:sz w:val="32"/>
          <w:szCs w:val="32"/>
        </w:rPr>
        <w:t>2022年自治区财政残疾人事业发展补助资金</w:t>
      </w:r>
      <w:bookmarkEnd w:id="0"/>
      <w:r>
        <w:rPr>
          <w:rFonts w:hint="eastAsia" w:cs="仿宋" w:asciiTheme="minorEastAsia" w:hAnsiTheme="minorEastAsia" w:eastAsiaTheme="minorEastAsia"/>
          <w:sz w:val="32"/>
          <w:szCs w:val="32"/>
          <w:lang w:val="en-US" w:eastAsia="zh-CN"/>
        </w:rPr>
        <w:t>180</w:t>
      </w:r>
      <w:r>
        <w:rPr>
          <w:rFonts w:hint="eastAsia" w:cs="仿宋" w:asciiTheme="minorEastAsia" w:hAnsiTheme="minorEastAsia" w:eastAsiaTheme="minorEastAsia"/>
          <w:sz w:val="32"/>
          <w:szCs w:val="32"/>
        </w:rPr>
        <w:t>万元的使用。</w:t>
      </w:r>
    </w:p>
    <w:p>
      <w:pPr>
        <w:pStyle w:val="11"/>
        <w:ind w:firstLine="640"/>
        <w:rPr>
          <w:rStyle w:val="22"/>
          <w:rFonts w:cs="仿宋" w:asciiTheme="minorEastAsia" w:hAnsiTheme="minorEastAsia" w:eastAsiaTheme="minorEastAsia"/>
          <w:b w:val="0"/>
          <w:bCs w:val="0"/>
          <w:sz w:val="32"/>
          <w:szCs w:val="32"/>
        </w:rPr>
      </w:pPr>
      <w:r>
        <w:rPr>
          <w:rFonts w:hint="eastAsia" w:cs="仿宋" w:asciiTheme="minorEastAsia" w:hAnsiTheme="minorEastAsia" w:eastAsiaTheme="minorEastAsia"/>
          <w:sz w:val="32"/>
          <w:szCs w:val="32"/>
        </w:rPr>
        <w:t>3.评价范围：2022年残疾人补助资金的预算编制及执行情况、财务管理状况以及为加强管理制定的相关制度、采取的措施等方面进行分析，全面了解项目资金的使用效率和效果，项目管理的过程是否规范、是否实现了预期绩效目标。</w:t>
      </w:r>
    </w:p>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（二）绩效评价原则、评价指标体系（附表说明）、评价方法、评价标准等。</w:t>
      </w:r>
    </w:p>
    <w:p>
      <w:pPr>
        <w:pStyle w:val="11"/>
        <w:spacing w:line="590" w:lineRule="exact"/>
        <w:ind w:firstLine="64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1.绩效评价原则：</w:t>
      </w:r>
      <w:r>
        <w:rPr>
          <w:rFonts w:hint="eastAsia" w:asciiTheme="minorEastAsia" w:hAnsiTheme="minorEastAsia" w:eastAsiaTheme="minorEastAsia"/>
          <w:spacing w:val="6"/>
          <w:sz w:val="32"/>
          <w:szCs w:val="32"/>
        </w:rPr>
        <w:t>依据《中华人民共和国预算法》、中共中央、国务院《关于全面实施预算绩效管理的意见》（中发〔2018〕34号）、财政部《项目支出绩效评价管理办法》（财预〔2020〕10号）、自治区党委、自治区人民政府《关于全面实施预算绩效管理的实施意见》（新党发〔2018〕30号)、自治区财政厅《全面实施预算绩效管理的工作方案》 (新财预〔2018〕158号)、自治区财政厅《财政支出绩效评价管理暂行办法》(新财预〔2018〕189号)等文件要求，遵照科学规范、公正公开、分级分类、绩效相关等原则开展绩效评价工作，结合项目特点，注重项目支出的经济性、效率性、效益性，严格执行规定的程序，采用定量与定性分析相结合的方法对投入、产出进行评价。</w:t>
      </w:r>
    </w:p>
    <w:p>
      <w:pPr>
        <w:ind w:firstLine="567"/>
        <w:rPr>
          <w:rFonts w:hint="eastAsia" w:asciiTheme="minorEastAsia" w:hAnsiTheme="minorEastAsia" w:eastAsiaTheme="minorEastAsia"/>
          <w:sz w:val="32"/>
          <w:szCs w:val="32"/>
          <w:highlight w:val="none"/>
        </w:rPr>
      </w:pPr>
      <w:r>
        <w:rPr>
          <w:rFonts w:hint="eastAsia" w:cs="仿宋" w:asciiTheme="minorEastAsia" w:hAnsiTheme="minorEastAsia" w:eastAsiaTheme="minorEastAsia"/>
          <w:sz w:val="32"/>
          <w:szCs w:val="32"/>
        </w:rPr>
        <w:t>2.评价指标体系：本次评价指标体系参考《财政部关于项目支出绩效评价管理办法的通知》（财预﹝2020﹞10号）</w:t>
      </w:r>
      <w:r>
        <w:rPr>
          <w:rFonts w:asciiTheme="minorEastAsia" w:hAnsiTheme="minorEastAsia" w:eastAsiaTheme="minorEastAsia"/>
          <w:sz w:val="32"/>
          <w:szCs w:val="32"/>
        </w:rPr>
        <w:t>中的指标分级，设定具体项目指标体系框架。</w:t>
      </w:r>
      <w:r>
        <w:rPr>
          <w:rFonts w:hint="eastAsia" w:asciiTheme="minorEastAsia" w:hAnsiTheme="minorEastAsia" w:eastAsiaTheme="minorEastAsia"/>
          <w:sz w:val="32"/>
          <w:szCs w:val="32"/>
        </w:rPr>
        <w:t>从业务指标四大方面拟定绩效评价指标，</w:t>
      </w:r>
      <w:r>
        <w:rPr>
          <w:rFonts w:asciiTheme="minorEastAsia" w:hAnsiTheme="minorEastAsia" w:eastAsiaTheme="minorEastAsia"/>
          <w:sz w:val="32"/>
          <w:szCs w:val="32"/>
        </w:rPr>
        <w:t>指标权重自上而下按指标层次分步确定权重</w:t>
      </w:r>
      <w:r>
        <w:rPr>
          <w:rFonts w:hint="eastAsia" w:asciiTheme="minorEastAsia" w:hAnsiTheme="minorEastAsia" w:eastAsiaTheme="minorEastAsia"/>
          <w:sz w:val="32"/>
          <w:szCs w:val="32"/>
        </w:rPr>
        <w:t>，</w:t>
      </w:r>
      <w:r>
        <w:rPr>
          <w:rFonts w:asciiTheme="minorEastAsia" w:hAnsiTheme="minorEastAsia" w:eastAsiaTheme="minorEastAsia"/>
          <w:sz w:val="32"/>
          <w:szCs w:val="32"/>
        </w:rPr>
        <w:t>业务指标权重设定</w:t>
      </w:r>
      <w:r>
        <w:rPr>
          <w:rFonts w:hint="eastAsia" w:asciiTheme="minorEastAsia" w:hAnsiTheme="minorEastAsia" w:eastAsiaTheme="minorEastAsia"/>
          <w:sz w:val="32"/>
          <w:szCs w:val="32"/>
        </w:rPr>
        <w:t>：</w:t>
      </w:r>
      <w:r>
        <w:rPr>
          <w:rFonts w:asciiTheme="minorEastAsia" w:hAnsiTheme="minorEastAsia" w:eastAsiaTheme="minorEastAsia"/>
          <w:sz w:val="32"/>
          <w:szCs w:val="32"/>
        </w:rPr>
        <w:t>决策</w:t>
      </w:r>
      <w:r>
        <w:rPr>
          <w:rFonts w:hint="eastAsia" w:asciiTheme="minorEastAsia" w:hAnsiTheme="minorEastAsia" w:eastAsiaTheme="minorEastAsia"/>
          <w:sz w:val="32"/>
          <w:szCs w:val="32"/>
        </w:rPr>
        <w:t>20</w:t>
      </w:r>
      <w:r>
        <w:rPr>
          <w:rFonts w:asciiTheme="minorEastAsia" w:hAnsiTheme="minorEastAsia" w:eastAsiaTheme="minorEastAsia"/>
          <w:sz w:val="32"/>
          <w:szCs w:val="32"/>
        </w:rPr>
        <w:t>分、过程20分、</w:t>
      </w:r>
      <w:r>
        <w:rPr>
          <w:rFonts w:asciiTheme="minorEastAsia" w:hAnsiTheme="minorEastAsia" w:eastAsiaTheme="minorEastAsia"/>
          <w:sz w:val="32"/>
          <w:szCs w:val="32"/>
          <w:highlight w:val="none"/>
        </w:rPr>
        <w:t>产出</w:t>
      </w:r>
      <w:r>
        <w:rPr>
          <w:rFonts w:hint="eastAsia" w:asciiTheme="minorEastAsia" w:hAnsiTheme="minorEastAsia" w:eastAsiaTheme="minorEastAsia"/>
          <w:sz w:val="32"/>
          <w:szCs w:val="32"/>
          <w:highlight w:val="none"/>
          <w:lang w:val="en-US" w:eastAsia="zh-CN"/>
        </w:rPr>
        <w:t>40</w:t>
      </w:r>
      <w:r>
        <w:rPr>
          <w:rFonts w:asciiTheme="minorEastAsia" w:hAnsiTheme="minorEastAsia" w:eastAsiaTheme="minorEastAsia"/>
          <w:sz w:val="32"/>
          <w:szCs w:val="32"/>
          <w:highlight w:val="none"/>
        </w:rPr>
        <w:t>分、效益</w:t>
      </w:r>
      <w:r>
        <w:rPr>
          <w:rFonts w:hint="eastAsia" w:asciiTheme="minorEastAsia" w:hAnsiTheme="minorEastAsia" w:eastAsiaTheme="minorEastAsia"/>
          <w:sz w:val="32"/>
          <w:szCs w:val="32"/>
          <w:highlight w:val="none"/>
          <w:lang w:val="en-US" w:eastAsia="zh-CN"/>
        </w:rPr>
        <w:t>20</w:t>
      </w:r>
      <w:r>
        <w:rPr>
          <w:rFonts w:asciiTheme="minorEastAsia" w:hAnsiTheme="minorEastAsia" w:eastAsiaTheme="minorEastAsia"/>
          <w:sz w:val="32"/>
          <w:szCs w:val="32"/>
          <w:highlight w:val="none"/>
        </w:rPr>
        <w:t>分</w:t>
      </w:r>
      <w:r>
        <w:rPr>
          <w:rFonts w:hint="eastAsia" w:asciiTheme="minorEastAsia" w:hAnsiTheme="minorEastAsia" w:eastAsiaTheme="minorEastAsia"/>
          <w:sz w:val="32"/>
          <w:szCs w:val="32"/>
          <w:highlight w:val="none"/>
        </w:rPr>
        <w:t>，满分100分。</w:t>
      </w:r>
    </w:p>
    <w:p>
      <w:pPr>
        <w:pStyle w:val="11"/>
        <w:ind w:firstLine="64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3.评价方法：</w:t>
      </w:r>
      <w:r>
        <w:rPr>
          <w:rFonts w:hint="eastAsia" w:asciiTheme="minorEastAsia" w:hAnsiTheme="minorEastAsia" w:eastAsiaTheme="minorEastAsia"/>
          <w:spacing w:val="6"/>
          <w:sz w:val="32"/>
          <w:szCs w:val="32"/>
        </w:rPr>
        <w:t>主要采用以目标为导向的、基于证据分析的目标比较法开展绩效评价工作。根据已设定的绩效目标及指标，收集与项目相关的文件、财务资料、业务资料等资料，对收集到的相关资料进行整理、分析并进行统计。在此基础上，将分析、统计结果与既定的绩效目标指标进行定量、定性比较，分析未完成目标或偏离目标较大的原因，并根据预先设定的评分标准对各项指标进行评分，进而得出该项目绩效评价得分。</w:t>
      </w:r>
    </w:p>
    <w:p>
      <w:pPr>
        <w:tabs>
          <w:tab w:val="left" w:pos="709"/>
        </w:tabs>
        <w:spacing w:beforeLines="50" w:afterLines="50" w:line="560" w:lineRule="exact"/>
        <w:ind w:firstLine="640" w:firstLineChars="200"/>
        <w:rPr>
          <w:rStyle w:val="22"/>
          <w:rFonts w:eastAsia="仿宋_GB2312"/>
          <w:b w:val="0"/>
          <w:bCs w:val="0"/>
          <w:color w:val="000000"/>
          <w:sz w:val="32"/>
          <w:szCs w:val="32"/>
        </w:rPr>
      </w:pPr>
      <w:r>
        <w:rPr>
          <w:rFonts w:hint="eastAsia" w:cs="仿宋" w:asciiTheme="minorEastAsia" w:hAnsiTheme="minorEastAsia" w:eastAsiaTheme="minorEastAsia"/>
          <w:sz w:val="32"/>
          <w:szCs w:val="32"/>
        </w:rPr>
        <w:t>4.评价标准：</w:t>
      </w:r>
      <w:r>
        <w:rPr>
          <w:rFonts w:hint="eastAsia" w:asciiTheme="minorEastAsia" w:hAnsiTheme="minorEastAsia" w:eastAsiaTheme="minorEastAsia"/>
          <w:color w:val="000000"/>
          <w:sz w:val="32"/>
          <w:szCs w:val="32"/>
        </w:rPr>
        <w:t>对于定量指标，采用计划标准，以预先制定的目标、计划、预算、定额等作为评价标准，对比分析项目产出、效益的完成情况。结合设定的评分标准，通过公式计算具体得分。对于定性指标，通过访谈方式、查看项目资料，采集相关数据，评价指标的完成情况</w:t>
      </w:r>
      <w:r>
        <w:rPr>
          <w:rFonts w:hint="eastAsia" w:eastAsia="仿宋_GB2312"/>
          <w:color w:val="000000"/>
          <w:sz w:val="32"/>
          <w:szCs w:val="32"/>
        </w:rPr>
        <w:t>。</w:t>
      </w:r>
    </w:p>
    <w:p>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（三）绩效评价工作过程。</w:t>
      </w:r>
    </w:p>
    <w:p>
      <w:pPr>
        <w:pStyle w:val="11"/>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1.前期准备：</w:t>
      </w:r>
      <w:r>
        <w:rPr>
          <w:rFonts w:hint="eastAsia" w:asciiTheme="minorEastAsia" w:hAnsiTheme="minorEastAsia" w:eastAsiaTheme="minorEastAsia"/>
          <w:spacing w:val="6"/>
          <w:sz w:val="32"/>
          <w:szCs w:val="32"/>
        </w:rPr>
        <w:t>在评价工作</w:t>
      </w:r>
      <w:r>
        <w:rPr>
          <w:rFonts w:hint="eastAsia" w:cs="仿宋" w:asciiTheme="minorEastAsia" w:hAnsiTheme="minorEastAsia" w:eastAsiaTheme="minorEastAsia"/>
          <w:sz w:val="32"/>
          <w:szCs w:val="32"/>
        </w:rPr>
        <w:t>正式实施前期，收集、整理、熟悉项目相关资料，了解项目资金的使用情况。通过分析讨论，确定绩效评价关注的重点，从项目内容出发，结合项目预期目标，制定了本次绩效评价的指标体系。</w:t>
      </w:r>
    </w:p>
    <w:p>
      <w:pPr>
        <w:pStyle w:val="11"/>
        <w:ind w:firstLine="640"/>
        <w:rPr>
          <w:rStyle w:val="22"/>
          <w:rFonts w:cs="仿宋" w:asciiTheme="minorEastAsia" w:hAnsiTheme="minorEastAsia" w:eastAsiaTheme="minorEastAsia"/>
          <w:b w:val="0"/>
          <w:bCs w:val="0"/>
          <w:sz w:val="32"/>
          <w:szCs w:val="32"/>
        </w:rPr>
      </w:pPr>
      <w:r>
        <w:rPr>
          <w:rFonts w:hint="eastAsia" w:cs="仿宋" w:asciiTheme="minorEastAsia" w:hAnsiTheme="minorEastAsia" w:eastAsiaTheme="minorEastAsia"/>
          <w:sz w:val="32"/>
          <w:szCs w:val="32"/>
        </w:rPr>
        <w:t>2.数据采集分析及撰写报告：收集该项目相关文件、</w:t>
      </w:r>
      <w:r>
        <w:rPr>
          <w:rFonts w:hint="eastAsia" w:asciiTheme="minorEastAsia" w:hAnsiTheme="minorEastAsia" w:eastAsiaTheme="minorEastAsia"/>
          <w:spacing w:val="6"/>
          <w:sz w:val="32"/>
          <w:szCs w:val="32"/>
        </w:rPr>
        <w:t>财务资料、业务资料、相关管理办法等，对收集到的资料进行统计整理并分析，将结果与既定的绩效目标指标进行定量、定性比较，进而对绩效指标进行评分，并</w:t>
      </w:r>
      <w:r>
        <w:rPr>
          <w:rFonts w:hint="eastAsia" w:cs="仿宋" w:asciiTheme="minorEastAsia" w:hAnsiTheme="minorEastAsia" w:eastAsiaTheme="minorEastAsia"/>
          <w:sz w:val="32"/>
          <w:szCs w:val="32"/>
        </w:rPr>
        <w:t>撰写绩效评价报告。</w:t>
      </w:r>
    </w:p>
    <w:p>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三、</w:t>
      </w:r>
      <w:r>
        <w:rPr>
          <w:rStyle w:val="22"/>
          <w:rFonts w:hint="eastAsia"/>
          <w:spacing w:val="-4"/>
          <w:sz w:val="32"/>
          <w:szCs w:val="32"/>
        </w:rPr>
        <w:t>综合评价情况及评价结论</w:t>
      </w:r>
    </w:p>
    <w:p>
      <w:pPr>
        <w:spacing w:line="590" w:lineRule="exact"/>
        <w:ind w:firstLine="664" w:firstLineChars="200"/>
        <w:rPr>
          <w:rFonts w:ascii="仿宋_GB2312" w:hAnsi="黑体" w:eastAsia="仿宋_GB2312"/>
          <w:spacing w:val="6"/>
          <w:sz w:val="32"/>
          <w:szCs w:val="32"/>
        </w:rPr>
      </w:pPr>
      <w:r>
        <w:rPr>
          <w:rFonts w:hint="eastAsia" w:asciiTheme="minorEastAsia" w:hAnsiTheme="minorEastAsia" w:eastAsiaTheme="minorEastAsia"/>
          <w:spacing w:val="6"/>
          <w:sz w:val="32"/>
          <w:szCs w:val="32"/>
        </w:rPr>
        <w:t>该项目绩效评价得分</w:t>
      </w:r>
      <w:r>
        <w:rPr>
          <w:rFonts w:hint="eastAsia" w:asciiTheme="minorEastAsia" w:hAnsiTheme="minorEastAsia" w:eastAsiaTheme="minorEastAsia"/>
          <w:spacing w:val="6"/>
          <w:sz w:val="32"/>
          <w:szCs w:val="32"/>
          <w:lang w:val="en-US" w:eastAsia="zh-CN"/>
        </w:rPr>
        <w:t>99.21</w:t>
      </w:r>
      <w:r>
        <w:rPr>
          <w:rFonts w:hint="eastAsia" w:asciiTheme="minorEastAsia" w:hAnsiTheme="minorEastAsia" w:eastAsiaTheme="minorEastAsia"/>
          <w:spacing w:val="6"/>
          <w:sz w:val="32"/>
          <w:szCs w:val="32"/>
        </w:rPr>
        <w:t>分，评价等级为优，已基本完成计划的绩效目标。各部分权重和绩效分值详见下表</w:t>
      </w:r>
      <w:r>
        <w:rPr>
          <w:rFonts w:hint="eastAsia" w:ascii="仿宋_GB2312" w:hAnsi="黑体" w:eastAsia="仿宋_GB2312"/>
          <w:spacing w:val="6"/>
          <w:sz w:val="32"/>
          <w:szCs w:val="32"/>
        </w:rPr>
        <w:t>：</w:t>
      </w:r>
    </w:p>
    <w:p>
      <w:pPr>
        <w:pStyle w:val="12"/>
        <w:spacing w:line="590" w:lineRule="exact"/>
        <w:rPr>
          <w:rFonts w:eastAsia="仿宋_GB2312"/>
        </w:rPr>
      </w:pPr>
      <w:r>
        <w:rPr>
          <w:rFonts w:hint="eastAsia" w:ascii="仿宋_GB2312" w:hAnsi="黑体" w:eastAsia="仿宋_GB2312"/>
          <w:spacing w:val="6"/>
          <w:sz w:val="32"/>
        </w:rPr>
        <w:t>项目综合评分表</w:t>
      </w:r>
    </w:p>
    <w:tbl>
      <w:tblPr>
        <w:tblStyle w:val="20"/>
        <w:tblW w:w="4926" w:type="pct"/>
        <w:jc w:val="center"/>
        <w:tblLayout w:type="autofit"/>
        <w:tblCellMar>
          <w:top w:w="0" w:type="dxa"/>
          <w:left w:w="108" w:type="dxa"/>
          <w:bottom w:w="0" w:type="dxa"/>
          <w:right w:w="108" w:type="dxa"/>
        </w:tblCellMar>
      </w:tblPr>
      <w:tblGrid>
        <w:gridCol w:w="1460"/>
        <w:gridCol w:w="1461"/>
        <w:gridCol w:w="1461"/>
        <w:gridCol w:w="1461"/>
        <w:gridCol w:w="1461"/>
        <w:gridCol w:w="1330"/>
      </w:tblGrid>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指 标</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项目决策类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项目过程类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项目产出类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项目效益类</w:t>
            </w:r>
          </w:p>
        </w:tc>
        <w:tc>
          <w:tcPr>
            <w:tcW w:w="771"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合计</w:t>
            </w:r>
          </w:p>
        </w:tc>
      </w:tr>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权 重</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40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20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100</w:t>
            </w:r>
          </w:p>
        </w:tc>
      </w:tr>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得 分</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hint="default" w:ascii="宋体" w:hAnsi="宋体" w:eastAsia="宋体"/>
                <w:color w:val="000000" w:themeColor="text1"/>
                <w:sz w:val="22"/>
                <w:lang w:val="en-US" w:eastAsia="zh-CN"/>
                <w14:textFill>
                  <w14:solidFill>
                    <w14:schemeClr w14:val="tx1"/>
                  </w14:solidFill>
                </w14:textFill>
              </w:rPr>
            </w:pPr>
            <w:r>
              <w:rPr>
                <w:rFonts w:hint="eastAsia" w:ascii="宋体" w:hAnsi="宋体"/>
                <w:color w:val="000000" w:themeColor="text1"/>
                <w:sz w:val="22"/>
                <w:lang w:val="en-US" w:eastAsia="zh-CN"/>
                <w14:textFill>
                  <w14:solidFill>
                    <w14:schemeClr w14:val="tx1"/>
                  </w14:solidFill>
                </w14:textFill>
              </w:rPr>
              <w:t>19.7</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hint="default" w:ascii="宋体" w:hAnsi="宋体" w:eastAsia="宋体"/>
                <w:color w:val="000000" w:themeColor="text1"/>
                <w:sz w:val="22"/>
                <w:lang w:val="en-US" w:eastAsia="zh-CN"/>
                <w14:textFill>
                  <w14:solidFill>
                    <w14:schemeClr w14:val="tx1"/>
                  </w14:solidFill>
                </w14:textFill>
              </w:rPr>
            </w:pPr>
            <w:r>
              <w:rPr>
                <w:rFonts w:hint="eastAsia" w:ascii="宋体" w:hAnsi="宋体"/>
                <w:color w:val="000000" w:themeColor="text1"/>
                <w:sz w:val="22"/>
                <w:lang w:val="en-US" w:eastAsia="zh-CN"/>
                <w14:textFill>
                  <w14:solidFill>
                    <w14:schemeClr w14:val="tx1"/>
                  </w14:solidFill>
                </w14:textFill>
              </w:rPr>
              <w:t>39.51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20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hint="default" w:ascii="宋体" w:hAnsi="宋体" w:eastAsia="宋体"/>
                <w:color w:val="000000" w:themeColor="text1"/>
                <w:sz w:val="22"/>
                <w:lang w:val="en-US" w:eastAsia="zh-CN"/>
                <w14:textFill>
                  <w14:solidFill>
                    <w14:schemeClr w14:val="tx1"/>
                  </w14:solidFill>
                </w14:textFill>
              </w:rPr>
            </w:pPr>
            <w:r>
              <w:rPr>
                <w:rFonts w:hint="eastAsia" w:ascii="宋体" w:hAnsi="宋体"/>
                <w:color w:val="000000" w:themeColor="text1"/>
                <w:sz w:val="22"/>
                <w:lang w:val="en-US" w:eastAsia="zh-CN"/>
                <w14:textFill>
                  <w14:solidFill>
                    <w14:schemeClr w14:val="tx1"/>
                  </w14:solidFill>
                </w14:textFill>
              </w:rPr>
              <w:t>99.21</w:t>
            </w:r>
          </w:p>
        </w:tc>
      </w:tr>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kern w:val="0"/>
                <w:sz w:val="22"/>
              </w:rPr>
            </w:pPr>
            <w:r>
              <w:rPr>
                <w:rFonts w:hint="eastAsia" w:ascii="宋体" w:hAnsi="宋体"/>
                <w:kern w:val="0"/>
                <w:sz w:val="22"/>
              </w:rPr>
              <w:t>得分率</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100%</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98.5</w:t>
            </w:r>
            <w:r>
              <w:rPr>
                <w:rFonts w:hint="eastAsia" w:ascii="宋体" w:hAnsi="宋体"/>
                <w:color w:val="000000" w:themeColor="text1"/>
                <w:kern w:val="0"/>
                <w:sz w:val="22"/>
                <w14:textFill>
                  <w14:solidFill>
                    <w14:schemeClr w14:val="tx1"/>
                  </w14:solidFill>
                </w14:textFill>
              </w:rPr>
              <w:t>%</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98.78</w:t>
            </w:r>
            <w:r>
              <w:rPr>
                <w:rFonts w:hint="eastAsia" w:ascii="宋体" w:hAnsi="宋体"/>
                <w:color w:val="000000" w:themeColor="text1"/>
                <w:kern w:val="0"/>
                <w:sz w:val="22"/>
                <w14:textFill>
                  <w14:solidFill>
                    <w14:schemeClr w14:val="tx1"/>
                  </w14:solidFill>
                </w14:textFill>
              </w:rPr>
              <w:t>%</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100%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99.21</w:t>
            </w:r>
            <w:r>
              <w:rPr>
                <w:rFonts w:hint="eastAsia" w:ascii="宋体" w:hAnsi="宋体"/>
                <w:color w:val="000000" w:themeColor="text1"/>
                <w:kern w:val="0"/>
                <w:sz w:val="22"/>
                <w14:textFill>
                  <w14:solidFill>
                    <w14:schemeClr w14:val="tx1"/>
                  </w14:solidFill>
                </w14:textFill>
              </w:rPr>
              <w:t>%</w:t>
            </w:r>
          </w:p>
        </w:tc>
      </w:tr>
    </w:tbl>
    <w:p>
      <w:pPr>
        <w:spacing w:line="540" w:lineRule="exact"/>
        <w:ind w:firstLine="567"/>
        <w:rPr>
          <w:rStyle w:val="22"/>
          <w:rFonts w:ascii="楷体" w:hAnsi="楷体" w:eastAsia="楷体"/>
          <w:spacing w:val="-4"/>
          <w:sz w:val="32"/>
          <w:szCs w:val="32"/>
        </w:rPr>
      </w:pPr>
    </w:p>
    <w:p>
      <w:pPr>
        <w:spacing w:line="540" w:lineRule="exact"/>
        <w:ind w:firstLine="640"/>
        <w:rPr>
          <w:rStyle w:val="22"/>
          <w:rFonts w:ascii="黑体" w:hAnsi="黑体" w:eastAsia="黑体"/>
        </w:rPr>
      </w:pPr>
      <w:r>
        <w:rPr>
          <w:rStyle w:val="22"/>
          <w:rFonts w:hint="eastAsia" w:ascii="黑体" w:hAnsi="黑体" w:eastAsia="黑体"/>
          <w:b w:val="0"/>
          <w:spacing w:val="-4"/>
          <w:sz w:val="32"/>
          <w:szCs w:val="32"/>
        </w:rPr>
        <w:t>四、</w:t>
      </w:r>
      <w:r>
        <w:rPr>
          <w:rStyle w:val="22"/>
          <w:rFonts w:hint="eastAsia"/>
          <w:spacing w:val="-4"/>
          <w:sz w:val="32"/>
          <w:szCs w:val="32"/>
        </w:rPr>
        <w:t>绩效评价指标分析</w:t>
      </w:r>
    </w:p>
    <w:p>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（一）项目决策情况。</w:t>
      </w:r>
    </w:p>
    <w:p>
      <w:pPr>
        <w:pStyle w:val="11"/>
        <w:spacing w:line="500" w:lineRule="exact"/>
        <w:ind w:firstLine="640"/>
        <w:rPr>
          <w:rFonts w:hint="eastAsia" w:cs="仿宋" w:asciiTheme="minorEastAsia" w:hAnsiTheme="minorEastAsia" w:eastAsiaTheme="minorEastAsia"/>
          <w:sz w:val="32"/>
          <w:szCs w:val="32"/>
        </w:rPr>
      </w:pPr>
      <w:r>
        <w:rPr>
          <w:rFonts w:hint="eastAsia" w:cs="仿宋" w:asciiTheme="minorEastAsia" w:hAnsiTheme="minorEastAsia" w:eastAsiaTheme="minorEastAsia"/>
          <w:sz w:val="32"/>
          <w:szCs w:val="32"/>
        </w:rPr>
        <w:t>根据自治区财政厅《关于提前下达2022年自治区财政残疾人事业发展补助资金的通知》（新财社</w:t>
      </w:r>
      <w:r>
        <w:rPr>
          <w:rFonts w:hint="eastAsia" w:cs="宋体" w:asciiTheme="minorEastAsia" w:hAnsiTheme="minorEastAsia" w:eastAsiaTheme="minorEastAsia"/>
          <w:sz w:val="32"/>
          <w:szCs w:val="32"/>
        </w:rPr>
        <w:t>﹝2021﹞291号</w:t>
      </w:r>
      <w:r>
        <w:rPr>
          <w:rFonts w:hint="eastAsia" w:cs="仿宋" w:asciiTheme="minorEastAsia" w:hAnsiTheme="minorEastAsia" w:eastAsiaTheme="minorEastAsia"/>
          <w:sz w:val="32"/>
          <w:szCs w:val="32"/>
        </w:rPr>
        <w:t>）规定拨付资金，立项依据充分，立项程序规范，绩效目标与实际工作内容相关性高，与项目的实施相符。项目绩效目标细化分解为具体的绩效指标，通过清晰可量化的指标值予以体现，预算内容和项目内容匹配。</w:t>
      </w:r>
    </w:p>
    <w:p>
      <w:pPr>
        <w:numPr>
          <w:ilvl w:val="0"/>
          <w:numId w:val="1"/>
        </w:num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项目立项</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（1）立项依据充分性</w:t>
      </w:r>
    </w:p>
    <w:p>
      <w:pPr>
        <w:spacing w:line="500" w:lineRule="exact"/>
        <w:ind w:firstLine="664" w:firstLineChars="200"/>
        <w:rPr>
          <w:rFonts w:hint="eastAsia" w:asciiTheme="minorEastAsia" w:hAnsiTheme="minorEastAsia" w:eastAsiaTheme="minorEastAsia"/>
          <w:spacing w:val="6"/>
          <w:sz w:val="32"/>
          <w:szCs w:val="32"/>
          <w:lang w:eastAsia="zh-CN"/>
        </w:rPr>
      </w:pPr>
      <w:r>
        <w:rPr>
          <w:rFonts w:hint="eastAsia" w:asciiTheme="minorEastAsia" w:hAnsiTheme="minorEastAsia" w:eastAsiaTheme="minorEastAsia"/>
          <w:spacing w:val="6"/>
          <w:sz w:val="32"/>
          <w:szCs w:val="32"/>
        </w:rPr>
        <w:t>该项目以</w:t>
      </w:r>
      <w:r>
        <w:rPr>
          <w:rFonts w:hint="eastAsia" w:asciiTheme="minorEastAsia" w:hAnsiTheme="minorEastAsia" w:eastAsiaTheme="minorEastAsia"/>
          <w:spacing w:val="6"/>
          <w:sz w:val="32"/>
          <w:szCs w:val="32"/>
          <w:lang w:eastAsia="zh-CN"/>
        </w:rPr>
        <w:t>《网络安全法》、《关于关键信息基础设施安全保护工作有关事项的通知》（网信委[2019]3号）和自治区残联、发展和改革委、财政厅等部门《关于印发自治区残疾人事业信息化建设“十三五”实施方案的通知》“加强信息系统安全体系建设”。</w:t>
      </w:r>
      <w:r>
        <w:rPr>
          <w:rFonts w:hint="eastAsia" w:asciiTheme="minorEastAsia" w:hAnsiTheme="minorEastAsia" w:eastAsiaTheme="minorEastAsia"/>
          <w:spacing w:val="6"/>
          <w:sz w:val="32"/>
          <w:szCs w:val="32"/>
          <w:lang w:val="en-US" w:eastAsia="zh-CN"/>
        </w:rPr>
        <w:t>①</w:t>
      </w:r>
      <w:r>
        <w:rPr>
          <w:rFonts w:hint="eastAsia" w:asciiTheme="minorEastAsia" w:hAnsiTheme="minorEastAsia" w:eastAsiaTheme="minorEastAsia"/>
          <w:spacing w:val="6"/>
          <w:sz w:val="32"/>
          <w:szCs w:val="32"/>
          <w:lang w:eastAsia="zh-CN"/>
        </w:rPr>
        <w:t>考虑到当前的疫情形势，自治区残联与14个地州残联组织间需要定期频繁进行视频会议，以传达部署相关工作，在当前建设高清视频会议系统已是当务之急；②运用“互联网+”思维建设视频会议系统，是做好疫情防控常态化背景下残疾人基本民生保障工作的重要手段，有利于指导基层残联开展好各项业务工作，加大对残疾人的帮扶救助力度。③通过视频会议系统，可以在任意两个、多个点之间视频互通，进行工作协调，指导工作推进，满足自治区残联与各地州市残联随时进行交互式视频需要，以便加强实时沟通，提高沟通效率，降低差旅成本，提升整体执行力及响应速度。</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lang w:eastAsia="zh-CN"/>
        </w:rPr>
        <w:t>关于印发《关于加快推进自治区政务信息系统迁移整令和密码应用安全性保护工作方案》的通知，新机传【2021】197号新机41063。</w:t>
      </w:r>
      <w:r>
        <w:rPr>
          <w:rFonts w:hint="eastAsia" w:asciiTheme="minorEastAsia" w:hAnsiTheme="minorEastAsia" w:eastAsiaTheme="minorEastAsia"/>
          <w:spacing w:val="6"/>
          <w:sz w:val="32"/>
          <w:szCs w:val="32"/>
        </w:rPr>
        <w:t>等文件作为立项依据，项目立项符合国家法律法规、国民经济发展规划和相关政策要求及</w:t>
      </w:r>
      <w:r>
        <w:rPr>
          <w:rFonts w:hint="eastAsia" w:asciiTheme="minorEastAsia" w:hAnsiTheme="minorEastAsia" w:eastAsiaTheme="minorEastAsia"/>
          <w:spacing w:val="6"/>
          <w:sz w:val="32"/>
          <w:szCs w:val="32"/>
          <w:lang w:eastAsia="zh-CN"/>
        </w:rPr>
        <w:t>自治区残疾人联合会信息中心</w:t>
      </w:r>
      <w:r>
        <w:rPr>
          <w:rFonts w:hint="eastAsia" w:asciiTheme="minorEastAsia" w:hAnsiTheme="minorEastAsia" w:eastAsiaTheme="minorEastAsia"/>
          <w:spacing w:val="6"/>
          <w:sz w:val="32"/>
          <w:szCs w:val="32"/>
        </w:rPr>
        <w:t>的职责，立项依据充分。</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根据评分规则，该指标权重分值5分，实际得分5分。</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（2）立项程序规范性</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自治区残疾人联合会党组理事会能够召开会议，对该项目进行集体决策，立项程序规范。</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根据评分规则，该指标权重分值5分，实际得分5分。</w:t>
      </w:r>
    </w:p>
    <w:p>
      <w:pPr>
        <w:pStyle w:val="4"/>
        <w:spacing w:before="0" w:after="0" w:line="500" w:lineRule="exact"/>
        <w:ind w:firstLine="640" w:firstLineChars="200"/>
        <w:rPr>
          <w:rFonts w:cs="仿宋" w:asciiTheme="minorEastAsia" w:hAnsiTheme="minorEastAsia" w:eastAsiaTheme="minorEastAsia"/>
          <w:b w:val="0"/>
          <w:bCs w:val="0"/>
          <w:kern w:val="2"/>
          <w:sz w:val="32"/>
          <w:szCs w:val="32"/>
        </w:rPr>
      </w:pPr>
      <w:r>
        <w:rPr>
          <w:rFonts w:hint="eastAsia" w:cs="仿宋" w:asciiTheme="minorEastAsia" w:hAnsiTheme="minorEastAsia" w:eastAsiaTheme="minorEastAsia"/>
          <w:b w:val="0"/>
          <w:bCs w:val="0"/>
          <w:kern w:val="2"/>
          <w:sz w:val="32"/>
          <w:szCs w:val="32"/>
        </w:rPr>
        <w:t>2.绩效目标</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（1）绩效目标合理性</w:t>
      </w:r>
    </w:p>
    <w:p>
      <w:pPr>
        <w:spacing w:line="500" w:lineRule="exact"/>
        <w:ind w:firstLine="664" w:firstLineChars="200"/>
        <w:jc w:val="left"/>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能够结合工作职责及拟开展的工作设定绩效目标，绩效目标设定依据充分，基本符合客观实际情况，设定的绩效目标能够与其工作内容相关，设定的绩效目标能够与项目资金量相匹配。</w:t>
      </w:r>
    </w:p>
    <w:p>
      <w:pPr>
        <w:spacing w:line="500" w:lineRule="exact"/>
        <w:ind w:firstLine="664" w:firstLineChars="200"/>
        <w:rPr>
          <w:rFonts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根据评分规则，该指标权重分值2.5分，实际得分2.5分。</w:t>
      </w:r>
    </w:p>
    <w:p>
      <w:pPr>
        <w:pStyle w:val="12"/>
        <w:spacing w:line="500" w:lineRule="exact"/>
        <w:ind w:firstLine="664" w:firstLineChars="200"/>
        <w:jc w:val="both"/>
        <w:rPr>
          <w:rFonts w:asciiTheme="minorEastAsia" w:hAnsiTheme="minorEastAsia" w:eastAsiaTheme="minorEastAsia"/>
          <w:b w:val="0"/>
          <w:spacing w:val="6"/>
          <w:sz w:val="32"/>
          <w:szCs w:val="32"/>
        </w:rPr>
      </w:pPr>
      <w:r>
        <w:rPr>
          <w:rFonts w:hint="eastAsia" w:asciiTheme="minorEastAsia" w:hAnsiTheme="minorEastAsia" w:eastAsiaTheme="minorEastAsia"/>
          <w:b w:val="0"/>
          <w:spacing w:val="6"/>
          <w:sz w:val="32"/>
          <w:szCs w:val="32"/>
        </w:rPr>
        <w:t>（2）绩效指标明确性</w:t>
      </w:r>
    </w:p>
    <w:p>
      <w:pPr>
        <w:pStyle w:val="12"/>
        <w:spacing w:line="500" w:lineRule="exact"/>
        <w:ind w:firstLine="664" w:firstLineChars="200"/>
        <w:jc w:val="both"/>
        <w:rPr>
          <w:rFonts w:asciiTheme="minorEastAsia" w:hAnsiTheme="minorEastAsia" w:eastAsiaTheme="minorEastAsia"/>
          <w:b w:val="0"/>
          <w:spacing w:val="6"/>
          <w:sz w:val="32"/>
          <w:szCs w:val="32"/>
        </w:rPr>
      </w:pPr>
      <w:r>
        <w:rPr>
          <w:rFonts w:hint="eastAsia" w:asciiTheme="minorEastAsia" w:hAnsiTheme="minorEastAsia" w:eastAsiaTheme="minorEastAsia"/>
          <w:b w:val="0"/>
          <w:spacing w:val="6"/>
          <w:sz w:val="32"/>
          <w:szCs w:val="32"/>
        </w:rPr>
        <w:t>能够结合实际需求，将绩效目标细化分解为具体的绩效指标，设定的具体指标值，包含定量指标20个，定性指标3个。设定的绩效指标清晰、细化，具有可衡量性，且能够与项目目标计划数相对应。</w:t>
      </w:r>
    </w:p>
    <w:p>
      <w:pPr>
        <w:pStyle w:val="12"/>
        <w:spacing w:line="500" w:lineRule="exact"/>
        <w:ind w:firstLine="664" w:firstLineChars="200"/>
        <w:jc w:val="both"/>
        <w:rPr>
          <w:rFonts w:asciiTheme="minorEastAsia" w:hAnsiTheme="minorEastAsia" w:eastAsiaTheme="minorEastAsia"/>
          <w:b w:val="0"/>
          <w:spacing w:val="6"/>
          <w:sz w:val="32"/>
          <w:szCs w:val="32"/>
        </w:rPr>
      </w:pPr>
      <w:r>
        <w:rPr>
          <w:rFonts w:hint="eastAsia" w:asciiTheme="minorEastAsia" w:hAnsiTheme="minorEastAsia" w:eastAsiaTheme="minorEastAsia"/>
          <w:b w:val="0"/>
          <w:spacing w:val="6"/>
          <w:sz w:val="32"/>
          <w:szCs w:val="32"/>
        </w:rPr>
        <w:t>根据评分规则，该指标权重分值2.5分，实际得分2.5分。</w:t>
      </w:r>
    </w:p>
    <w:p>
      <w:pPr>
        <w:numPr>
          <w:ilvl w:val="255"/>
          <w:numId w:val="0"/>
        </w:numPr>
        <w:spacing w:line="500" w:lineRule="exact"/>
        <w:ind w:left="319" w:leftChars="152" w:firstLine="320" w:firstLineChars="10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3.资金投入</w:t>
      </w:r>
      <w:r>
        <w:rPr>
          <w:rFonts w:hint="eastAsia" w:cs="仿宋_GB2312" w:asciiTheme="minorEastAsia" w:hAnsiTheme="minorEastAsia" w:eastAsiaTheme="minorEastAsia"/>
          <w:spacing w:val="-4"/>
          <w:sz w:val="32"/>
          <w:szCs w:val="32"/>
        </w:rPr>
        <w:br w:type="textWrapping"/>
      </w:r>
      <w:r>
        <w:rPr>
          <w:rFonts w:hint="eastAsia" w:asciiTheme="minorEastAsia" w:hAnsiTheme="minorEastAsia" w:eastAsiaTheme="minorEastAsia"/>
          <w:spacing w:val="6"/>
          <w:sz w:val="32"/>
          <w:szCs w:val="32"/>
        </w:rPr>
        <w:t>（1）预算编制科学性</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lang w:eastAsia="zh-CN"/>
        </w:rPr>
        <w:t>自治区残疾人联合会信息中心</w:t>
      </w:r>
      <w:r>
        <w:rPr>
          <w:rFonts w:hint="eastAsia" w:asciiTheme="minorEastAsia" w:hAnsiTheme="minorEastAsia" w:eastAsiaTheme="minorEastAsia"/>
          <w:spacing w:val="6"/>
          <w:sz w:val="32"/>
          <w:szCs w:val="32"/>
        </w:rPr>
        <w:t>在进行项目概算时，根据相关规程并结合实际情况，确定该项目资金使用范围。在进行预算编制时，根据实施的项目类别、需求人数、标准对预算进行编制，预算的编制能够与项目内容及工作任务相匹配，预算的编制能够按照相应的依据编制且较为科学。</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根据评分规则，该指标权重分值2.5分，实际得分2.5分。</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（2）资金分配合理性</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w:t>
      </w:r>
      <w:r>
        <w:rPr>
          <w:rFonts w:hint="eastAsia" w:asciiTheme="minorEastAsia" w:hAnsiTheme="minorEastAsia" w:eastAsiaTheme="minorEastAsia"/>
          <w:spacing w:val="6"/>
          <w:sz w:val="32"/>
          <w:szCs w:val="32"/>
          <w:lang w:eastAsia="zh-CN"/>
        </w:rPr>
        <w:t>联合会信息</w:t>
      </w:r>
      <w:r>
        <w:rPr>
          <w:rFonts w:hint="eastAsia" w:asciiTheme="minorEastAsia" w:hAnsiTheme="minorEastAsia" w:eastAsiaTheme="minorEastAsia"/>
          <w:spacing w:val="6"/>
          <w:sz w:val="32"/>
          <w:szCs w:val="32"/>
        </w:rPr>
        <w:t>中心在进行项目资金分配时，按各科室承担的任务将项目资金进行分配，资金分配方案经自治区残疾人联合会党组会议审议同意。</w:t>
      </w:r>
    </w:p>
    <w:p>
      <w:pPr>
        <w:spacing w:line="500" w:lineRule="exact"/>
        <w:ind w:firstLine="664" w:firstLineChars="200"/>
        <w:rPr>
          <w:rFonts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根据评分规则，该指标权重分值2.5分，实际得分2.5分。</w:t>
      </w:r>
    </w:p>
    <w:p>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（二）项目过程情况</w:t>
      </w:r>
    </w:p>
    <w:p>
      <w:pPr>
        <w:pStyle w:val="11"/>
        <w:spacing w:line="500" w:lineRule="exact"/>
        <w:ind w:firstLine="64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1.</w:t>
      </w:r>
      <w:r>
        <w:rPr>
          <w:rFonts w:hint="eastAsia" w:asciiTheme="minorEastAsia" w:hAnsiTheme="minorEastAsia" w:eastAsiaTheme="minorEastAsia"/>
          <w:spacing w:val="6"/>
          <w:sz w:val="32"/>
          <w:szCs w:val="32"/>
        </w:rPr>
        <w:t>资金管理</w:t>
      </w:r>
    </w:p>
    <w:p>
      <w:pPr>
        <w:pStyle w:val="11"/>
        <w:spacing w:line="500" w:lineRule="exact"/>
        <w:ind w:firstLine="664"/>
        <w:rPr>
          <w:rFonts w:cs="仿宋" w:asciiTheme="minorEastAsia" w:hAnsiTheme="minorEastAsia" w:eastAsiaTheme="minorEastAsia"/>
          <w:sz w:val="32"/>
          <w:szCs w:val="32"/>
        </w:rPr>
      </w:pPr>
      <w:r>
        <w:rPr>
          <w:rFonts w:hint="eastAsia" w:asciiTheme="minorEastAsia" w:hAnsiTheme="minorEastAsia" w:eastAsiaTheme="minorEastAsia"/>
          <w:spacing w:val="6"/>
          <w:sz w:val="32"/>
          <w:szCs w:val="32"/>
        </w:rPr>
        <w:t>（1）</w:t>
      </w:r>
      <w:r>
        <w:rPr>
          <w:rFonts w:hint="eastAsia" w:cs="仿宋" w:asciiTheme="minorEastAsia" w:hAnsiTheme="minorEastAsia" w:eastAsiaTheme="minorEastAsia"/>
          <w:sz w:val="32"/>
          <w:szCs w:val="32"/>
        </w:rPr>
        <w:t>资金到位率：残疾人事业发展补助资金预算列入2022年预算，自治区财政厅2022年3月拨付残疾人事业发展补助资金</w:t>
      </w:r>
      <w:r>
        <w:rPr>
          <w:rFonts w:hint="eastAsia" w:cs="仿宋" w:asciiTheme="minorEastAsia" w:hAnsiTheme="minorEastAsia" w:eastAsiaTheme="minorEastAsia"/>
          <w:sz w:val="32"/>
          <w:szCs w:val="32"/>
          <w:lang w:val="en-US" w:eastAsia="zh-CN"/>
        </w:rPr>
        <w:t>180</w:t>
      </w:r>
      <w:r>
        <w:rPr>
          <w:rFonts w:hint="eastAsia" w:cs="仿宋" w:asciiTheme="minorEastAsia" w:hAnsiTheme="minorEastAsia" w:eastAsiaTheme="minorEastAsia"/>
          <w:sz w:val="32"/>
          <w:szCs w:val="32"/>
        </w:rPr>
        <w:t>万元，资金到位率100%。</w:t>
      </w:r>
    </w:p>
    <w:p>
      <w:pPr>
        <w:spacing w:line="500" w:lineRule="exact"/>
        <w:ind w:left="319" w:leftChars="152" w:firstLine="332" w:firstLineChars="100"/>
        <w:jc w:val="left"/>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根据评分规则，该指标权重分值4分，实际得分4分</w:t>
      </w:r>
    </w:p>
    <w:p>
      <w:pPr>
        <w:spacing w:line="500" w:lineRule="exact"/>
        <w:ind w:left="319" w:leftChars="152" w:firstLine="320" w:firstLineChars="100"/>
        <w:jc w:val="left"/>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（2）预算执行率：2022年自治区残疾人补助资金到位</w:t>
      </w:r>
      <w:r>
        <w:rPr>
          <w:rFonts w:hint="eastAsia" w:cs="仿宋" w:asciiTheme="minorEastAsia" w:hAnsiTheme="minorEastAsia" w:eastAsiaTheme="minorEastAsia"/>
          <w:sz w:val="32"/>
          <w:szCs w:val="32"/>
          <w:lang w:val="en-US" w:eastAsia="zh-CN"/>
        </w:rPr>
        <w:t>180</w:t>
      </w:r>
      <w:r>
        <w:rPr>
          <w:rFonts w:hint="eastAsia" w:cs="仿宋" w:asciiTheme="minorEastAsia" w:hAnsiTheme="minorEastAsia" w:eastAsiaTheme="minorEastAsia"/>
          <w:sz w:val="32"/>
          <w:szCs w:val="32"/>
        </w:rPr>
        <w:t>万元，实际支出</w:t>
      </w:r>
      <w:r>
        <w:rPr>
          <w:rFonts w:hint="eastAsia" w:cs="仿宋" w:asciiTheme="minorEastAsia" w:hAnsiTheme="minorEastAsia" w:eastAsiaTheme="minorEastAsia"/>
          <w:sz w:val="32"/>
          <w:szCs w:val="32"/>
          <w:lang w:val="en-US" w:eastAsia="zh-CN"/>
        </w:rPr>
        <w:t>178.77</w:t>
      </w:r>
      <w:r>
        <w:rPr>
          <w:rFonts w:hint="eastAsia" w:cs="仿宋" w:asciiTheme="minorEastAsia" w:hAnsiTheme="minorEastAsia" w:eastAsiaTheme="minorEastAsia"/>
          <w:sz w:val="32"/>
          <w:szCs w:val="32"/>
        </w:rPr>
        <w:t>万元，预算执行率</w:t>
      </w:r>
      <w:r>
        <w:rPr>
          <w:rFonts w:hint="eastAsia" w:cs="仿宋" w:asciiTheme="minorEastAsia" w:hAnsiTheme="minorEastAsia" w:eastAsiaTheme="minorEastAsia"/>
          <w:sz w:val="32"/>
          <w:szCs w:val="32"/>
          <w:lang w:val="en-US" w:eastAsia="zh-CN"/>
        </w:rPr>
        <w:t>99.3</w:t>
      </w:r>
      <w:r>
        <w:rPr>
          <w:rFonts w:hint="eastAsia" w:cs="仿宋" w:asciiTheme="minorEastAsia" w:hAnsiTheme="minorEastAsia" w:eastAsiaTheme="minorEastAsia"/>
          <w:sz w:val="32"/>
          <w:szCs w:val="32"/>
        </w:rPr>
        <w:t>%。</w:t>
      </w:r>
    </w:p>
    <w:p>
      <w:pPr>
        <w:spacing w:line="500" w:lineRule="exact"/>
        <w:ind w:firstLine="664" w:firstLineChars="200"/>
        <w:rPr>
          <w:rFonts w:cs="仿宋"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根据评分规则，该指标权重分值4分，实际得分3.</w:t>
      </w:r>
      <w:r>
        <w:rPr>
          <w:rFonts w:hint="eastAsia" w:asciiTheme="minorEastAsia" w:hAnsiTheme="minorEastAsia" w:eastAsiaTheme="minorEastAsia"/>
          <w:spacing w:val="6"/>
          <w:sz w:val="32"/>
          <w:szCs w:val="32"/>
          <w:lang w:val="en-US" w:eastAsia="zh-CN"/>
        </w:rPr>
        <w:t>7</w:t>
      </w:r>
      <w:r>
        <w:rPr>
          <w:rFonts w:hint="eastAsia" w:asciiTheme="minorEastAsia" w:hAnsiTheme="minorEastAsia" w:eastAsiaTheme="minorEastAsia"/>
          <w:spacing w:val="6"/>
          <w:sz w:val="32"/>
          <w:szCs w:val="32"/>
        </w:rPr>
        <w:t>分。</w:t>
      </w:r>
    </w:p>
    <w:p>
      <w:pPr>
        <w:numPr>
          <w:ilvl w:val="0"/>
          <w:numId w:val="2"/>
        </w:numPr>
        <w:spacing w:line="500" w:lineRule="exact"/>
        <w:ind w:firstLine="640" w:firstLineChars="20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资金使用合规性：项目使用资金符合相关的财务管理制度，</w:t>
      </w:r>
      <w:r>
        <w:rPr>
          <w:rFonts w:hint="eastAsia" w:asciiTheme="minorEastAsia" w:hAnsiTheme="minorEastAsia" w:eastAsiaTheme="minorEastAsia"/>
          <w:spacing w:val="6"/>
          <w:sz w:val="32"/>
          <w:szCs w:val="32"/>
        </w:rPr>
        <w:t>各科室能够按照自治区财政厅《关于提前下达2022年自治区财政残疾人事业发展补助资金的通知》（新财社〔20</w:t>
      </w:r>
      <w:r>
        <w:rPr>
          <w:rFonts w:asciiTheme="minorEastAsia" w:hAnsiTheme="minorEastAsia" w:eastAsiaTheme="minorEastAsia"/>
          <w:spacing w:val="6"/>
          <w:sz w:val="32"/>
          <w:szCs w:val="32"/>
        </w:rPr>
        <w:t>2</w:t>
      </w:r>
      <w:r>
        <w:rPr>
          <w:rFonts w:hint="eastAsia" w:asciiTheme="minorEastAsia" w:hAnsiTheme="minorEastAsia" w:eastAsiaTheme="minorEastAsia"/>
          <w:spacing w:val="6"/>
          <w:sz w:val="32"/>
          <w:szCs w:val="32"/>
        </w:rPr>
        <w:t>1〕291号）文件规定使用项目资金，项目资金的使用、支出有完整的审批程序和手续。</w:t>
      </w:r>
    </w:p>
    <w:p>
      <w:pPr>
        <w:spacing w:line="500" w:lineRule="exact"/>
        <w:ind w:firstLine="664" w:firstLineChars="200"/>
        <w:rPr>
          <w:rFonts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根据评分规则，该指标权重分值4分，实际得分4分。</w:t>
      </w:r>
    </w:p>
    <w:p>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2.组织实施</w:t>
      </w:r>
    </w:p>
    <w:p>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（1）管理制度健全性：</w:t>
      </w:r>
      <w:r>
        <w:rPr>
          <w:rFonts w:hint="eastAsia" w:asciiTheme="minorEastAsia" w:hAnsiTheme="minorEastAsia" w:eastAsiaTheme="minorEastAsia"/>
          <w:spacing w:val="6"/>
          <w:sz w:val="32"/>
          <w:szCs w:val="32"/>
        </w:rPr>
        <w:t>自治区残疾人</w:t>
      </w:r>
      <w:r>
        <w:rPr>
          <w:rFonts w:hint="eastAsia" w:asciiTheme="minorEastAsia" w:hAnsiTheme="minorEastAsia" w:eastAsiaTheme="minorEastAsia"/>
          <w:spacing w:val="6"/>
          <w:sz w:val="32"/>
          <w:szCs w:val="32"/>
          <w:lang w:eastAsia="zh-CN"/>
        </w:rPr>
        <w:t>联合会信息</w:t>
      </w:r>
      <w:r>
        <w:rPr>
          <w:rFonts w:hint="eastAsia" w:asciiTheme="minorEastAsia" w:hAnsiTheme="minorEastAsia" w:eastAsiaTheme="minorEastAsia"/>
          <w:spacing w:val="6"/>
          <w:sz w:val="32"/>
          <w:szCs w:val="32"/>
        </w:rPr>
        <w:t>中心制定并执行《新疆维吾尔自治区残疾人</w:t>
      </w:r>
      <w:r>
        <w:rPr>
          <w:rFonts w:hint="eastAsia" w:asciiTheme="minorEastAsia" w:hAnsiTheme="minorEastAsia" w:eastAsiaTheme="minorEastAsia"/>
          <w:spacing w:val="6"/>
          <w:sz w:val="32"/>
          <w:szCs w:val="32"/>
          <w:lang w:eastAsia="zh-CN"/>
        </w:rPr>
        <w:t>联合会信息</w:t>
      </w:r>
      <w:r>
        <w:rPr>
          <w:rFonts w:hint="eastAsia" w:asciiTheme="minorEastAsia" w:hAnsiTheme="minorEastAsia" w:eastAsiaTheme="minorEastAsia"/>
          <w:spacing w:val="6"/>
          <w:sz w:val="32"/>
          <w:szCs w:val="32"/>
        </w:rPr>
        <w:t>中心管理制度》、《新疆维吾尔自治区残疾人事业发展补助资金管理办法》，</w:t>
      </w:r>
      <w:r>
        <w:rPr>
          <w:rFonts w:hint="eastAsia" w:cs="仿宋" w:asciiTheme="minorEastAsia" w:hAnsiTheme="minorEastAsia" w:eastAsiaTheme="minorEastAsia"/>
          <w:sz w:val="32"/>
          <w:szCs w:val="32"/>
        </w:rPr>
        <w:t>财务和业务管理制度健全，严格依据年初预算申报自治区残疾人补助资金实际需求与资金用途，专款专用，每月统计通报资金执行情况，保障项目顺利实施。</w:t>
      </w:r>
    </w:p>
    <w:p>
      <w:pPr>
        <w:spacing w:line="500" w:lineRule="exact"/>
        <w:ind w:firstLine="664" w:firstLineChars="200"/>
        <w:rPr>
          <w:rFonts w:cs="仿宋"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根据评分规则，该指标权重分值4分，实际得分4分。</w:t>
      </w:r>
    </w:p>
    <w:p>
      <w:pPr>
        <w:spacing w:line="500" w:lineRule="exact"/>
        <w:ind w:firstLine="640" w:firstLineChars="20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（2）</w:t>
      </w:r>
      <w:r>
        <w:rPr>
          <w:rFonts w:hint="eastAsia" w:asciiTheme="minorEastAsia" w:hAnsiTheme="minorEastAsia" w:eastAsiaTheme="minorEastAsia"/>
          <w:spacing w:val="6"/>
          <w:sz w:val="32"/>
          <w:szCs w:val="32"/>
        </w:rPr>
        <w:t>制度执行有效性</w:t>
      </w:r>
    </w:p>
    <w:p>
      <w:pPr>
        <w:pStyle w:val="11"/>
        <w:spacing w:line="500" w:lineRule="exact"/>
        <w:ind w:firstLine="664"/>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w:t>
      </w:r>
      <w:r>
        <w:rPr>
          <w:rFonts w:hint="eastAsia" w:asciiTheme="minorEastAsia" w:hAnsiTheme="minorEastAsia" w:eastAsiaTheme="minorEastAsia"/>
          <w:spacing w:val="6"/>
          <w:sz w:val="32"/>
          <w:szCs w:val="32"/>
          <w:lang w:eastAsia="zh-CN"/>
        </w:rPr>
        <w:t>联合会信息</w:t>
      </w:r>
      <w:r>
        <w:rPr>
          <w:rFonts w:hint="eastAsia" w:asciiTheme="minorEastAsia" w:hAnsiTheme="minorEastAsia" w:eastAsiaTheme="minorEastAsia"/>
          <w:spacing w:val="6"/>
          <w:sz w:val="32"/>
          <w:szCs w:val="32"/>
        </w:rPr>
        <w:t>中心在项目执行过程中，能够认真贯彻执行相关法律法规、制度、办法和约定，制度执行较为有效。</w:t>
      </w:r>
    </w:p>
    <w:p>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根据评分规则，该指标权重分值4分，实际得分4分。</w:t>
      </w:r>
    </w:p>
    <w:p>
      <w:pPr>
        <w:pStyle w:val="11"/>
        <w:spacing w:line="500" w:lineRule="exact"/>
        <w:ind w:firstLine="640"/>
        <w:rPr>
          <w:rFonts w:cs="仿宋" w:asciiTheme="minorEastAsia" w:hAnsiTheme="minorEastAsia" w:eastAsiaTheme="minorEastAsia"/>
          <w:color w:val="FF0000"/>
          <w:sz w:val="32"/>
          <w:szCs w:val="32"/>
        </w:rPr>
      </w:pPr>
      <w:r>
        <w:rPr>
          <w:rFonts w:hint="eastAsia" w:cs="仿宋" w:asciiTheme="minorEastAsia" w:hAnsiTheme="minorEastAsia" w:eastAsiaTheme="minorEastAsia"/>
          <w:sz w:val="32"/>
          <w:szCs w:val="32"/>
        </w:rPr>
        <w:t>（三）项目产出情况</w:t>
      </w:r>
    </w:p>
    <w:p>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1.数量指标</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 w:asciiTheme="minorEastAsia" w:hAnsiTheme="minorEastAsia" w:eastAsiaTheme="minorEastAsia"/>
          <w:sz w:val="32"/>
          <w:szCs w:val="32"/>
        </w:rPr>
        <w:t>指标1.</w:t>
      </w:r>
      <w:r>
        <w:rPr>
          <w:rFonts w:hint="eastAsia" w:cs="仿宋_GB2312" w:asciiTheme="minorEastAsia" w:hAnsiTheme="minorEastAsia" w:eastAsiaTheme="minorEastAsia"/>
          <w:sz w:val="32"/>
          <w:szCs w:val="32"/>
        </w:rPr>
        <w:t>机房软、硬件维保及安全运维服务采购数量，指标值 = 1套，完成值 1套，指标完成率100%；</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指标2.视频会议系统硬件设备采购，指标值 = 3台，完成值3台，指标完成率100%；</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指标3.密码应用软、硬件设备采购数量，指标值&gt;=5套，完成值5套，指标完成率100%。</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指标4.</w:t>
      </w:r>
      <w:r>
        <w:rPr>
          <w:rFonts w:hint="eastAsia" w:cs="仿宋" w:asciiTheme="minorEastAsia" w:hAnsiTheme="minorEastAsia" w:eastAsiaTheme="minorEastAsia"/>
          <w:sz w:val="32"/>
          <w:szCs w:val="32"/>
        </w:rPr>
        <w:t>机房UPS不间断电源采购数量，</w:t>
      </w:r>
      <w:r>
        <w:rPr>
          <w:rFonts w:hint="eastAsia" w:cs="仿宋_GB2312" w:asciiTheme="minorEastAsia" w:hAnsiTheme="minorEastAsia" w:eastAsiaTheme="minorEastAsia"/>
          <w:sz w:val="32"/>
          <w:szCs w:val="32"/>
        </w:rPr>
        <w:t>指标值≤3项，完成值3项，指标完成率</w:t>
      </w:r>
      <w:r>
        <w:rPr>
          <w:rFonts w:hint="eastAsia" w:cs="仿宋_GB2312" w:asciiTheme="minorEastAsia" w:hAnsiTheme="minorEastAsia" w:eastAsiaTheme="minorEastAsia"/>
          <w:sz w:val="32"/>
          <w:szCs w:val="32"/>
          <w:lang w:val="en-US" w:eastAsia="zh-CN"/>
        </w:rPr>
        <w:t>100</w:t>
      </w:r>
      <w:r>
        <w:rPr>
          <w:rFonts w:hint="eastAsia" w:cs="仿宋_GB2312" w:asciiTheme="minorEastAsia" w:hAnsiTheme="minorEastAsia" w:eastAsiaTheme="minorEastAsia"/>
          <w:sz w:val="32"/>
          <w:szCs w:val="32"/>
        </w:rPr>
        <w:t>%；</w:t>
      </w:r>
    </w:p>
    <w:p>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w:t>
      </w:r>
      <w:r>
        <w:rPr>
          <w:rFonts w:hint="eastAsia" w:asciiTheme="minorEastAsia" w:hAnsiTheme="minorEastAsia" w:eastAsiaTheme="minorEastAsia"/>
          <w:spacing w:val="6"/>
          <w:sz w:val="32"/>
          <w:szCs w:val="32"/>
          <w:lang w:val="en-US" w:eastAsia="zh-CN"/>
        </w:rPr>
        <w:t>10</w:t>
      </w:r>
      <w:r>
        <w:rPr>
          <w:rFonts w:hint="eastAsia" w:asciiTheme="minorEastAsia" w:hAnsiTheme="minorEastAsia" w:eastAsiaTheme="minorEastAsia"/>
          <w:spacing w:val="6"/>
          <w:sz w:val="32"/>
          <w:szCs w:val="32"/>
        </w:rPr>
        <w:t>分，实际得分</w:t>
      </w:r>
      <w:r>
        <w:rPr>
          <w:rFonts w:hint="eastAsia" w:asciiTheme="minorEastAsia" w:hAnsiTheme="minorEastAsia" w:eastAsiaTheme="minorEastAsia"/>
          <w:spacing w:val="6"/>
          <w:sz w:val="32"/>
          <w:szCs w:val="32"/>
          <w:lang w:val="en-US" w:eastAsia="zh-CN"/>
        </w:rPr>
        <w:t>10</w:t>
      </w:r>
      <w:r>
        <w:rPr>
          <w:rFonts w:hint="eastAsia" w:asciiTheme="minorEastAsia" w:hAnsiTheme="minorEastAsia" w:eastAsiaTheme="minorEastAsia"/>
          <w:spacing w:val="6"/>
          <w:sz w:val="32"/>
          <w:szCs w:val="32"/>
        </w:rPr>
        <w:t>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 xml:space="preserve">2.质量指标   </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指标1.设备验收合格率，指标值≥99%，完成值99%，指标完成率100%。</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指标2.项目验收合格率，指标值≥99%，完成值99%，指标完成率100%。</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指标3.系统故障率（%），指标值&lt;=5%，完成值</w:t>
      </w:r>
      <w:r>
        <w:rPr>
          <w:rFonts w:hint="eastAsia" w:cs="仿宋_GB2312" w:asciiTheme="minorEastAsia" w:hAnsiTheme="minorEastAsia" w:eastAsiaTheme="minorEastAsia"/>
          <w:sz w:val="32"/>
          <w:szCs w:val="32"/>
          <w:lang w:val="en-US" w:eastAsia="zh-CN"/>
        </w:rPr>
        <w:t>3</w:t>
      </w:r>
      <w:r>
        <w:rPr>
          <w:rFonts w:hint="eastAsia" w:cs="仿宋_GB2312" w:asciiTheme="minorEastAsia" w:hAnsiTheme="minorEastAsia" w:eastAsiaTheme="minorEastAsia"/>
          <w:sz w:val="32"/>
          <w:szCs w:val="32"/>
        </w:rPr>
        <w:t>%，指标完成率100%。</w:t>
      </w:r>
    </w:p>
    <w:p>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w:t>
      </w:r>
      <w:r>
        <w:rPr>
          <w:rFonts w:hint="eastAsia" w:asciiTheme="minorEastAsia" w:hAnsiTheme="minorEastAsia" w:eastAsiaTheme="minorEastAsia"/>
          <w:spacing w:val="6"/>
          <w:sz w:val="32"/>
          <w:szCs w:val="32"/>
          <w:lang w:val="en-US" w:eastAsia="zh-CN"/>
        </w:rPr>
        <w:t>5</w:t>
      </w:r>
      <w:r>
        <w:rPr>
          <w:rFonts w:hint="eastAsia" w:asciiTheme="minorEastAsia" w:hAnsiTheme="minorEastAsia" w:eastAsiaTheme="minorEastAsia"/>
          <w:spacing w:val="6"/>
          <w:sz w:val="32"/>
          <w:szCs w:val="32"/>
        </w:rPr>
        <w:t>分，实际得分</w:t>
      </w:r>
      <w:r>
        <w:rPr>
          <w:rFonts w:hint="eastAsia" w:asciiTheme="minorEastAsia" w:hAnsiTheme="minorEastAsia" w:eastAsiaTheme="minorEastAsia"/>
          <w:spacing w:val="6"/>
          <w:sz w:val="32"/>
          <w:szCs w:val="32"/>
          <w:lang w:val="en-US" w:eastAsia="zh-CN"/>
        </w:rPr>
        <w:t>5</w:t>
      </w:r>
      <w:r>
        <w:rPr>
          <w:rFonts w:hint="eastAsia" w:asciiTheme="minorEastAsia" w:hAnsiTheme="minorEastAsia" w:eastAsiaTheme="minorEastAsia"/>
          <w:spacing w:val="6"/>
          <w:sz w:val="32"/>
          <w:szCs w:val="32"/>
        </w:rPr>
        <w:t>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3.时效指标</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指标1.系统运行维护响应时间，指标值≤2小时，完成值2小时，指标完成率100%。</w:t>
      </w:r>
    </w:p>
    <w:p>
      <w:pPr>
        <w:pStyle w:val="18"/>
        <w:widowControl/>
        <w:spacing w:before="40" w:beforeAutospacing="0" w:after="0" w:afterAutospacing="0" w:line="500" w:lineRule="exact"/>
        <w:ind w:firstLine="64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指标2.系统故障修复处理时长，指标值≤3天，完成值3天，指标完成率100%。</w:t>
      </w:r>
    </w:p>
    <w:p>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w:t>
      </w:r>
      <w:r>
        <w:rPr>
          <w:rFonts w:hint="eastAsia" w:asciiTheme="minorEastAsia" w:hAnsiTheme="minorEastAsia" w:eastAsiaTheme="minorEastAsia"/>
          <w:spacing w:val="6"/>
          <w:sz w:val="32"/>
          <w:szCs w:val="32"/>
          <w:lang w:val="en-US" w:eastAsia="zh-CN"/>
        </w:rPr>
        <w:t>5</w:t>
      </w:r>
      <w:r>
        <w:rPr>
          <w:rFonts w:hint="eastAsia" w:asciiTheme="minorEastAsia" w:hAnsiTheme="minorEastAsia" w:eastAsiaTheme="minorEastAsia"/>
          <w:spacing w:val="6"/>
          <w:sz w:val="32"/>
          <w:szCs w:val="32"/>
        </w:rPr>
        <w:t>分，实际得分</w:t>
      </w:r>
      <w:r>
        <w:rPr>
          <w:rFonts w:hint="eastAsia" w:asciiTheme="minorEastAsia" w:hAnsiTheme="minorEastAsia" w:eastAsiaTheme="minorEastAsia"/>
          <w:spacing w:val="6"/>
          <w:sz w:val="32"/>
          <w:szCs w:val="32"/>
          <w:lang w:val="en-US" w:eastAsia="zh-CN"/>
        </w:rPr>
        <w:t>5</w:t>
      </w:r>
      <w:r>
        <w:rPr>
          <w:rFonts w:hint="eastAsia" w:asciiTheme="minorEastAsia" w:hAnsiTheme="minorEastAsia" w:eastAsiaTheme="minorEastAsia"/>
          <w:spacing w:val="6"/>
          <w:sz w:val="32"/>
          <w:szCs w:val="32"/>
        </w:rPr>
        <w:t>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4.成本指标</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指标1.机房UPS不间断电源采购成本，指标值≤13万元，完成值</w:t>
      </w:r>
      <w:r>
        <w:rPr>
          <w:rFonts w:hint="eastAsia" w:cs="仿宋_GB2312" w:asciiTheme="minorEastAsia" w:hAnsiTheme="minorEastAsia" w:eastAsiaTheme="minorEastAsia"/>
          <w:sz w:val="32"/>
          <w:szCs w:val="32"/>
          <w:highlight w:val="none"/>
          <w:lang w:val="en-US" w:eastAsia="zh-CN"/>
        </w:rPr>
        <w:t>13.13</w:t>
      </w:r>
      <w:r>
        <w:rPr>
          <w:rFonts w:hint="eastAsia" w:cs="仿宋_GB2312" w:asciiTheme="minorEastAsia" w:hAnsiTheme="minorEastAsia" w:eastAsiaTheme="minorEastAsia"/>
          <w:sz w:val="32"/>
          <w:szCs w:val="32"/>
          <w:highlight w:val="none"/>
        </w:rPr>
        <w:t>万元/人/年，完成率</w:t>
      </w:r>
      <w:r>
        <w:rPr>
          <w:rFonts w:hint="eastAsia" w:cs="仿宋_GB2312" w:asciiTheme="minorEastAsia" w:hAnsiTheme="minorEastAsia" w:eastAsiaTheme="minorEastAsia"/>
          <w:sz w:val="32"/>
          <w:szCs w:val="32"/>
          <w:highlight w:val="none"/>
          <w:lang w:val="en-US" w:eastAsia="zh-CN"/>
        </w:rPr>
        <w:t>101</w:t>
      </w:r>
      <w:r>
        <w:rPr>
          <w:rFonts w:hint="eastAsia" w:cs="仿宋_GB2312" w:asciiTheme="minorEastAsia" w:hAnsiTheme="minorEastAsia" w:eastAsiaTheme="minorEastAsia"/>
          <w:sz w:val="32"/>
          <w:szCs w:val="32"/>
          <w:highlight w:val="none"/>
        </w:rPr>
        <w:t>%。</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指标2.机房软、硬件维保及安全运维成本，指标值≤20万元，完成值</w:t>
      </w:r>
      <w:r>
        <w:rPr>
          <w:rFonts w:hint="eastAsia" w:cs="仿宋_GB2312" w:asciiTheme="minorEastAsia" w:hAnsiTheme="minorEastAsia" w:eastAsiaTheme="minorEastAsia"/>
          <w:sz w:val="32"/>
          <w:szCs w:val="32"/>
          <w:highlight w:val="none"/>
          <w:lang w:val="en-US" w:eastAsia="zh-CN"/>
        </w:rPr>
        <w:t>18.68</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93.4</w:t>
      </w:r>
      <w:r>
        <w:rPr>
          <w:rFonts w:hint="eastAsia" w:cs="仿宋_GB2312" w:asciiTheme="minorEastAsia" w:hAnsiTheme="minorEastAsia" w:eastAsiaTheme="minorEastAsia"/>
          <w:sz w:val="32"/>
          <w:szCs w:val="32"/>
          <w:highlight w:val="none"/>
        </w:rPr>
        <w:t>%。</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指标3.信息安全等级保护测评成本，指标值≤10万元，完成值</w:t>
      </w:r>
      <w:r>
        <w:rPr>
          <w:rFonts w:hint="eastAsia" w:cs="仿宋_GB2312" w:asciiTheme="minorEastAsia" w:hAnsiTheme="minorEastAsia" w:eastAsiaTheme="minorEastAsia"/>
          <w:sz w:val="32"/>
          <w:szCs w:val="32"/>
          <w:highlight w:val="none"/>
          <w:lang w:val="en-US" w:eastAsia="zh-CN"/>
        </w:rPr>
        <w:t>9.5</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95</w:t>
      </w:r>
      <w:r>
        <w:rPr>
          <w:rFonts w:hint="eastAsia" w:cs="仿宋_GB2312" w:asciiTheme="minorEastAsia" w:hAnsiTheme="minorEastAsia" w:eastAsiaTheme="minorEastAsia"/>
          <w:sz w:val="32"/>
          <w:szCs w:val="32"/>
          <w:highlight w:val="none"/>
        </w:rPr>
        <w:t>%。</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指标4.视频会议系统设备成本，指标值≤6万元，完成值</w:t>
      </w:r>
      <w:r>
        <w:rPr>
          <w:rFonts w:hint="eastAsia" w:cs="仿宋_GB2312" w:asciiTheme="minorEastAsia" w:hAnsiTheme="minorEastAsia" w:eastAsiaTheme="minorEastAsia"/>
          <w:sz w:val="32"/>
          <w:szCs w:val="32"/>
          <w:highlight w:val="none"/>
          <w:lang w:val="en-US" w:eastAsia="zh-CN"/>
        </w:rPr>
        <w:t>6.67</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111.17</w:t>
      </w:r>
      <w:r>
        <w:rPr>
          <w:rFonts w:hint="eastAsia" w:cs="仿宋_GB2312" w:asciiTheme="minorEastAsia" w:hAnsiTheme="minorEastAsia" w:eastAsiaTheme="minorEastAsia"/>
          <w:sz w:val="32"/>
          <w:szCs w:val="32"/>
          <w:highlight w:val="none"/>
        </w:rPr>
        <w:t>%。</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highlight w:val="none"/>
        </w:rPr>
      </w:pPr>
      <w:r>
        <w:rPr>
          <w:rFonts w:hint="eastAsia" w:cs="仿宋_GB2312" w:asciiTheme="minorEastAsia" w:hAnsiTheme="minorEastAsia" w:eastAsiaTheme="minorEastAsia"/>
          <w:sz w:val="32"/>
          <w:szCs w:val="32"/>
          <w:highlight w:val="none"/>
        </w:rPr>
        <w:t>指标5.密码应用软、硬件设备采购成本，指标值≤109万元，完成值</w:t>
      </w:r>
      <w:r>
        <w:rPr>
          <w:rFonts w:hint="eastAsia" w:cs="仿宋_GB2312" w:asciiTheme="minorEastAsia" w:hAnsiTheme="minorEastAsia" w:eastAsiaTheme="minorEastAsia"/>
          <w:sz w:val="32"/>
          <w:szCs w:val="32"/>
          <w:highlight w:val="none"/>
          <w:lang w:val="en-US" w:eastAsia="zh-CN"/>
        </w:rPr>
        <w:t>108.3</w:t>
      </w:r>
      <w:r>
        <w:rPr>
          <w:rFonts w:hint="eastAsia" w:cs="仿宋_GB2312" w:asciiTheme="minorEastAsia" w:hAnsiTheme="minorEastAsia" w:eastAsiaTheme="minorEastAsia"/>
          <w:sz w:val="32"/>
          <w:szCs w:val="32"/>
          <w:highlight w:val="none"/>
        </w:rPr>
        <w:t>万元，完成率</w:t>
      </w:r>
      <w:r>
        <w:rPr>
          <w:rFonts w:hint="eastAsia" w:cs="仿宋_GB2312" w:asciiTheme="minorEastAsia" w:hAnsiTheme="minorEastAsia" w:eastAsiaTheme="minorEastAsia"/>
          <w:sz w:val="32"/>
          <w:szCs w:val="32"/>
          <w:highlight w:val="none"/>
          <w:lang w:val="en-US" w:eastAsia="zh-CN"/>
        </w:rPr>
        <w:t>99.36</w:t>
      </w:r>
      <w:r>
        <w:rPr>
          <w:rFonts w:hint="eastAsia" w:cs="仿宋_GB2312" w:asciiTheme="minorEastAsia" w:hAnsiTheme="minorEastAsia" w:eastAsiaTheme="minorEastAsia"/>
          <w:sz w:val="32"/>
          <w:szCs w:val="32"/>
          <w:highlight w:val="none"/>
        </w:rPr>
        <w:t>%。</w:t>
      </w:r>
    </w:p>
    <w:p>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highlight w:val="none"/>
        </w:rPr>
        <w:t>根据评分规则，该指标权重分值</w:t>
      </w:r>
      <w:r>
        <w:rPr>
          <w:rFonts w:hint="eastAsia" w:asciiTheme="minorEastAsia" w:hAnsiTheme="minorEastAsia" w:eastAsiaTheme="minorEastAsia"/>
          <w:spacing w:val="6"/>
          <w:sz w:val="32"/>
          <w:szCs w:val="32"/>
          <w:highlight w:val="none"/>
          <w:lang w:val="en-US" w:eastAsia="zh-CN"/>
        </w:rPr>
        <w:t>20</w:t>
      </w:r>
      <w:r>
        <w:rPr>
          <w:rFonts w:hint="eastAsia" w:asciiTheme="minorEastAsia" w:hAnsiTheme="minorEastAsia" w:eastAsiaTheme="minorEastAsia"/>
          <w:spacing w:val="6"/>
          <w:sz w:val="32"/>
          <w:szCs w:val="32"/>
          <w:highlight w:val="none"/>
        </w:rPr>
        <w:t>分，实际得分</w:t>
      </w:r>
      <w:r>
        <w:rPr>
          <w:rFonts w:hint="eastAsia" w:asciiTheme="minorEastAsia" w:hAnsiTheme="minorEastAsia" w:eastAsiaTheme="minorEastAsia"/>
          <w:spacing w:val="6"/>
          <w:sz w:val="32"/>
          <w:szCs w:val="32"/>
          <w:highlight w:val="none"/>
          <w:lang w:val="en-US" w:eastAsia="zh-CN"/>
        </w:rPr>
        <w:t>19.51</w:t>
      </w:r>
      <w:r>
        <w:rPr>
          <w:rFonts w:hint="eastAsia" w:asciiTheme="minorEastAsia" w:hAnsiTheme="minorEastAsia" w:eastAsiaTheme="minorEastAsia"/>
          <w:spacing w:val="6"/>
          <w:sz w:val="32"/>
          <w:szCs w:val="32"/>
        </w:rPr>
        <w:t>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（四）项目效益情况</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1.效益指标</w:t>
      </w:r>
    </w:p>
    <w:p>
      <w:pPr>
        <w:pStyle w:val="18"/>
        <w:widowControl/>
        <w:spacing w:before="40" w:beforeAutospacing="0" w:after="0" w:afterAutospacing="0" w:line="500" w:lineRule="exact"/>
        <w:ind w:firstLine="640" w:firstLineChars="200"/>
        <w:jc w:val="both"/>
        <w:rPr>
          <w:rFonts w:hint="eastAsia"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指标1.有效提示信息系统网络安全保障能力，指标值有效提升，完成值100%，完成率100%。</w:t>
      </w:r>
    </w:p>
    <w:p>
      <w:pPr>
        <w:pStyle w:val="18"/>
        <w:widowControl/>
        <w:spacing w:before="40" w:beforeAutospacing="0" w:after="0" w:afterAutospacing="0" w:line="500" w:lineRule="exact"/>
        <w:ind w:firstLine="664" w:firstLineChars="200"/>
        <w:jc w:val="both"/>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根据评分规则，该指标权重分值20分，实际得分20分。</w:t>
      </w:r>
    </w:p>
    <w:p>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（五）项目满意度情况</w:t>
      </w:r>
    </w:p>
    <w:p>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指标1.信息网络系统使用人员满意度，完成值≥95%，指标完成率100%。</w:t>
      </w:r>
    </w:p>
    <w:p>
      <w:pPr>
        <w:spacing w:line="500" w:lineRule="exact"/>
        <w:ind w:firstLine="664" w:firstLineChars="200"/>
        <w:rPr>
          <w:rFonts w:hint="eastAsia" w:ascii="仿宋_GB2312" w:hAnsi="黑体" w:eastAsia="仿宋_GB2312"/>
          <w:spacing w:val="6"/>
          <w:sz w:val="32"/>
          <w:szCs w:val="32"/>
        </w:rPr>
      </w:pPr>
      <w:r>
        <w:rPr>
          <w:rFonts w:hint="eastAsia" w:asciiTheme="minorEastAsia" w:hAnsiTheme="minorEastAsia" w:eastAsiaTheme="minorEastAsia"/>
          <w:spacing w:val="6"/>
          <w:sz w:val="32"/>
          <w:szCs w:val="32"/>
        </w:rPr>
        <w:t>根据评分规则，该指标权重分值</w:t>
      </w:r>
      <w:r>
        <w:rPr>
          <w:rFonts w:hint="eastAsia" w:asciiTheme="minorEastAsia" w:hAnsiTheme="minorEastAsia" w:eastAsiaTheme="minorEastAsia"/>
          <w:spacing w:val="6"/>
          <w:sz w:val="32"/>
          <w:szCs w:val="32"/>
          <w:lang w:val="en-US" w:eastAsia="zh-CN"/>
        </w:rPr>
        <w:t>10</w:t>
      </w:r>
      <w:r>
        <w:rPr>
          <w:rFonts w:hint="eastAsia" w:asciiTheme="minorEastAsia" w:hAnsiTheme="minorEastAsia" w:eastAsiaTheme="minorEastAsia"/>
          <w:spacing w:val="6"/>
          <w:sz w:val="32"/>
          <w:szCs w:val="32"/>
        </w:rPr>
        <w:t>分，实际得分</w:t>
      </w:r>
      <w:r>
        <w:rPr>
          <w:rFonts w:hint="eastAsia" w:asciiTheme="minorEastAsia" w:hAnsiTheme="minorEastAsia" w:eastAsiaTheme="minorEastAsia"/>
          <w:spacing w:val="6"/>
          <w:sz w:val="32"/>
          <w:szCs w:val="32"/>
          <w:lang w:val="en-US" w:eastAsia="zh-CN"/>
        </w:rPr>
        <w:t>10</w:t>
      </w:r>
      <w:r>
        <w:rPr>
          <w:rFonts w:hint="eastAsia" w:asciiTheme="minorEastAsia" w:hAnsiTheme="minorEastAsia" w:eastAsiaTheme="minorEastAsia"/>
          <w:spacing w:val="6"/>
          <w:sz w:val="32"/>
          <w:szCs w:val="32"/>
        </w:rPr>
        <w:t>分</w:t>
      </w:r>
      <w:r>
        <w:rPr>
          <w:rFonts w:hint="eastAsia" w:ascii="仿宋_GB2312" w:hAnsi="黑体" w:eastAsia="仿宋_GB2312"/>
          <w:spacing w:val="6"/>
          <w:sz w:val="32"/>
          <w:szCs w:val="32"/>
        </w:rPr>
        <w:t>。</w:t>
      </w:r>
    </w:p>
    <w:p>
      <w:pPr>
        <w:spacing w:line="500" w:lineRule="exact"/>
        <w:ind w:firstLine="664" w:firstLineChars="200"/>
        <w:rPr>
          <w:rFonts w:hint="eastAsia" w:ascii="仿宋_GB2312" w:hAnsi="黑体" w:eastAsia="仿宋_GB2312"/>
          <w:spacing w:val="6"/>
          <w:sz w:val="32"/>
          <w:szCs w:val="32"/>
        </w:rPr>
      </w:pPr>
    </w:p>
    <w:p>
      <w:pPr>
        <w:spacing w:line="500" w:lineRule="exact"/>
        <w:ind w:firstLine="640"/>
        <w:rPr>
          <w:rStyle w:val="22"/>
          <w:rFonts w:ascii="黑体" w:hAnsi="黑体" w:eastAsia="黑体"/>
          <w:spacing w:val="-4"/>
          <w:sz w:val="32"/>
          <w:szCs w:val="32"/>
        </w:rPr>
      </w:pPr>
      <w:r>
        <w:rPr>
          <w:rStyle w:val="22"/>
          <w:rFonts w:hint="eastAsia" w:ascii="黑体" w:hAnsi="黑体" w:eastAsia="黑体"/>
          <w:b w:val="0"/>
          <w:spacing w:val="-4"/>
          <w:sz w:val="32"/>
          <w:szCs w:val="32"/>
        </w:rPr>
        <w:t>五、</w:t>
      </w:r>
      <w:r>
        <w:rPr>
          <w:rStyle w:val="22"/>
          <w:rFonts w:ascii="黑体" w:hAnsi="黑体" w:eastAsia="黑体"/>
          <w:b w:val="0"/>
          <w:spacing w:val="-4"/>
          <w:sz w:val="32"/>
          <w:szCs w:val="32"/>
        </w:rPr>
        <w:t>主要经验及做法、存在的问题及原因分析</w:t>
      </w:r>
    </w:p>
    <w:p>
      <w:pPr>
        <w:spacing w:line="500" w:lineRule="exact"/>
        <w:ind w:firstLine="664" w:firstLineChars="200"/>
        <w:rPr>
          <w:rFonts w:hint="eastAsia"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存在的问题：本年度预算项目执行进度缓慢且较为集中，导致单位整体财政拨款资金执行进度拖沓，绩效评估较为困难。</w:t>
      </w:r>
    </w:p>
    <w:p>
      <w:pPr>
        <w:spacing w:line="500" w:lineRule="exact"/>
        <w:ind w:firstLine="664" w:firstLineChars="200"/>
        <w:rPr>
          <w:rFonts w:hint="eastAsia"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原因：信息中心项目多为政府采购公开招标项目，且需要和多个组织部门、机构进行多次沟通、协商确定最优方案，所以项目执行进度较为缓慢；又因招标时间确定的较为集中，所以项目进度也都并列推进，从而造成整体进度较慢。</w:t>
      </w:r>
    </w:p>
    <w:p>
      <w:pPr>
        <w:spacing w:line="500" w:lineRule="exact"/>
        <w:ind w:firstLine="664" w:firstLineChars="200"/>
        <w:rPr>
          <w:rFonts w:hint="eastAsia" w:asciiTheme="minorEastAsia" w:hAnsiTheme="minorEastAsia" w:eastAsiaTheme="minorEastAsia"/>
          <w:spacing w:val="6"/>
          <w:sz w:val="32"/>
          <w:szCs w:val="32"/>
          <w:lang w:eastAsia="zh-CN"/>
        </w:rPr>
      </w:pPr>
      <w:r>
        <w:rPr>
          <w:rFonts w:hint="eastAsia" w:asciiTheme="minorEastAsia" w:hAnsiTheme="minorEastAsia" w:eastAsiaTheme="minorEastAsia"/>
          <w:spacing w:val="6"/>
          <w:sz w:val="32"/>
          <w:szCs w:val="32"/>
        </w:rPr>
        <w:t>改进措施：</w:t>
      </w:r>
      <w:r>
        <w:rPr>
          <w:rFonts w:hint="eastAsia" w:asciiTheme="minorEastAsia" w:hAnsiTheme="minorEastAsia" w:eastAsiaTheme="minorEastAsia"/>
          <w:spacing w:val="6"/>
          <w:sz w:val="32"/>
          <w:szCs w:val="32"/>
          <w:lang w:eastAsia="zh-CN"/>
        </w:rPr>
        <w:t>财务人员要积极和领导、业务人员多沟通，合理安排各项目公开招标采购时间，做预算时合理设置项目绩效目标和指标，这样有目标的积极推动各个项目的执行，从而改善预算执行进度缓慢且集中的问题。</w:t>
      </w:r>
    </w:p>
    <w:p>
      <w:pPr>
        <w:spacing w:line="500" w:lineRule="exact"/>
        <w:ind w:firstLine="640" w:firstLineChars="200"/>
        <w:rPr>
          <w:rFonts w:hint="eastAsia" w:cs="仿宋" w:asciiTheme="minorEastAsia" w:hAnsiTheme="minorEastAsia" w:eastAsiaTheme="minorEastAsia"/>
          <w:sz w:val="32"/>
          <w:szCs w:val="32"/>
        </w:rPr>
      </w:pPr>
    </w:p>
    <w:p>
      <w:pPr>
        <w:spacing w:line="500" w:lineRule="exact"/>
        <w:ind w:firstLine="624" w:firstLineChars="200"/>
        <w:rPr>
          <w:rStyle w:val="22"/>
          <w:rFonts w:ascii="黑体" w:hAnsi="黑体" w:eastAsia="黑体"/>
          <w:b w:val="0"/>
          <w:spacing w:val="-4"/>
          <w:sz w:val="32"/>
          <w:szCs w:val="32"/>
        </w:rPr>
      </w:pPr>
      <w:r>
        <w:rPr>
          <w:rStyle w:val="22"/>
          <w:rFonts w:hint="eastAsia" w:ascii="黑体" w:hAnsi="黑体" w:eastAsia="黑体"/>
          <w:b w:val="0"/>
          <w:spacing w:val="-4"/>
          <w:sz w:val="32"/>
          <w:szCs w:val="32"/>
        </w:rPr>
        <w:t>六</w:t>
      </w:r>
      <w:r>
        <w:rPr>
          <w:rStyle w:val="22"/>
          <w:rFonts w:ascii="黑体" w:hAnsi="黑体" w:eastAsia="黑体"/>
          <w:b w:val="0"/>
          <w:spacing w:val="-4"/>
          <w:sz w:val="32"/>
          <w:szCs w:val="32"/>
        </w:rPr>
        <w:t>、有关建议</w:t>
      </w:r>
    </w:p>
    <w:p>
      <w:pPr>
        <w:spacing w:line="500" w:lineRule="exact"/>
        <w:ind w:firstLine="627" w:firstLineChars="200"/>
        <w:rPr>
          <w:rStyle w:val="22"/>
          <w:rFonts w:ascii="楷体" w:hAnsi="楷体" w:eastAsia="楷体"/>
          <w:spacing w:val="-4"/>
          <w:sz w:val="32"/>
          <w:szCs w:val="32"/>
        </w:rPr>
      </w:pPr>
      <w:r>
        <w:rPr>
          <w:rStyle w:val="22"/>
          <w:rFonts w:hint="eastAsia" w:ascii="楷体" w:hAnsi="楷体" w:eastAsia="楷体"/>
          <w:spacing w:val="-4"/>
          <w:sz w:val="32"/>
          <w:szCs w:val="32"/>
        </w:rPr>
        <w:t>无</w:t>
      </w:r>
    </w:p>
    <w:p>
      <w:pPr>
        <w:spacing w:line="500" w:lineRule="exact"/>
        <w:ind w:firstLine="567"/>
        <w:rPr>
          <w:rStyle w:val="22"/>
          <w:rFonts w:ascii="黑体" w:hAnsi="黑体" w:eastAsia="黑体"/>
          <w:b w:val="0"/>
          <w:spacing w:val="-4"/>
          <w:sz w:val="32"/>
          <w:szCs w:val="32"/>
        </w:rPr>
      </w:pPr>
      <w:r>
        <w:rPr>
          <w:rStyle w:val="22"/>
          <w:rFonts w:hint="eastAsia" w:ascii="黑体" w:hAnsi="黑体" w:eastAsia="黑体"/>
          <w:b w:val="0"/>
          <w:spacing w:val="-4"/>
          <w:sz w:val="32"/>
          <w:szCs w:val="32"/>
        </w:rPr>
        <w:t>七、其他需要说明的问题</w:t>
      </w:r>
    </w:p>
    <w:p>
      <w:pPr>
        <w:spacing w:line="500" w:lineRule="exact"/>
        <w:ind w:firstLine="627" w:firstLineChars="200"/>
        <w:rPr>
          <w:rStyle w:val="22"/>
          <w:rFonts w:ascii="楷体" w:hAnsi="楷体" w:eastAsia="楷体"/>
          <w:spacing w:val="-4"/>
          <w:sz w:val="32"/>
          <w:szCs w:val="32"/>
        </w:rPr>
      </w:pPr>
      <w:r>
        <w:rPr>
          <w:rStyle w:val="22"/>
          <w:rFonts w:hint="eastAsia" w:ascii="楷体" w:hAnsi="楷体" w:eastAsia="楷体"/>
          <w:spacing w:val="-4"/>
          <w:sz w:val="32"/>
          <w:szCs w:val="32"/>
        </w:rPr>
        <w:t>无</w:t>
      </w:r>
    </w:p>
    <w:p>
      <w:pPr>
        <w:spacing w:line="540" w:lineRule="exact"/>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p>
      <w:pPr>
        <w:spacing w:line="540" w:lineRule="exact"/>
        <w:ind w:firstLine="567"/>
        <w:rPr>
          <w:rStyle w:val="22"/>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E00002FF" w:usb1="400004FF" w:usb2="00000000" w:usb3="00000000" w:csb0="2000019F"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5"/>
          <w:jc w:val="center"/>
        </w:pPr>
        <w:r>
          <w:fldChar w:fldCharType="begin"/>
        </w:r>
        <w:r>
          <w:instrText xml:space="preserve">PAGE   \* MERGEFORMAT</w:instrText>
        </w:r>
        <w:r>
          <w:fldChar w:fldCharType="separate"/>
        </w:r>
        <w:r>
          <w:rPr>
            <w:lang w:val="zh-CN"/>
          </w:rPr>
          <w:t>13</w:t>
        </w:r>
        <w:r>
          <w:fldChar w:fldCharType="end"/>
        </w:r>
      </w:p>
    </w:sdtContent>
  </w:sdt>
  <w:p>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E07A91"/>
    <w:multiLevelType w:val="singleLevel"/>
    <w:tmpl w:val="A0E07A91"/>
    <w:lvl w:ilvl="0" w:tentative="0">
      <w:start w:val="1"/>
      <w:numFmt w:val="decimal"/>
      <w:lvlText w:val="%1."/>
      <w:lvlJc w:val="left"/>
      <w:pPr>
        <w:tabs>
          <w:tab w:val="left" w:pos="312"/>
        </w:tabs>
      </w:pPr>
    </w:lvl>
  </w:abstractNum>
  <w:abstractNum w:abstractNumId="1">
    <w:nsid w:val="B3537677"/>
    <w:multiLevelType w:val="singleLevel"/>
    <w:tmpl w:val="B3537677"/>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oNotDisplayPageBoundarie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c2MmNlMjdlMDE0YzhiODRjOTE3NmRkNjliMzA4Y2YifQ=="/>
  </w:docVars>
  <w:rsids>
    <w:rsidRoot w:val="00CA6457"/>
    <w:rsid w:val="000013BB"/>
    <w:rsid w:val="000110C4"/>
    <w:rsid w:val="00037D50"/>
    <w:rsid w:val="0005416C"/>
    <w:rsid w:val="00056465"/>
    <w:rsid w:val="001028C5"/>
    <w:rsid w:val="00102DFF"/>
    <w:rsid w:val="00121AE4"/>
    <w:rsid w:val="0014601B"/>
    <w:rsid w:val="00146AAD"/>
    <w:rsid w:val="0015034E"/>
    <w:rsid w:val="00150F05"/>
    <w:rsid w:val="001B3A40"/>
    <w:rsid w:val="00246DB9"/>
    <w:rsid w:val="00273CCD"/>
    <w:rsid w:val="00291BC0"/>
    <w:rsid w:val="00304BAF"/>
    <w:rsid w:val="00311DBE"/>
    <w:rsid w:val="00345DD7"/>
    <w:rsid w:val="00351EFF"/>
    <w:rsid w:val="003539C8"/>
    <w:rsid w:val="003B0577"/>
    <w:rsid w:val="003E7E58"/>
    <w:rsid w:val="003F5180"/>
    <w:rsid w:val="00414C3A"/>
    <w:rsid w:val="004366A8"/>
    <w:rsid w:val="00497C19"/>
    <w:rsid w:val="004A05EE"/>
    <w:rsid w:val="004C38BC"/>
    <w:rsid w:val="004F1F3C"/>
    <w:rsid w:val="00502BA7"/>
    <w:rsid w:val="005162F1"/>
    <w:rsid w:val="00520759"/>
    <w:rsid w:val="00535153"/>
    <w:rsid w:val="00554F82"/>
    <w:rsid w:val="0056390D"/>
    <w:rsid w:val="005708F0"/>
    <w:rsid w:val="005719B0"/>
    <w:rsid w:val="00587566"/>
    <w:rsid w:val="005A4F2E"/>
    <w:rsid w:val="005A5018"/>
    <w:rsid w:val="005B16B8"/>
    <w:rsid w:val="005C51DF"/>
    <w:rsid w:val="005D10D6"/>
    <w:rsid w:val="005E7C5E"/>
    <w:rsid w:val="005F5944"/>
    <w:rsid w:val="0075584F"/>
    <w:rsid w:val="007C3130"/>
    <w:rsid w:val="007F79BB"/>
    <w:rsid w:val="00800353"/>
    <w:rsid w:val="00855E3A"/>
    <w:rsid w:val="008D4D6E"/>
    <w:rsid w:val="0091457F"/>
    <w:rsid w:val="00922CB9"/>
    <w:rsid w:val="00925D36"/>
    <w:rsid w:val="00944DD1"/>
    <w:rsid w:val="009E5CD9"/>
    <w:rsid w:val="009F4373"/>
    <w:rsid w:val="00A26421"/>
    <w:rsid w:val="00A34588"/>
    <w:rsid w:val="00A413B8"/>
    <w:rsid w:val="00A4293B"/>
    <w:rsid w:val="00A6320B"/>
    <w:rsid w:val="00A67D50"/>
    <w:rsid w:val="00A8691A"/>
    <w:rsid w:val="00A972DF"/>
    <w:rsid w:val="00AC1946"/>
    <w:rsid w:val="00AC3A96"/>
    <w:rsid w:val="00AD5E52"/>
    <w:rsid w:val="00AF683C"/>
    <w:rsid w:val="00B2343E"/>
    <w:rsid w:val="00B31668"/>
    <w:rsid w:val="00B40063"/>
    <w:rsid w:val="00B41F61"/>
    <w:rsid w:val="00B74D04"/>
    <w:rsid w:val="00B85920"/>
    <w:rsid w:val="00BA46E6"/>
    <w:rsid w:val="00BB5015"/>
    <w:rsid w:val="00BF6A52"/>
    <w:rsid w:val="00C1189C"/>
    <w:rsid w:val="00C56C72"/>
    <w:rsid w:val="00C62CB9"/>
    <w:rsid w:val="00CA6457"/>
    <w:rsid w:val="00CA6DC2"/>
    <w:rsid w:val="00CD37A4"/>
    <w:rsid w:val="00CE2FD9"/>
    <w:rsid w:val="00D17F2E"/>
    <w:rsid w:val="00D30354"/>
    <w:rsid w:val="00D33B92"/>
    <w:rsid w:val="00D52B7C"/>
    <w:rsid w:val="00D80C1E"/>
    <w:rsid w:val="00DB1661"/>
    <w:rsid w:val="00DC0166"/>
    <w:rsid w:val="00DF42A0"/>
    <w:rsid w:val="00E30E91"/>
    <w:rsid w:val="00E36D1C"/>
    <w:rsid w:val="00E769FE"/>
    <w:rsid w:val="00E774CE"/>
    <w:rsid w:val="00E96D03"/>
    <w:rsid w:val="00EA2CBE"/>
    <w:rsid w:val="00EB10A0"/>
    <w:rsid w:val="00EF2D5B"/>
    <w:rsid w:val="00F32FEE"/>
    <w:rsid w:val="00F55140"/>
    <w:rsid w:val="00FB10BB"/>
    <w:rsid w:val="06650988"/>
    <w:rsid w:val="0A067511"/>
    <w:rsid w:val="0CB44F22"/>
    <w:rsid w:val="362C39CF"/>
    <w:rsid w:val="391D3572"/>
    <w:rsid w:val="41ED0BBA"/>
    <w:rsid w:val="47AC1F5D"/>
    <w:rsid w:val="4A6362F8"/>
    <w:rsid w:val="4D2606A1"/>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5"/>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6"/>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7"/>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9"/>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0"/>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1"/>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2"/>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0" w:firstLineChars="200"/>
    </w:pPr>
    <w:rPr>
      <w:rFonts w:ascii="Calibri" w:hAnsi="Calibri"/>
    </w:rPr>
  </w:style>
  <w:style w:type="paragraph" w:styleId="12">
    <w:name w:val="Body Text"/>
    <w:basedOn w:val="1"/>
    <w:link w:val="51"/>
    <w:qFormat/>
    <w:uiPriority w:val="0"/>
    <w:pPr>
      <w:spacing w:line="360" w:lineRule="auto"/>
      <w:jc w:val="center"/>
    </w:pPr>
    <w:rPr>
      <w:rFonts w:ascii="Calibri" w:hAnsi="Calibri" w:cs="宋体"/>
      <w:b/>
      <w:sz w:val="44"/>
      <w:szCs w:val="22"/>
    </w:rPr>
  </w:style>
  <w:style w:type="paragraph" w:styleId="13">
    <w:name w:val="Plain Text"/>
    <w:basedOn w:val="1"/>
    <w:link w:val="50"/>
    <w:qFormat/>
    <w:uiPriority w:val="0"/>
    <w:rPr>
      <w:rFonts w:ascii="宋体" w:hAnsi="Courier New"/>
    </w:rPr>
  </w:style>
  <w:style w:type="paragraph" w:styleId="14">
    <w:name w:val="Balloon Text"/>
    <w:basedOn w:val="1"/>
    <w:link w:val="49"/>
    <w:semiHidden/>
    <w:unhideWhenUsed/>
    <w:qFormat/>
    <w:uiPriority w:val="99"/>
    <w:rPr>
      <w:sz w:val="18"/>
      <w:szCs w:val="18"/>
    </w:rPr>
  </w:style>
  <w:style w:type="paragraph" w:styleId="15">
    <w:name w:val="footer"/>
    <w:basedOn w:val="1"/>
    <w:link w:val="48"/>
    <w:unhideWhenUsed/>
    <w:qFormat/>
    <w:uiPriority w:val="99"/>
    <w:pPr>
      <w:tabs>
        <w:tab w:val="center" w:pos="4153"/>
        <w:tab w:val="right" w:pos="8306"/>
      </w:tabs>
      <w:snapToGrid w:val="0"/>
      <w:jc w:val="left"/>
    </w:pPr>
    <w:rPr>
      <w:rFonts w:ascii="Calibri" w:hAnsi="Calibri"/>
      <w:sz w:val="18"/>
      <w:szCs w:val="18"/>
    </w:rPr>
  </w:style>
  <w:style w:type="paragraph" w:styleId="16">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8">
    <w:name w:val="Normal (Web)"/>
    <w:basedOn w:val="1"/>
    <w:qFormat/>
    <w:uiPriority w:val="99"/>
    <w:pPr>
      <w:spacing w:before="100" w:beforeAutospacing="1" w:after="100" w:afterAutospacing="1"/>
      <w:jc w:val="left"/>
    </w:pPr>
    <w:rPr>
      <w:rFonts w:ascii="Calibri" w:hAnsi="Calibri"/>
      <w:sz w:val="24"/>
    </w:rPr>
  </w:style>
  <w:style w:type="paragraph" w:styleId="19">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4">
    <w:name w:val="标题 1 Char"/>
    <w:basedOn w:val="21"/>
    <w:link w:val="2"/>
    <w:qFormat/>
    <w:uiPriority w:val="9"/>
    <w:rPr>
      <w:rFonts w:asciiTheme="majorHAnsi" w:hAnsiTheme="majorHAnsi" w:eastAsiaTheme="majorEastAsia"/>
      <w:b/>
      <w:bCs/>
      <w:kern w:val="32"/>
      <w:sz w:val="32"/>
      <w:szCs w:val="32"/>
    </w:rPr>
  </w:style>
  <w:style w:type="character" w:customStyle="1" w:styleId="25">
    <w:name w:val="标题 2 Char"/>
    <w:basedOn w:val="21"/>
    <w:link w:val="3"/>
    <w:semiHidden/>
    <w:qFormat/>
    <w:uiPriority w:val="9"/>
    <w:rPr>
      <w:rFonts w:asciiTheme="majorHAnsi" w:hAnsiTheme="majorHAnsi" w:eastAsiaTheme="majorEastAsia"/>
      <w:b/>
      <w:bCs/>
      <w:i/>
      <w:iCs/>
      <w:sz w:val="28"/>
      <w:szCs w:val="28"/>
    </w:rPr>
  </w:style>
  <w:style w:type="character" w:customStyle="1" w:styleId="26">
    <w:name w:val="标题 3 Char"/>
    <w:basedOn w:val="21"/>
    <w:link w:val="4"/>
    <w:semiHidden/>
    <w:qFormat/>
    <w:uiPriority w:val="9"/>
    <w:rPr>
      <w:rFonts w:asciiTheme="majorHAnsi" w:hAnsiTheme="majorHAnsi" w:eastAsiaTheme="majorEastAsia"/>
      <w:b/>
      <w:bCs/>
      <w:sz w:val="26"/>
      <w:szCs w:val="26"/>
    </w:rPr>
  </w:style>
  <w:style w:type="character" w:customStyle="1" w:styleId="27">
    <w:name w:val="标题 4 Char"/>
    <w:basedOn w:val="21"/>
    <w:link w:val="5"/>
    <w:qFormat/>
    <w:uiPriority w:val="9"/>
    <w:rPr>
      <w:b/>
      <w:bCs/>
      <w:sz w:val="28"/>
      <w:szCs w:val="28"/>
    </w:rPr>
  </w:style>
  <w:style w:type="character" w:customStyle="1" w:styleId="28">
    <w:name w:val="标题 5 Char"/>
    <w:basedOn w:val="21"/>
    <w:link w:val="6"/>
    <w:semiHidden/>
    <w:qFormat/>
    <w:uiPriority w:val="9"/>
    <w:rPr>
      <w:b/>
      <w:bCs/>
      <w:i/>
      <w:iCs/>
      <w:sz w:val="26"/>
      <w:szCs w:val="26"/>
    </w:rPr>
  </w:style>
  <w:style w:type="character" w:customStyle="1" w:styleId="29">
    <w:name w:val="标题 6 Char"/>
    <w:basedOn w:val="21"/>
    <w:link w:val="7"/>
    <w:semiHidden/>
    <w:qFormat/>
    <w:uiPriority w:val="9"/>
    <w:rPr>
      <w:b/>
      <w:bCs/>
    </w:rPr>
  </w:style>
  <w:style w:type="character" w:customStyle="1" w:styleId="30">
    <w:name w:val="标题 7 Char"/>
    <w:basedOn w:val="21"/>
    <w:link w:val="8"/>
    <w:semiHidden/>
    <w:qFormat/>
    <w:uiPriority w:val="9"/>
    <w:rPr>
      <w:sz w:val="24"/>
      <w:szCs w:val="24"/>
    </w:rPr>
  </w:style>
  <w:style w:type="character" w:customStyle="1" w:styleId="31">
    <w:name w:val="标题 8 Char"/>
    <w:basedOn w:val="21"/>
    <w:link w:val="9"/>
    <w:semiHidden/>
    <w:qFormat/>
    <w:uiPriority w:val="9"/>
    <w:rPr>
      <w:i/>
      <w:iCs/>
      <w:sz w:val="24"/>
      <w:szCs w:val="24"/>
    </w:rPr>
  </w:style>
  <w:style w:type="character" w:customStyle="1" w:styleId="32">
    <w:name w:val="标题 9 Char"/>
    <w:basedOn w:val="21"/>
    <w:link w:val="10"/>
    <w:semiHidden/>
    <w:qFormat/>
    <w:uiPriority w:val="9"/>
    <w:rPr>
      <w:rFonts w:asciiTheme="majorHAnsi" w:hAnsiTheme="majorHAnsi" w:eastAsiaTheme="majorEastAsia"/>
    </w:rPr>
  </w:style>
  <w:style w:type="character" w:customStyle="1" w:styleId="33">
    <w:name w:val="标题 Char"/>
    <w:basedOn w:val="21"/>
    <w:link w:val="19"/>
    <w:qFormat/>
    <w:uiPriority w:val="10"/>
    <w:rPr>
      <w:rFonts w:asciiTheme="majorHAnsi" w:hAnsiTheme="majorHAnsi" w:eastAsiaTheme="majorEastAsia"/>
      <w:b/>
      <w:bCs/>
      <w:kern w:val="28"/>
      <w:sz w:val="32"/>
      <w:szCs w:val="32"/>
    </w:rPr>
  </w:style>
  <w:style w:type="character" w:customStyle="1" w:styleId="34">
    <w:name w:val="副标题 Char"/>
    <w:basedOn w:val="21"/>
    <w:link w:val="17"/>
    <w:qFormat/>
    <w:uiPriority w:val="11"/>
    <w:rPr>
      <w:rFonts w:asciiTheme="majorHAnsi" w:hAnsiTheme="majorHAnsi" w:eastAsiaTheme="majorEastAsia"/>
      <w:sz w:val="24"/>
      <w:szCs w:val="24"/>
    </w:rPr>
  </w:style>
  <w:style w:type="paragraph"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Char"/>
    <w:basedOn w:val="21"/>
    <w:link w:val="37"/>
    <w:qFormat/>
    <w:uiPriority w:val="29"/>
    <w:rPr>
      <w:i/>
      <w:sz w:val="24"/>
      <w:szCs w:val="24"/>
    </w:rPr>
  </w:style>
  <w:style w:type="paragraph"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Char"/>
    <w:basedOn w:val="21"/>
    <w:link w:val="39"/>
    <w:qFormat/>
    <w:uiPriority w:val="30"/>
    <w:rPr>
      <w:b/>
      <w:i/>
      <w:sz w:val="24"/>
    </w:rPr>
  </w:style>
  <w:style w:type="character" w:customStyle="1" w:styleId="41">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42">
    <w:name w:val="明显强调1"/>
    <w:basedOn w:val="21"/>
    <w:qFormat/>
    <w:uiPriority w:val="21"/>
    <w:rPr>
      <w:b/>
      <w:i/>
      <w:sz w:val="24"/>
      <w:szCs w:val="24"/>
      <w:u w:val="single"/>
    </w:rPr>
  </w:style>
  <w:style w:type="character" w:customStyle="1" w:styleId="43">
    <w:name w:val="不明显参考1"/>
    <w:basedOn w:val="21"/>
    <w:qFormat/>
    <w:uiPriority w:val="31"/>
    <w:rPr>
      <w:sz w:val="24"/>
      <w:szCs w:val="24"/>
      <w:u w:val="single"/>
    </w:rPr>
  </w:style>
  <w:style w:type="character" w:customStyle="1" w:styleId="44">
    <w:name w:val="明显参考1"/>
    <w:basedOn w:val="21"/>
    <w:qFormat/>
    <w:uiPriority w:val="32"/>
    <w:rPr>
      <w:b/>
      <w:sz w:val="24"/>
      <w:u w:val="single"/>
    </w:rPr>
  </w:style>
  <w:style w:type="character" w:customStyle="1" w:styleId="45">
    <w:name w:val="书籍标题1"/>
    <w:basedOn w:val="21"/>
    <w:qFormat/>
    <w:uiPriority w:val="33"/>
    <w:rPr>
      <w:rFonts w:asciiTheme="majorHAnsi" w:hAnsiTheme="majorHAnsi" w:eastAsiaTheme="majorEastAsia"/>
      <w:b/>
      <w:i/>
      <w:sz w:val="24"/>
      <w:szCs w:val="24"/>
    </w:rPr>
  </w:style>
  <w:style w:type="paragraph" w:customStyle="1" w:styleId="46">
    <w:name w:val="TOC 标题1"/>
    <w:basedOn w:val="2"/>
    <w:next w:val="1"/>
    <w:semiHidden/>
    <w:unhideWhenUsed/>
    <w:qFormat/>
    <w:uiPriority w:val="39"/>
    <w:pPr>
      <w:outlineLvl w:val="9"/>
    </w:pPr>
    <w:rPr>
      <w:lang w:eastAsia="en-US" w:bidi="en-US"/>
    </w:rPr>
  </w:style>
  <w:style w:type="character" w:customStyle="1" w:styleId="47">
    <w:name w:val="页眉 Char"/>
    <w:basedOn w:val="21"/>
    <w:link w:val="16"/>
    <w:qFormat/>
    <w:uiPriority w:val="99"/>
    <w:rPr>
      <w:rFonts w:ascii="Calibri" w:hAnsi="Calibri" w:eastAsia="宋体"/>
      <w:kern w:val="2"/>
      <w:sz w:val="18"/>
      <w:szCs w:val="18"/>
    </w:rPr>
  </w:style>
  <w:style w:type="character" w:customStyle="1" w:styleId="48">
    <w:name w:val="页脚 Char"/>
    <w:basedOn w:val="21"/>
    <w:link w:val="15"/>
    <w:qFormat/>
    <w:uiPriority w:val="99"/>
    <w:rPr>
      <w:rFonts w:ascii="Calibri" w:hAnsi="Calibri" w:eastAsia="宋体"/>
      <w:kern w:val="2"/>
      <w:sz w:val="18"/>
      <w:szCs w:val="18"/>
    </w:rPr>
  </w:style>
  <w:style w:type="character" w:customStyle="1" w:styleId="49">
    <w:name w:val="批注框文本 Char"/>
    <w:basedOn w:val="21"/>
    <w:link w:val="14"/>
    <w:semiHidden/>
    <w:qFormat/>
    <w:uiPriority w:val="99"/>
    <w:rPr>
      <w:rFonts w:ascii="Times New Roman" w:hAnsi="Times New Roman" w:eastAsia="宋体"/>
      <w:kern w:val="2"/>
      <w:sz w:val="18"/>
      <w:szCs w:val="18"/>
    </w:rPr>
  </w:style>
  <w:style w:type="character" w:customStyle="1" w:styleId="50">
    <w:name w:val="纯文本 Char"/>
    <w:basedOn w:val="21"/>
    <w:link w:val="13"/>
    <w:qFormat/>
    <w:uiPriority w:val="0"/>
    <w:rPr>
      <w:rFonts w:ascii="宋体" w:hAnsi="Courier New" w:eastAsia="宋体"/>
      <w:kern w:val="2"/>
      <w:sz w:val="21"/>
      <w:szCs w:val="24"/>
    </w:rPr>
  </w:style>
  <w:style w:type="character" w:customStyle="1" w:styleId="51">
    <w:name w:val="正文文本 Char"/>
    <w:basedOn w:val="21"/>
    <w:link w:val="12"/>
    <w:qFormat/>
    <w:uiPriority w:val="0"/>
    <w:rPr>
      <w:rFonts w:ascii="Calibri" w:hAnsi="Calibri" w:eastAsia="宋体" w:cs="宋体"/>
      <w:b/>
      <w:kern w:val="2"/>
      <w:sz w:val="44"/>
      <w:szCs w:val="22"/>
    </w:rPr>
  </w:style>
  <w:style w:type="character" w:customStyle="1" w:styleId="52">
    <w:name w:val="NormalCharacter"/>
    <w:uiPriority w:val="0"/>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54A4E-6076-491B-A482-6BD5EB2C17B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5963</Words>
  <Characters>6328</Characters>
  <Lines>44</Lines>
  <Paragraphs>12</Paragraphs>
  <TotalTime>29</TotalTime>
  <ScaleCrop>false</ScaleCrop>
  <LinksUpToDate>false</LinksUpToDate>
  <CharactersWithSpaces>6342</CharactersWithSpaces>
  <Application>WPS Office_11.1.0.12598_F1E327BC-269C-435d-A152-05C5408002CA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2023-12-18T11:56:00Z</dcterms:created>
  <dc:creator>赵 恺（预算处）</dc:creator>
  <cp:lastModifiedBy>Administrator</cp:lastModifiedBy>
  <cp:lastPrinted>2018-12-31T10:56:00Z</cp:lastPrinted>
  <dcterms:modified xsi:type="dcterms:W3CDTF">2024-01-05T09:45:05Z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2052-11.1.0.12598</vt:lpwstr>
  </property>
  <property fmtid="{D5CDD505-2E9C-101B-9397-08002B2CF9AE}" pid="3" name="ICV">
    <vt:lpwstr>C84E3BDC58B442F7BE12AD83EAE242F6_13</vt:lpwstr>
  </property>
</Properties>
</file>