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pPr>
        <w:rPr>
          <w:rFonts w:ascii="黑体" w:hAnsi="黑体" w:eastAsia="黑体"/>
          <w:sz w:val="32"/>
          <w:szCs w:val="32"/>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新疆维吾尔自治区残疾人辅助器具资源中心2022年度部门决算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7"/>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单位概况</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七、财政拨款“三公”经费支出决算情况说明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八、政府性基金预算财政拨款收入支出决算情况说明</w:t>
      </w:r>
      <w:r>
        <w:rPr>
          <w:rFonts w:hint="eastAsia" w:ascii="仿宋_GB2312" w:hAnsi="仿宋_GB2312" w:eastAsia="仿宋_GB2312" w:cs="仿宋_GB2312"/>
          <w:bCs/>
          <w:kern w:val="0"/>
          <w:sz w:val="32"/>
          <w:szCs w:val="32"/>
        </w:rPr>
        <w:fldChar w:fldCharType="end"/>
      </w:r>
    </w:p>
    <w:p>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九、国有资本经营预算财政拨款收入支出决算情况说明</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sz w:val="32"/>
          <w:szCs w:val="32"/>
        </w:rPr>
        <w:t>十</w:t>
      </w:r>
      <w:r>
        <w:rPr>
          <w:rFonts w:hint="eastAsia" w:ascii="仿宋_GB2312" w:hAnsi="仿宋_GB2312" w:eastAsia="仿宋_GB2312" w:cs="仿宋_GB2312"/>
          <w:bCs/>
          <w:kern w:val="0"/>
          <w:sz w:val="32"/>
          <w:szCs w:val="32"/>
        </w:rPr>
        <w:t>、其他重要事项的情况说明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十一、预算绩效的情况说明</w:t>
      </w:r>
      <w:r>
        <w:rPr>
          <w:rFonts w:hint="eastAsia" w:ascii="仿宋_GB2312" w:hAnsi="仿宋_GB2312" w:eastAsia="仿宋_GB2312" w:cs="仿宋_GB2312"/>
          <w:bCs/>
          <w:kern w:val="0"/>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7"/>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七、《财政拨款“三公”经费支出决算表》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pPr>
        <w:pStyle w:val="8"/>
        <w:tabs>
          <w:tab w:val="right" w:pos="8306"/>
        </w:tabs>
        <w:ind w:left="0" w:leftChars="0"/>
        <w:rPr>
          <w:rFonts w:ascii="仿宋_GB2312" w:hAnsi="仿宋_GB2312" w:eastAsia="仿宋_GB2312" w:cs="仿宋_GB2312"/>
          <w:bCs/>
          <w:kern w:val="0"/>
          <w:sz w:val="32"/>
          <w:szCs w:val="32"/>
        </w:rPr>
      </w:pPr>
      <w:r>
        <w:rPr>
          <w:rFonts w:hint="eastAsia" w:ascii="仿宋_GB2312" w:hAnsi="仿宋_GB2312" w:eastAsia="仿宋_GB2312" w:cs="仿宋_GB2312"/>
          <w:bCs/>
          <w:kern w:val="0"/>
          <w:sz w:val="32"/>
          <w:szCs w:val="32"/>
        </w:rPr>
        <w:t>九、《国有资本经营预算财政拨款收入支出决算表》</w:t>
      </w:r>
    </w:p>
    <w:p>
      <w:pPr/>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黑体" w:hAnsi="黑体" w:eastAsia="黑体" w:cs="宋体"/>
          <w:bCs/>
          <w:kern w:val="0"/>
          <w:sz w:val="32"/>
          <w:szCs w:val="32"/>
        </w:rPr>
      </w:pPr>
      <w:bookmarkStart w:id="4" w:name="_Toc31238"/>
      <w:bookmarkStart w:id="5" w:name="_Toc2151"/>
      <w:r>
        <w:rPr>
          <w:rFonts w:ascii="仿宋_GB2312" w:eastAsia="仿宋_GB2312"/>
          <w:sz w:val="32"/>
          <w:szCs w:val="32"/>
        </w:rPr>
        <w:t>　　新疆维吾尔自治区残疾人辅助器具资源中心为新疆维吾尔自治区残疾人联合会所属正处级全额拨款事业单位。新疆维吾尔自治区残疾人辅助器具资源中心主要职能：为全疆残疾人进行辅助器具适配服务1、组织开发、供应和推广残疾人辅助器具，进行辅助技术的应用研究与推广；2、开展残疾人辅助器具的知识宣传、使用指导、技术培训和质量监督；3、对贫困残疾人配置辅助器具实施救助；对各地州市残疾人辅助器具服务机构进行业务指导</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rPr>
          <w:rFonts w:ascii="仿宋_GB2312" w:eastAsia="仿宋_GB2312"/>
          <w:sz w:val="32"/>
          <w:szCs w:val="32"/>
        </w:rPr>
      </w:pPr>
      <w:r>
        <w:rPr>
          <w:rFonts w:hint="eastAsia" w:ascii="仿宋_GB2312" w:eastAsia="仿宋_GB2312"/>
          <w:sz w:val="32"/>
          <w:szCs w:val="32"/>
        </w:rPr>
        <w:t>新疆维吾尔自治区残疾人辅助器具资源中心</w:t>
      </w:r>
      <w:r>
        <w:rPr>
          <w:rFonts w:ascii="仿宋_GB2312" w:eastAsia="仿宋_GB2312"/>
          <w:sz w:val="32"/>
          <w:szCs w:val="32"/>
        </w:rPr>
        <w:t>2022</w:t>
      </w:r>
      <w:r>
        <w:rPr>
          <w:rFonts w:hint="eastAsia" w:ascii="仿宋_GB2312" w:eastAsia="仿宋_GB2312"/>
          <w:sz w:val="32"/>
          <w:szCs w:val="32"/>
        </w:rPr>
        <w:t>年度，实有人数</w:t>
      </w:r>
      <w:r>
        <w:rPr>
          <w:rFonts w:ascii="仿宋_GB2312" w:eastAsia="仿宋_GB2312"/>
          <w:sz w:val="32"/>
          <w:szCs w:val="32"/>
        </w:rPr>
        <w:t>25</w:t>
      </w:r>
      <w:r>
        <w:rPr>
          <w:rFonts w:hint="eastAsia" w:ascii="仿宋_GB2312" w:eastAsia="仿宋_GB2312"/>
          <w:sz w:val="32"/>
          <w:szCs w:val="32"/>
        </w:rPr>
        <w:t>人，其中：在职人员</w:t>
      </w:r>
      <w:r>
        <w:rPr>
          <w:rFonts w:ascii="仿宋_GB2312" w:eastAsia="仿宋_GB2312"/>
          <w:sz w:val="32"/>
          <w:szCs w:val="32"/>
        </w:rPr>
        <w:t>16</w:t>
      </w:r>
      <w:r>
        <w:rPr>
          <w:rFonts w:hint="eastAsia" w:ascii="仿宋_GB2312" w:eastAsia="仿宋_GB2312"/>
          <w:sz w:val="32"/>
          <w:szCs w:val="32"/>
        </w:rPr>
        <w:t>人，离休人员</w:t>
      </w:r>
      <w:r>
        <w:rPr>
          <w:rFonts w:ascii="仿宋_GB2312" w:eastAsia="仿宋_GB2312"/>
          <w:sz w:val="32"/>
          <w:szCs w:val="32"/>
        </w:rPr>
        <w:t>0</w:t>
      </w:r>
      <w:r>
        <w:rPr>
          <w:rFonts w:hint="eastAsia" w:ascii="仿宋_GB2312" w:eastAsia="仿宋_GB2312"/>
          <w:sz w:val="32"/>
          <w:szCs w:val="32"/>
        </w:rPr>
        <w:t>人，退休人员</w:t>
      </w:r>
      <w:r>
        <w:rPr>
          <w:rFonts w:ascii="仿宋_GB2312" w:eastAsia="仿宋_GB2312"/>
          <w:sz w:val="32"/>
          <w:szCs w:val="32"/>
        </w:rPr>
        <w:t>9</w:t>
      </w:r>
      <w:r>
        <w:rPr>
          <w:rFonts w:hint="eastAsia" w:ascii="仿宋_GB2312" w:eastAsia="仿宋_GB2312"/>
          <w:sz w:val="32"/>
          <w:szCs w:val="32"/>
        </w:rPr>
        <w:t>人。</w:t>
      </w:r>
    </w:p>
    <w:p>
      <w:pPr>
        <w:ind w:firstLine="420" w:firstLineChars="200"/>
        <w:rPr>
          <w:rFonts w:ascii="仿宋_GB2312" w:eastAsia="仿宋_GB2312"/>
          <w:sz w:val="32"/>
          <w:szCs w:val="32"/>
        </w:rPr>
      </w:pPr>
      <w:r>
        <w:rPr>
          <w:rFonts w:hint="eastAsia" w:ascii="仿宋_GB2312" w:eastAsia="仿宋_GB2312"/>
          <w:sz w:val="32"/>
          <w:szCs w:val="32"/>
        </w:rPr>
        <w:t>从部门决算单位构成看，新疆维吾尔自治区残疾人辅助器具资源中心部门决算包括：新疆维吾尔自治区残疾人辅助器具资源中心决算。</w:t>
      </w:r>
      <w:r>
        <w:rPr>
          <w:rFonts w:hint="eastAsia" w:ascii="仿宋_GB2312" w:hAnsi="黑体" w:eastAsia="仿宋_GB2312" w:cs="宋体"/>
          <w:bCs/>
          <w:kern w:val="0"/>
          <w:sz w:val="32"/>
          <w:szCs w:val="32"/>
        </w:rPr>
        <w:t>单位无下属预算单位，下设</w:t>
      </w:r>
      <w:r>
        <w:rPr>
          <w:rFonts w:hint="eastAsia" w:ascii="仿宋_GB2312" w:eastAsia="仿宋_GB2312"/>
          <w:sz w:val="32"/>
          <w:szCs w:val="32"/>
        </w:rPr>
        <w:t>5</w:t>
      </w:r>
      <w:r>
        <w:rPr>
          <w:rFonts w:hint="eastAsia" w:ascii="仿宋_GB2312" w:hAnsi="黑体" w:eastAsia="仿宋_GB2312" w:cs="宋体"/>
          <w:bCs/>
          <w:kern w:val="0"/>
          <w:sz w:val="32"/>
          <w:szCs w:val="32"/>
        </w:rPr>
        <w:t>个处室，分别是：办公室、矫形器技术服务部、综合业务部、假肢装配部、听力康复部</w:t>
      </w:r>
      <w:r>
        <w:rPr>
          <w:rFonts w:hint="eastAsia" w:ascii="仿宋_GB2312" w:hAnsi="宋体" w:eastAsia="仿宋_GB2312" w:cs="宋体"/>
          <w:kern w:val="0"/>
          <w:sz w:val="32"/>
          <w:szCs w:val="32"/>
        </w:rPr>
        <w:t>。</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br w:type="page"/>
      </w:r>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年度收入总计595.58万元，其中：本年收入合计</w:t>
      </w:r>
      <w:r>
        <w:rPr>
          <w:rFonts w:ascii="仿宋_GB2312" w:eastAsia="仿宋_GB2312"/>
          <w:sz w:val="32"/>
          <w:szCs w:val="32"/>
        </w:rPr>
        <w:t>520.87</w:t>
      </w:r>
      <w:r>
        <w:rPr>
          <w:rFonts w:hint="eastAsia" w:ascii="仿宋_GB2312" w:eastAsia="仿宋_GB2312"/>
          <w:sz w:val="32"/>
          <w:szCs w:val="32"/>
        </w:rPr>
        <w:t>万元，使用非财政拨款结余0.00万元，年初结转和结余74.71万元。收入总计与上年相比，减少55.38万元，</w:t>
      </w:r>
      <w:r>
        <w:rPr>
          <w:rFonts w:ascii="仿宋_GB2312" w:eastAsia="仿宋_GB2312"/>
          <w:sz w:val="32"/>
          <w:szCs w:val="32"/>
        </w:rPr>
        <w:t>下降8.51</w:t>
      </w:r>
      <w:r>
        <w:rPr>
          <w:rFonts w:hint="eastAsia" w:ascii="仿宋_GB2312" w:eastAsia="仿宋_GB2312"/>
          <w:sz w:val="32"/>
          <w:szCs w:val="32"/>
        </w:rPr>
        <w:t>%，主要原因是：2022年年初残疾人辅助器具适配服务资金结转结余较上年减少，全年总收入下降。</w:t>
      </w:r>
    </w:p>
    <w:p>
      <w:pPr>
        <w:ind w:firstLine="640" w:firstLineChars="200"/>
        <w:rPr>
          <w:rFonts w:ascii="仿宋_GB2312" w:eastAsia="仿宋_GB2312"/>
          <w:sz w:val="32"/>
          <w:szCs w:val="32"/>
        </w:rPr>
      </w:pPr>
      <w:r>
        <w:rPr>
          <w:rFonts w:hint="eastAsia" w:ascii="仿宋_GB2312" w:eastAsia="仿宋_GB2312"/>
          <w:sz w:val="32"/>
          <w:szCs w:val="32"/>
        </w:rPr>
        <w:t>本年支出总计595.58万元，其中：本年支出合计</w:t>
      </w:r>
      <w:r>
        <w:rPr>
          <w:rFonts w:ascii="仿宋_GB2312" w:eastAsia="仿宋_GB2312"/>
          <w:sz w:val="32"/>
          <w:szCs w:val="32"/>
        </w:rPr>
        <w:t>557.57</w:t>
      </w:r>
      <w:r>
        <w:rPr>
          <w:rFonts w:hint="eastAsia" w:ascii="仿宋_GB2312" w:eastAsia="仿宋_GB2312"/>
          <w:sz w:val="32"/>
          <w:szCs w:val="32"/>
        </w:rPr>
        <w:t>万元，结余分配0.00万元，年末结转和结余38.00万元。支出总计与上年相比，</w:t>
      </w:r>
      <w:r>
        <w:rPr>
          <w:rFonts w:ascii="仿宋_GB2312" w:eastAsia="仿宋_GB2312"/>
          <w:sz w:val="32"/>
          <w:szCs w:val="32"/>
        </w:rPr>
        <w:t>减少55.38</w:t>
      </w:r>
      <w:r>
        <w:rPr>
          <w:rFonts w:hint="eastAsia" w:ascii="仿宋_GB2312" w:eastAsia="仿宋_GB2312"/>
          <w:sz w:val="32"/>
          <w:szCs w:val="32"/>
        </w:rPr>
        <w:t>万元，</w:t>
      </w:r>
      <w:r>
        <w:rPr>
          <w:rFonts w:ascii="仿宋_GB2312" w:eastAsia="仿宋_GB2312"/>
          <w:sz w:val="32"/>
          <w:szCs w:val="32"/>
        </w:rPr>
        <w:t>下降8.51</w:t>
      </w:r>
      <w:r>
        <w:rPr>
          <w:rFonts w:hint="eastAsia" w:ascii="仿宋_GB2312" w:eastAsia="仿宋_GB2312"/>
          <w:sz w:val="32"/>
          <w:szCs w:val="32"/>
        </w:rPr>
        <w:t>%，主要原因是：2022年年初残疾人辅助器具适配服务资金结转结余较上年减少，全年总支出下降。</w:t>
      </w:r>
    </w:p>
    <w:p>
      <w:pPr>
        <w:ind w:firstLine="640" w:firstLineChars="200"/>
        <w:outlineLvl w:val="1"/>
        <w:rPr>
          <w:rFonts w:ascii="黑体" w:hAnsi="黑体" w:eastAsia="黑体" w:cs="宋体"/>
          <w:bCs/>
          <w:kern w:val="0"/>
          <w:sz w:val="32"/>
          <w:szCs w:val="32"/>
        </w:rPr>
      </w:pPr>
      <w:bookmarkStart w:id="10" w:name="_Toc12142"/>
      <w:bookmarkStart w:id="11" w:name="_Toc1979"/>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年度本年收入</w:t>
      </w:r>
      <w:r>
        <w:rPr>
          <w:rFonts w:ascii="仿宋_GB2312" w:eastAsia="仿宋_GB2312"/>
          <w:sz w:val="32"/>
          <w:szCs w:val="32"/>
        </w:rPr>
        <w:t>520.87</w:t>
      </w:r>
      <w:r>
        <w:rPr>
          <w:rFonts w:hint="eastAsia" w:ascii="仿宋_GB2312" w:eastAsia="仿宋_GB2312"/>
          <w:sz w:val="32"/>
          <w:szCs w:val="32"/>
        </w:rPr>
        <w:t>万元，其中：财政拨款收入</w:t>
      </w:r>
      <w:r>
        <w:rPr>
          <w:rFonts w:ascii="仿宋_GB2312" w:eastAsia="仿宋_GB2312"/>
          <w:sz w:val="32"/>
          <w:szCs w:val="32"/>
        </w:rPr>
        <w:t>490.70</w:t>
      </w:r>
      <w:r>
        <w:rPr>
          <w:rFonts w:hint="eastAsia" w:ascii="仿宋_GB2312" w:eastAsia="仿宋_GB2312"/>
          <w:sz w:val="32"/>
          <w:szCs w:val="32"/>
        </w:rPr>
        <w:t>万元，占94.21%；上级补助收入</w:t>
      </w:r>
      <w:r>
        <w:rPr>
          <w:rFonts w:ascii="仿宋_GB2312" w:eastAsia="仿宋_GB2312"/>
          <w:sz w:val="32"/>
          <w:szCs w:val="32"/>
        </w:rPr>
        <w:t>0.00</w:t>
      </w:r>
      <w:r>
        <w:rPr>
          <w:rFonts w:hint="eastAsia" w:ascii="仿宋_GB2312" w:eastAsia="仿宋_GB2312"/>
          <w:sz w:val="32"/>
          <w:szCs w:val="32"/>
        </w:rPr>
        <w:t>万元，占0.00%；事业收入</w:t>
      </w:r>
      <w:r>
        <w:rPr>
          <w:rFonts w:ascii="仿宋_GB2312" w:eastAsia="仿宋_GB2312"/>
          <w:sz w:val="32"/>
          <w:szCs w:val="32"/>
        </w:rPr>
        <w:t>0.00</w:t>
      </w:r>
      <w:r>
        <w:rPr>
          <w:rFonts w:hint="eastAsia" w:ascii="仿宋_GB2312" w:eastAsia="仿宋_GB2312"/>
          <w:sz w:val="32"/>
          <w:szCs w:val="32"/>
        </w:rPr>
        <w:t>万元，占0.00%；经营收入</w:t>
      </w:r>
      <w:r>
        <w:rPr>
          <w:rFonts w:ascii="仿宋_GB2312" w:eastAsia="仿宋_GB2312"/>
          <w:sz w:val="32"/>
          <w:szCs w:val="32"/>
        </w:rPr>
        <w:t>0.00</w:t>
      </w:r>
      <w:r>
        <w:rPr>
          <w:rFonts w:hint="eastAsia" w:ascii="仿宋_GB2312" w:eastAsia="仿宋_GB2312"/>
          <w:sz w:val="32"/>
          <w:szCs w:val="32"/>
        </w:rPr>
        <w:t>万元，占0.00%；附属单位上缴收入</w:t>
      </w:r>
      <w:r>
        <w:rPr>
          <w:rFonts w:ascii="仿宋_GB2312" w:eastAsia="仿宋_GB2312"/>
          <w:sz w:val="32"/>
          <w:szCs w:val="32"/>
        </w:rPr>
        <w:t>0.00</w:t>
      </w:r>
      <w:r>
        <w:rPr>
          <w:rFonts w:hint="eastAsia" w:ascii="仿宋_GB2312" w:eastAsia="仿宋_GB2312"/>
          <w:sz w:val="32"/>
          <w:szCs w:val="32"/>
        </w:rPr>
        <w:t>万元，占0.00%；其他收入</w:t>
      </w:r>
      <w:r>
        <w:rPr>
          <w:rFonts w:ascii="仿宋_GB2312" w:eastAsia="仿宋_GB2312"/>
          <w:sz w:val="32"/>
          <w:szCs w:val="32"/>
        </w:rPr>
        <w:t>30.16</w:t>
      </w:r>
      <w:r>
        <w:rPr>
          <w:rFonts w:hint="eastAsia" w:ascii="仿宋_GB2312" w:eastAsia="仿宋_GB2312"/>
          <w:sz w:val="32"/>
          <w:szCs w:val="32"/>
        </w:rPr>
        <w:t>万元，占5.79%。</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年度本年支出557.57万元，其中：基本支出</w:t>
      </w:r>
      <w:r>
        <w:rPr>
          <w:rFonts w:ascii="仿宋_GB2312" w:eastAsia="仿宋_GB2312"/>
          <w:sz w:val="32"/>
          <w:szCs w:val="32"/>
        </w:rPr>
        <w:t>302.94</w:t>
      </w:r>
      <w:r>
        <w:rPr>
          <w:rFonts w:hint="eastAsia" w:ascii="仿宋_GB2312" w:eastAsia="仿宋_GB2312"/>
          <w:sz w:val="32"/>
          <w:szCs w:val="32"/>
        </w:rPr>
        <w:t>万元，占54.33%；项目支出</w:t>
      </w:r>
      <w:r>
        <w:rPr>
          <w:rFonts w:ascii="仿宋_GB2312" w:eastAsia="仿宋_GB2312"/>
          <w:sz w:val="32"/>
          <w:szCs w:val="32"/>
        </w:rPr>
        <w:t>254.63</w:t>
      </w:r>
      <w:r>
        <w:rPr>
          <w:rFonts w:hint="eastAsia" w:ascii="仿宋_GB2312" w:eastAsia="仿宋_GB2312"/>
          <w:sz w:val="32"/>
          <w:szCs w:val="32"/>
        </w:rPr>
        <w:t>万元，占45.67%；上缴上级支出</w:t>
      </w:r>
      <w:r>
        <w:rPr>
          <w:rFonts w:ascii="仿宋_GB2312" w:eastAsia="仿宋_GB2312"/>
          <w:sz w:val="32"/>
          <w:szCs w:val="32"/>
        </w:rPr>
        <w:t>0.00</w:t>
      </w:r>
      <w:r>
        <w:rPr>
          <w:rFonts w:hint="eastAsia" w:ascii="仿宋_GB2312" w:eastAsia="仿宋_GB2312"/>
          <w:sz w:val="32"/>
          <w:szCs w:val="32"/>
        </w:rPr>
        <w:t>万元，占0.00%；经营支出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%；对附属单位补助支出0.00万元，占0.00%。</w:t>
      </w:r>
    </w:p>
    <w:p>
      <w:pPr>
        <w:ind w:firstLine="640" w:firstLineChars="200"/>
        <w:outlineLvl w:val="1"/>
        <w:rPr>
          <w:rFonts w:ascii="黑体" w:hAnsi="黑体" w:eastAsia="黑体" w:cs="宋体"/>
          <w:bCs/>
          <w:kern w:val="0"/>
          <w:sz w:val="32"/>
          <w:szCs w:val="32"/>
        </w:rPr>
      </w:pPr>
      <w:bookmarkStart w:id="14" w:name="_Toc4393"/>
      <w:bookmarkStart w:id="15" w:name="_Toc26564"/>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年度财政拨款收入总计495.81万元，其中：年初财政拨款结转和结余5.10万元，财政拨款本年收入490.70万元。财政拨款收入总计与上年相比，增加0.02万元，增长0.00%，主要原因是：2022年</w:t>
      </w:r>
      <w:r>
        <w:rPr>
          <w:rFonts w:hint="eastAsia" w:ascii="仿宋_GB2312" w:eastAsia="仿宋_GB2312"/>
          <w:sz w:val="32"/>
          <w:szCs w:val="32"/>
          <w:lang w:eastAsia="zh-CN"/>
        </w:rPr>
        <w:t>较</w:t>
      </w:r>
      <w:r>
        <w:rPr>
          <w:rFonts w:hint="eastAsia" w:ascii="仿宋_GB2312" w:eastAsia="仿宋_GB2312"/>
          <w:sz w:val="32"/>
          <w:szCs w:val="32"/>
        </w:rPr>
        <w:t>上年</w:t>
      </w:r>
      <w:r>
        <w:rPr>
          <w:rFonts w:hint="eastAsia" w:ascii="仿宋_GB2312" w:eastAsia="仿宋_GB2312"/>
          <w:sz w:val="32"/>
          <w:szCs w:val="32"/>
          <w:lang w:eastAsia="zh-CN"/>
        </w:rPr>
        <w:t>增加了财政拨款结转结余用于社保缴费</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财政拨款支出总计495.81万元，其中：年末财政拨款结转和结余0.00万元，财政拨款本年支出495.81万元。财政拨款支出总计与上年相比，增加0.02万元，增长0.00%，主要原因是：2022年</w:t>
      </w:r>
      <w:r>
        <w:rPr>
          <w:rFonts w:hint="eastAsia" w:ascii="仿宋_GB2312" w:eastAsia="仿宋_GB2312"/>
          <w:sz w:val="32"/>
          <w:szCs w:val="32"/>
          <w:lang w:eastAsia="zh-CN"/>
        </w:rPr>
        <w:t>较</w:t>
      </w:r>
      <w:r>
        <w:rPr>
          <w:rFonts w:hint="eastAsia" w:ascii="仿宋_GB2312" w:eastAsia="仿宋_GB2312"/>
          <w:sz w:val="32"/>
          <w:szCs w:val="32"/>
        </w:rPr>
        <w:t>上年</w:t>
      </w:r>
      <w:r>
        <w:rPr>
          <w:rFonts w:hint="eastAsia" w:ascii="仿宋_GB2312" w:eastAsia="仿宋_GB2312"/>
          <w:sz w:val="32"/>
          <w:szCs w:val="32"/>
          <w:lang w:eastAsia="zh-CN"/>
        </w:rPr>
        <w:t>增加了财政拨款结转结余用于社保缴费</w:t>
      </w:r>
      <w:r>
        <w:rPr>
          <w:rFonts w:hint="eastAsia" w:ascii="仿宋_GB2312" w:eastAsia="仿宋_GB2312"/>
          <w:sz w:val="32"/>
          <w:szCs w:val="32"/>
        </w:rPr>
        <w:t>。</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与年初预算数相比情况：财政拨款收入总计年初预算数</w:t>
      </w:r>
      <w:r>
        <w:rPr>
          <w:rFonts w:ascii="仿宋_GB2312" w:eastAsia="仿宋_GB2312"/>
          <w:sz w:val="32"/>
          <w:szCs w:val="32"/>
        </w:rPr>
        <w:t>442.08</w:t>
      </w:r>
      <w:r>
        <w:rPr>
          <w:rFonts w:hint="eastAsia" w:ascii="仿宋_GB2312" w:eastAsia="仿宋_GB2312"/>
          <w:sz w:val="32"/>
          <w:szCs w:val="32"/>
        </w:rPr>
        <w:t>万元，决算数</w:t>
      </w:r>
      <w:r>
        <w:rPr>
          <w:rFonts w:ascii="仿宋_GB2312" w:eastAsia="仿宋_GB2312"/>
          <w:sz w:val="32"/>
          <w:szCs w:val="32"/>
        </w:rPr>
        <w:t>495.81</w:t>
      </w:r>
      <w:r>
        <w:rPr>
          <w:rFonts w:hint="eastAsia" w:ascii="仿宋_GB2312" w:eastAsia="仿宋_GB2312"/>
          <w:sz w:val="32"/>
          <w:szCs w:val="32"/>
        </w:rPr>
        <w:t>万元，预决算差异率</w:t>
      </w:r>
      <w:r>
        <w:rPr>
          <w:rFonts w:ascii="仿宋_GB2312" w:eastAsia="仿宋_GB2312"/>
          <w:sz w:val="32"/>
          <w:szCs w:val="32"/>
        </w:rPr>
        <w:t>12.15</w:t>
      </w:r>
      <w:r>
        <w:rPr>
          <w:rFonts w:hint="eastAsia" w:ascii="仿宋_GB2312" w:eastAsia="仿宋_GB2312"/>
          <w:sz w:val="32"/>
          <w:szCs w:val="32"/>
        </w:rPr>
        <w:t>%，主要原因是：2022年年中调增人员工资 、2022年财政追加年度考核奖、基础绩效奖、基本工资。财政拨款支出总计年初预算数</w:t>
      </w:r>
      <w:r>
        <w:rPr>
          <w:rFonts w:ascii="仿宋_GB2312" w:eastAsia="仿宋_GB2312"/>
          <w:sz w:val="32"/>
          <w:szCs w:val="32"/>
        </w:rPr>
        <w:t>442.08</w:t>
      </w:r>
      <w:r>
        <w:rPr>
          <w:rFonts w:hint="eastAsia" w:ascii="仿宋_GB2312" w:eastAsia="仿宋_GB2312"/>
          <w:sz w:val="32"/>
          <w:szCs w:val="32"/>
        </w:rPr>
        <w:t>万元，决算数</w:t>
      </w:r>
      <w:r>
        <w:rPr>
          <w:rFonts w:ascii="仿宋_GB2312" w:eastAsia="仿宋_GB2312"/>
          <w:sz w:val="32"/>
          <w:szCs w:val="32"/>
        </w:rPr>
        <w:t>495.81</w:t>
      </w:r>
      <w:r>
        <w:rPr>
          <w:rFonts w:hint="eastAsia" w:ascii="仿宋_GB2312" w:eastAsia="仿宋_GB2312"/>
          <w:sz w:val="32"/>
          <w:szCs w:val="32"/>
        </w:rPr>
        <w:t>万元，预决算差异率12.15%，主要原因是：2022年年中调增人员工资 、2022年财政追加年度考核奖、基础绩效奖、基本工资。</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outlineLvl w:val="2"/>
        <w:rPr>
          <w:rFonts w:ascii="黑体" w:hAnsi="黑体" w:eastAsia="黑体"/>
          <w:sz w:val="32"/>
          <w:szCs w:val="32"/>
        </w:rPr>
      </w:pPr>
      <w:r>
        <w:rPr>
          <w:rFonts w:hint="eastAsia" w:ascii="黑体" w:hAnsi="黑体" w:eastAsia="黑体"/>
          <w:sz w:val="32"/>
          <w:szCs w:val="32"/>
        </w:rPr>
        <w:t>（一）一般公共预算财政拨款支出决算总体情况</w:t>
      </w:r>
    </w:p>
    <w:p>
      <w:pPr>
        <w:spacing w:line="600" w:lineRule="exact"/>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年度一般公共预算财政拨款支出495.81万元，占本年支出合计的</w:t>
      </w:r>
      <w:r>
        <w:rPr>
          <w:rFonts w:ascii="仿宋_GB2312" w:eastAsia="仿宋_GB2312"/>
          <w:sz w:val="32"/>
          <w:szCs w:val="32"/>
        </w:rPr>
        <w:t>88.92</w:t>
      </w:r>
      <w:r>
        <w:rPr>
          <w:rFonts w:hint="eastAsia" w:ascii="仿宋_GB2312" w:eastAsia="仿宋_GB2312"/>
          <w:sz w:val="32"/>
          <w:szCs w:val="32"/>
        </w:rPr>
        <w:t>%，与上年相比，</w:t>
      </w:r>
      <w:r>
        <w:rPr>
          <w:rFonts w:ascii="仿宋_GB2312" w:eastAsia="仿宋_GB2312"/>
          <w:sz w:val="32"/>
          <w:szCs w:val="32"/>
        </w:rPr>
        <w:t>增加5.13</w:t>
      </w:r>
      <w:r>
        <w:rPr>
          <w:rFonts w:hint="eastAsia" w:ascii="仿宋_GB2312" w:eastAsia="仿宋_GB2312"/>
          <w:sz w:val="32"/>
          <w:szCs w:val="32"/>
        </w:rPr>
        <w:t>万元，</w:t>
      </w:r>
      <w:r>
        <w:rPr>
          <w:rFonts w:ascii="仿宋_GB2312" w:eastAsia="仿宋_GB2312"/>
          <w:sz w:val="32"/>
          <w:szCs w:val="32"/>
        </w:rPr>
        <w:t>增长1.05</w:t>
      </w:r>
      <w:r>
        <w:rPr>
          <w:rFonts w:hint="eastAsia" w:ascii="仿宋_GB2312" w:eastAsia="仿宋_GB2312"/>
          <w:sz w:val="32"/>
          <w:szCs w:val="32"/>
        </w:rPr>
        <w:t>%，主要原因是：2022年支出增加了上年的财政拨款结转结余款职工社会保险缴费。</w:t>
      </w:r>
    </w:p>
    <w:p>
      <w:pPr>
        <w:ind w:firstLine="640" w:firstLineChars="200"/>
        <w:outlineLvl w:val="2"/>
        <w:rPr>
          <w:rFonts w:ascii="黑体" w:hAnsi="黑体" w:eastAsia="黑体"/>
          <w:sz w:val="32"/>
          <w:szCs w:val="32"/>
        </w:rPr>
      </w:pPr>
      <w:r>
        <w:rPr>
          <w:rFonts w:hint="eastAsia" w:ascii="黑体" w:hAnsi="黑体" w:eastAsia="黑体"/>
          <w:sz w:val="32"/>
          <w:szCs w:val="32"/>
        </w:rPr>
        <w:t>（二）一般公共预算财政拨款支出决算结构情况</w:t>
      </w:r>
    </w:p>
    <w:p>
      <w:pPr>
        <w:ind w:firstLine="640" w:firstLineChars="200"/>
        <w:rPr>
          <w:rFonts w:ascii="黑体" w:hAnsi="黑体" w:eastAsia="黑体"/>
          <w:sz w:val="32"/>
          <w:szCs w:val="32"/>
        </w:rPr>
      </w:pPr>
      <w:r>
        <w:rPr>
          <w:rFonts w:hint="eastAsia" w:ascii="仿宋_GB2312" w:eastAsia="仿宋_GB2312"/>
          <w:sz w:val="32"/>
          <w:szCs w:val="32"/>
        </w:rPr>
        <w:t>1.社会保障和就业支出(类)460.45万元,占92.87%。</w:t>
      </w:r>
    </w:p>
    <w:p>
      <w:pPr>
        <w:ind w:firstLine="640" w:firstLineChars="200"/>
        <w:outlineLvl w:val="2"/>
        <w:rPr>
          <w:rFonts w:ascii="黑体" w:hAnsi="黑体" w:eastAsia="黑体"/>
          <w:sz w:val="32"/>
          <w:szCs w:val="32"/>
        </w:rPr>
      </w:pPr>
      <w:r>
        <w:rPr>
          <w:rFonts w:hint="eastAsia" w:ascii="仿宋_GB2312" w:eastAsia="仿宋_GB2312"/>
          <w:sz w:val="32"/>
          <w:szCs w:val="32"/>
        </w:rPr>
        <w:t>2.卫生健康支出(类)19.85万元,占4.00%。</w:t>
      </w:r>
    </w:p>
    <w:p>
      <w:pPr>
        <w:ind w:firstLine="640" w:firstLineChars="200"/>
        <w:outlineLvl w:val="2"/>
        <w:rPr>
          <w:rFonts w:ascii="黑体" w:hAnsi="黑体" w:eastAsia="黑体"/>
          <w:sz w:val="32"/>
          <w:szCs w:val="32"/>
        </w:rPr>
      </w:pPr>
      <w:r>
        <w:rPr>
          <w:rFonts w:hint="eastAsia" w:ascii="仿宋_GB2312" w:eastAsia="仿宋_GB2312"/>
          <w:sz w:val="32"/>
          <w:szCs w:val="32"/>
        </w:rPr>
        <w:t>3.住房保障支出(类)15.51万元,占3.13%。</w:t>
      </w:r>
    </w:p>
    <w:p>
      <w:pPr>
        <w:ind w:firstLine="640" w:firstLineChars="200"/>
        <w:outlineLvl w:val="2"/>
        <w:rPr>
          <w:rFonts w:ascii="黑体" w:hAnsi="黑体" w:eastAsia="黑体"/>
          <w:sz w:val="32"/>
          <w:szCs w:val="32"/>
        </w:rPr>
      </w:pPr>
      <w:r>
        <w:rPr>
          <w:rFonts w:hint="eastAsia" w:ascii="黑体" w:hAnsi="黑体" w:eastAsia="黑体"/>
          <w:sz w:val="32"/>
          <w:szCs w:val="32"/>
        </w:rPr>
        <w:t>（三）一般公共预算财政拨款支出决算具体情况</w:t>
      </w:r>
    </w:p>
    <w:p>
      <w:pPr>
        <w:ind w:firstLine="640" w:firstLineChars="200"/>
        <w:rPr>
          <w:rFonts w:ascii="仿宋_GB2312" w:eastAsia="仿宋_GB2312"/>
          <w:b/>
          <w:bCs/>
          <w:sz w:val="32"/>
          <w:szCs w:val="32"/>
          <w:highlight w:val="yellow"/>
        </w:rPr>
      </w:pPr>
      <w:r>
        <w:rPr>
          <w:rFonts w:hint="eastAsia" w:ascii="仿宋_GB2312" w:eastAsia="仿宋_GB2312"/>
          <w:sz w:val="32"/>
          <w:szCs w:val="32"/>
        </w:rPr>
        <w:t>1.社会保障和就业支出(类)行政事业单位养老支出(款)事业单位离退休(项):支出决算数为25.45万元，比上年决算增加13.64万元，增长115.50%</w:t>
      </w:r>
      <w:r>
        <w:rPr>
          <w:rFonts w:ascii="仿宋_GB2312" w:eastAsia="仿宋_GB2312"/>
          <w:sz w:val="32"/>
          <w:szCs w:val="32"/>
        </w:rPr>
        <w:t>,</w:t>
      </w:r>
      <w:r>
        <w:rPr>
          <w:rFonts w:hint="eastAsia" w:ascii="仿宋_GB2312" w:eastAsia="仿宋_GB2312"/>
          <w:sz w:val="32"/>
          <w:szCs w:val="32"/>
        </w:rPr>
        <w:t>主要原因是:2022年事业单位离退休项中增加了退休人员基础绩效奖。</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仿宋_GB2312" w:eastAsia="仿宋_GB2312"/>
          <w:sz w:val="32"/>
          <w:szCs w:val="32"/>
        </w:rPr>
        <w:t>2.社会保障和就业支出(类)行政事业单位养老支出(款)机关事业单位基本养老保险缴费支出(项):支出决算数为20.68万元，比上年决算增加0.25万元，增长1.22%</w:t>
      </w:r>
      <w:r>
        <w:rPr>
          <w:rFonts w:ascii="仿宋_GB2312" w:eastAsia="仿宋_GB2312"/>
          <w:sz w:val="32"/>
          <w:szCs w:val="32"/>
        </w:rPr>
        <w:t>,</w:t>
      </w:r>
      <w:r>
        <w:rPr>
          <w:rFonts w:hint="eastAsia" w:ascii="仿宋_GB2312" w:eastAsia="仿宋_GB2312"/>
          <w:sz w:val="32"/>
          <w:szCs w:val="32"/>
        </w:rPr>
        <w:t>主要原因是:2022年机关事业单位基本养老保险缴费基数较上年调增。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3.社会保障和就业支出(类)残疾人事业(款)残疾人康复(项):支出决算数为414.32万元，比上年决算减少5.71万元，下降1.36%</w:t>
      </w:r>
      <w:r>
        <w:rPr>
          <w:rFonts w:ascii="仿宋_GB2312" w:eastAsia="仿宋_GB2312"/>
          <w:sz w:val="32"/>
          <w:szCs w:val="32"/>
        </w:rPr>
        <w:t>,</w:t>
      </w:r>
      <w:r>
        <w:rPr>
          <w:rFonts w:hint="eastAsia" w:ascii="仿宋_GB2312" w:eastAsia="仿宋_GB2312"/>
          <w:sz w:val="32"/>
          <w:szCs w:val="32"/>
        </w:rPr>
        <w:t>主要原因是:2022年残疾人事业发展补助资金项目中主要用于残疾人辅助器具适配服务资金较上年减少。</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4.卫生健康支出(类)行政事业单位医疗(款)事业单位医疗(项):支出决算数为11.17万元，比上年决算增加0.17万元，增长1.55%</w:t>
      </w:r>
      <w:r>
        <w:rPr>
          <w:rFonts w:ascii="仿宋_GB2312" w:eastAsia="仿宋_GB2312"/>
          <w:sz w:val="32"/>
          <w:szCs w:val="32"/>
        </w:rPr>
        <w:t>,</w:t>
      </w:r>
      <w:r>
        <w:rPr>
          <w:rFonts w:hint="eastAsia" w:ascii="仿宋_GB2312" w:eastAsia="仿宋_GB2312"/>
          <w:sz w:val="32"/>
          <w:szCs w:val="32"/>
        </w:rPr>
        <w:t>主要原因是:2022年事业单位医疗项中职工基本医疗保险缴费基数较上年调增。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5.卫生健康支出(类)行政事业单位医疗(款)公务员医疗补助(项):支出决算数为8.68万元，比上年决算增加0.13万元，增长1.52%</w:t>
      </w:r>
      <w:r>
        <w:rPr>
          <w:rFonts w:ascii="仿宋_GB2312" w:eastAsia="仿宋_GB2312"/>
          <w:sz w:val="32"/>
          <w:szCs w:val="32"/>
        </w:rPr>
        <w:t>,</w:t>
      </w:r>
      <w:r>
        <w:rPr>
          <w:rFonts w:hint="eastAsia" w:ascii="仿宋_GB2312" w:eastAsia="仿宋_GB2312"/>
          <w:sz w:val="32"/>
          <w:szCs w:val="32"/>
        </w:rPr>
        <w:t>主要原因是:2022年职工公务员医疗补助缴费基数较上年调增。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6.住房保障支出(类)住房改革支出(款)住房公积金(项):支出决算数为15.51万元，比上年决算增加0.18万元，增长1.17%</w:t>
      </w:r>
      <w:r>
        <w:rPr>
          <w:rFonts w:ascii="仿宋_GB2312" w:eastAsia="仿宋_GB2312"/>
          <w:sz w:val="32"/>
          <w:szCs w:val="32"/>
        </w:rPr>
        <w:t>,</w:t>
      </w:r>
      <w:r>
        <w:rPr>
          <w:rFonts w:hint="eastAsia" w:ascii="仿宋_GB2312" w:eastAsia="仿宋_GB2312"/>
          <w:sz w:val="32"/>
          <w:szCs w:val="32"/>
        </w:rPr>
        <w:t>主要原因是:2022年职工住房公积金缴费基数较上年调增。</w:t>
      </w:r>
    </w:p>
    <w:p>
      <w:pPr>
        <w:ind w:firstLine="640" w:firstLineChars="200"/>
        <w:outlineLvl w:val="1"/>
        <w:rPr>
          <w:rFonts w:ascii="黑体" w:hAnsi="黑体" w:eastAsia="黑体" w:cs="宋体"/>
          <w:bCs/>
          <w:kern w:val="0"/>
          <w:sz w:val="32"/>
          <w:szCs w:val="32"/>
        </w:rPr>
      </w:pPr>
      <w:r>
        <w:rPr>
          <w:rFonts w:hint="eastAsia" w:ascii="仿宋_GB2312" w:eastAsia="仿宋_GB2312"/>
          <w:sz w:val="32"/>
          <w:szCs w:val="32"/>
        </w:rPr>
        <w:t>7.社会保障和就业支出(类)行政事业单位养老支出(款)机关事业单位职业年金缴费支出(项):支出决算数为0.00万元，比上年决算减少3.53万元，下降100%</w:t>
      </w:r>
      <w:r>
        <w:rPr>
          <w:rFonts w:ascii="仿宋_GB2312" w:eastAsia="仿宋_GB2312"/>
          <w:sz w:val="32"/>
          <w:szCs w:val="32"/>
        </w:rPr>
        <w:t>,</w:t>
      </w:r>
      <w:r>
        <w:rPr>
          <w:rFonts w:hint="eastAsia" w:ascii="仿宋_GB2312" w:eastAsia="仿宋_GB2312"/>
          <w:sz w:val="32"/>
          <w:szCs w:val="32"/>
        </w:rPr>
        <w:t>主要原因是:2022年无新增退休人员，无职业年金缴费支出。</w:t>
      </w:r>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年度一般公共预算财政拨款基本支出</w:t>
      </w:r>
      <w:r>
        <w:rPr>
          <w:rFonts w:ascii="仿宋_GB2312" w:eastAsia="仿宋_GB2312"/>
          <w:sz w:val="32"/>
          <w:szCs w:val="32"/>
        </w:rPr>
        <w:t>302.78</w:t>
      </w:r>
      <w:r>
        <w:rPr>
          <w:rFonts w:hint="eastAsia" w:ascii="仿宋_GB2312" w:eastAsia="仿宋_GB2312"/>
          <w:sz w:val="32"/>
          <w:szCs w:val="32"/>
        </w:rPr>
        <w:t>万元，其中：</w:t>
      </w:r>
    </w:p>
    <w:p>
      <w:pPr>
        <w:ind w:firstLine="640" w:firstLineChars="200"/>
        <w:rPr>
          <w:rFonts w:ascii="仿宋_GB2312" w:eastAsia="仿宋_GB2312"/>
          <w:sz w:val="32"/>
          <w:szCs w:val="32"/>
        </w:rPr>
      </w:pPr>
      <w:r>
        <w:rPr>
          <w:rFonts w:hint="eastAsia" w:ascii="仿宋_GB2312" w:eastAsia="仿宋_GB2312"/>
          <w:sz w:val="32"/>
          <w:szCs w:val="32"/>
        </w:rPr>
        <w:t>人员经费</w:t>
      </w:r>
      <w:r>
        <w:rPr>
          <w:rFonts w:ascii="仿宋_GB2312" w:eastAsia="仿宋_GB2312"/>
          <w:sz w:val="32"/>
          <w:szCs w:val="32"/>
        </w:rPr>
        <w:t>280.57</w:t>
      </w:r>
      <w:r>
        <w:rPr>
          <w:rFonts w:hint="eastAsia" w:ascii="仿宋_GB2312" w:eastAsia="仿宋_GB2312"/>
          <w:sz w:val="32"/>
          <w:szCs w:val="32"/>
        </w:rPr>
        <w:t>万元，包括：基本工资、津贴补贴、奖金、绩效工资、机关事业单位基本养老保险缴费、职业年金缴费、职工基本医疗保险缴费、公务员医疗补助缴费、其他社会保障缴费、住房公积金、其他工资福利支出、退休费、医疗费补助、其他对个人和家庭的补助。</w:t>
      </w:r>
    </w:p>
    <w:p>
      <w:pPr>
        <w:ind w:firstLine="640" w:firstLineChars="200"/>
        <w:rPr>
          <w:rFonts w:ascii="仿宋_GB2312" w:hAnsi="宋体" w:eastAsia="仿宋_GB2312" w:cs="宋体"/>
          <w:kern w:val="0"/>
          <w:sz w:val="32"/>
          <w:szCs w:val="32"/>
        </w:rPr>
      </w:pPr>
      <w:r>
        <w:rPr>
          <w:rFonts w:hint="eastAsia" w:ascii="仿宋_GB2312" w:eastAsia="仿宋_GB2312"/>
          <w:sz w:val="32"/>
          <w:szCs w:val="32"/>
        </w:rPr>
        <w:t>公用经费22.20万元，包括：办公费、水费、电费、邮电费、取暖费、差旅费、工会经费、福利费、公务用车运行维护费、其他交通费用、税金及附加费用、其他商品和服务支出。</w:t>
      </w:r>
    </w:p>
    <w:p>
      <w:pPr>
        <w:ind w:firstLine="640" w:firstLineChars="200"/>
        <w:outlineLvl w:val="1"/>
        <w:rPr>
          <w:rFonts w:ascii="黑体" w:hAnsi="黑体" w:eastAsia="黑体" w:cs="宋体"/>
          <w:bCs/>
          <w:kern w:val="0"/>
          <w:sz w:val="32"/>
          <w:szCs w:val="32"/>
        </w:rPr>
      </w:pPr>
      <w:bookmarkStart w:id="20" w:name="_Toc21518"/>
      <w:bookmarkStart w:id="21" w:name="_Toc7190"/>
      <w:r>
        <w:rPr>
          <w:rFonts w:hint="eastAsia" w:ascii="黑体" w:hAnsi="黑体" w:eastAsia="黑体" w:cs="宋体"/>
          <w:bCs/>
          <w:kern w:val="0"/>
          <w:sz w:val="32"/>
          <w:szCs w:val="32"/>
        </w:rPr>
        <w:t>七、财政拨款“三公”经费支出决算情况说明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2022</w:t>
      </w:r>
      <w:r>
        <w:rPr>
          <w:rFonts w:hint="eastAsia" w:ascii="仿宋_GB2312" w:eastAsia="仿宋_GB2312"/>
          <w:sz w:val="32"/>
          <w:szCs w:val="32"/>
        </w:rPr>
        <w:t>年度财政拨款“三公”经费支出决算</w:t>
      </w:r>
      <w:r>
        <w:rPr>
          <w:rFonts w:ascii="仿宋_GB2312" w:eastAsia="仿宋_GB2312"/>
          <w:sz w:val="32"/>
          <w:szCs w:val="32"/>
        </w:rPr>
        <w:t>1.90</w:t>
      </w:r>
      <w:r>
        <w:rPr>
          <w:rFonts w:hint="eastAsia" w:ascii="仿宋_GB2312" w:eastAsia="仿宋_GB2312"/>
          <w:sz w:val="32"/>
          <w:szCs w:val="32"/>
        </w:rPr>
        <w:t>万元，比上年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三公经费严格执行厉行节约要求，与上年无变化</w:t>
      </w:r>
      <w:r>
        <w:rPr>
          <w:rFonts w:hint="eastAsia" w:ascii="仿宋_GB2312" w:eastAsia="仿宋_GB2312"/>
          <w:sz w:val="32"/>
          <w:szCs w:val="32"/>
        </w:rPr>
        <w:t>。其中：因公出国（境）费支出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我单位无因公出国（境）费</w:t>
      </w:r>
      <w:r>
        <w:rPr>
          <w:rFonts w:hint="eastAsia" w:ascii="仿宋_GB2312" w:eastAsia="仿宋_GB2312"/>
          <w:sz w:val="32"/>
          <w:szCs w:val="32"/>
        </w:rPr>
        <w:t>；公务用车购置及运行维护费支出</w:t>
      </w:r>
      <w:r>
        <w:rPr>
          <w:rFonts w:ascii="仿宋_GB2312" w:eastAsia="仿宋_GB2312"/>
          <w:sz w:val="32"/>
          <w:szCs w:val="32"/>
        </w:rPr>
        <w:t>1.90</w:t>
      </w:r>
      <w:r>
        <w:rPr>
          <w:rFonts w:hint="eastAsia" w:ascii="仿宋_GB2312" w:eastAsia="仿宋_GB2312"/>
          <w:sz w:val="32"/>
          <w:szCs w:val="32"/>
        </w:rPr>
        <w:t>万元，占</w:t>
      </w:r>
      <w:r>
        <w:rPr>
          <w:rFonts w:ascii="仿宋_GB2312" w:eastAsia="仿宋_GB2312"/>
          <w:sz w:val="32"/>
          <w:szCs w:val="32"/>
        </w:rPr>
        <w:t>100.00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三公经费严格执行厉行节约要求，与上年无变化</w:t>
      </w:r>
      <w:r>
        <w:rPr>
          <w:rFonts w:hint="eastAsia" w:ascii="仿宋_GB2312" w:eastAsia="仿宋_GB2312"/>
          <w:sz w:val="32"/>
          <w:szCs w:val="32"/>
        </w:rPr>
        <w:t>；公务接待费支出</w:t>
      </w:r>
      <w:r>
        <w:rPr>
          <w:rFonts w:ascii="仿宋_GB2312" w:eastAsia="仿宋_GB2312"/>
          <w:sz w:val="32"/>
          <w:szCs w:val="32"/>
        </w:rPr>
        <w:t>0.00</w:t>
      </w:r>
      <w:r>
        <w:rPr>
          <w:rFonts w:hint="eastAsia" w:ascii="仿宋_GB2312" w:eastAsia="仿宋_GB2312"/>
          <w:sz w:val="32"/>
          <w:szCs w:val="32"/>
        </w:rPr>
        <w:t>万元，占</w:t>
      </w:r>
      <w:r>
        <w:rPr>
          <w:rFonts w:ascii="仿宋_GB2312" w:eastAsia="仿宋_GB2312"/>
          <w:sz w:val="32"/>
          <w:szCs w:val="32"/>
        </w:rPr>
        <w:t>0.00</w:t>
      </w:r>
      <w:r>
        <w:rPr>
          <w:rFonts w:hint="eastAsia" w:ascii="仿宋_GB2312" w:eastAsia="仿宋_GB2312"/>
          <w:sz w:val="32"/>
          <w:szCs w:val="32"/>
        </w:rPr>
        <w:t>%，比上年</w:t>
      </w:r>
      <w:r>
        <w:rPr>
          <w:rFonts w:ascii="仿宋_GB2312" w:eastAsia="仿宋_GB2312"/>
          <w:sz w:val="32"/>
          <w:szCs w:val="32"/>
        </w:rPr>
        <w:t>增加0.00</w:t>
      </w:r>
      <w:r>
        <w:rPr>
          <w:rFonts w:hint="eastAsia" w:ascii="仿宋_GB2312" w:eastAsia="仿宋_GB2312"/>
          <w:sz w:val="32"/>
          <w:szCs w:val="32"/>
        </w:rPr>
        <w:t>万元，</w:t>
      </w:r>
      <w:r>
        <w:rPr>
          <w:rFonts w:ascii="仿宋_GB2312" w:eastAsia="仿宋_GB2312"/>
          <w:sz w:val="32"/>
          <w:szCs w:val="32"/>
        </w:rPr>
        <w:t>增长0.00</w:t>
      </w:r>
      <w:r>
        <w:rPr>
          <w:rFonts w:hint="eastAsia" w:ascii="仿宋_GB2312" w:eastAsia="仿宋_GB2312"/>
          <w:sz w:val="32"/>
          <w:szCs w:val="32"/>
        </w:rPr>
        <w:t>%，主要原因是：</w:t>
      </w:r>
      <w:r>
        <w:rPr>
          <w:rFonts w:ascii="仿宋_GB2312" w:eastAsia="仿宋_GB2312"/>
          <w:sz w:val="32"/>
          <w:szCs w:val="32"/>
        </w:rPr>
        <w:t>我单位无公务接待费</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w:t>
      </w:r>
      <w:r>
        <w:rPr>
          <w:rFonts w:ascii="仿宋_GB2312" w:eastAsia="仿宋_GB2312"/>
          <w:sz w:val="32"/>
          <w:szCs w:val="32"/>
        </w:rPr>
        <w:t>0.00</w:t>
      </w:r>
      <w:r>
        <w:rPr>
          <w:rFonts w:hint="eastAsia" w:ascii="仿宋_GB2312" w:eastAsia="仿宋_GB2312"/>
          <w:sz w:val="32"/>
          <w:szCs w:val="32"/>
        </w:rPr>
        <w:t>万元，开支内容包括我单位无因公出国（境）费。单位全年安排的因公出国（境）团组</w:t>
      </w:r>
      <w:r>
        <w:rPr>
          <w:rFonts w:ascii="仿宋_GB2312" w:eastAsia="仿宋_GB2312"/>
          <w:sz w:val="32"/>
          <w:szCs w:val="32"/>
        </w:rPr>
        <w:t>0</w:t>
      </w:r>
      <w:r>
        <w:rPr>
          <w:rFonts w:hint="eastAsia" w:ascii="仿宋_GB2312" w:eastAsia="仿宋_GB2312"/>
          <w:sz w:val="32"/>
          <w:szCs w:val="32"/>
        </w:rPr>
        <w:t>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w:t>
      </w:r>
      <w:r>
        <w:rPr>
          <w:rFonts w:ascii="仿宋_GB2312" w:eastAsia="仿宋_GB2312"/>
          <w:sz w:val="32"/>
          <w:szCs w:val="32"/>
        </w:rPr>
        <w:t>1.90</w:t>
      </w:r>
      <w:r>
        <w:rPr>
          <w:rFonts w:hint="eastAsia" w:ascii="仿宋_GB2312" w:eastAsia="仿宋_GB2312"/>
          <w:sz w:val="32"/>
          <w:szCs w:val="32"/>
        </w:rPr>
        <w:t>万元，其中：公务用车购置费</w:t>
      </w:r>
      <w:r>
        <w:rPr>
          <w:rFonts w:ascii="仿宋_GB2312" w:eastAsia="仿宋_GB2312"/>
          <w:sz w:val="32"/>
          <w:szCs w:val="32"/>
        </w:rPr>
        <w:t>0.00</w:t>
      </w:r>
      <w:r>
        <w:rPr>
          <w:rFonts w:hint="eastAsia" w:ascii="仿宋_GB2312" w:eastAsia="仿宋_GB2312"/>
          <w:sz w:val="32"/>
          <w:szCs w:val="32"/>
        </w:rPr>
        <w:t>万元，公务用车运行维护费</w:t>
      </w:r>
      <w:r>
        <w:rPr>
          <w:rFonts w:ascii="仿宋_GB2312" w:eastAsia="仿宋_GB2312"/>
          <w:sz w:val="32"/>
          <w:szCs w:val="32"/>
        </w:rPr>
        <w:t>1.90</w:t>
      </w:r>
      <w:r>
        <w:rPr>
          <w:rFonts w:hint="eastAsia" w:ascii="仿宋_GB2312" w:eastAsia="仿宋_GB2312"/>
          <w:sz w:val="32"/>
          <w:szCs w:val="32"/>
        </w:rPr>
        <w:t>万元。公务用车运行维护费开支内容包括3辆公务用车车辆保险1.08万元、车辆年审0.15万元、车辆加油0.6万元、车辆停车费0.07万元。公务用车购置数</w:t>
      </w:r>
      <w:r>
        <w:rPr>
          <w:rFonts w:ascii="仿宋_GB2312" w:eastAsia="仿宋_GB2312"/>
          <w:sz w:val="32"/>
          <w:szCs w:val="32"/>
        </w:rPr>
        <w:t>0</w:t>
      </w:r>
      <w:r>
        <w:rPr>
          <w:rFonts w:hint="eastAsia" w:ascii="仿宋_GB2312" w:eastAsia="仿宋_GB2312"/>
          <w:sz w:val="32"/>
          <w:szCs w:val="32"/>
        </w:rPr>
        <w:t>辆，公务用车保有量3辆。</w:t>
      </w:r>
    </w:p>
    <w:p>
      <w:pPr>
        <w:ind w:firstLine="640" w:firstLineChars="200"/>
        <w:rPr>
          <w:rFonts w:ascii="仿宋_GB2312" w:eastAsia="仿宋_GB2312"/>
          <w:sz w:val="32"/>
          <w:szCs w:val="32"/>
        </w:rPr>
      </w:pPr>
      <w:r>
        <w:rPr>
          <w:rFonts w:hint="eastAsia" w:ascii="仿宋_GB2312" w:eastAsia="仿宋_GB2312"/>
          <w:sz w:val="32"/>
          <w:szCs w:val="32"/>
        </w:rPr>
        <w:t>公务接待费</w:t>
      </w:r>
      <w:r>
        <w:rPr>
          <w:rFonts w:ascii="仿宋_GB2312" w:eastAsia="仿宋_GB2312"/>
          <w:sz w:val="32"/>
          <w:szCs w:val="32"/>
        </w:rPr>
        <w:t>0.00</w:t>
      </w:r>
      <w:r>
        <w:rPr>
          <w:rFonts w:hint="eastAsia" w:ascii="仿宋_GB2312" w:eastAsia="仿宋_GB2312"/>
          <w:sz w:val="32"/>
          <w:szCs w:val="32"/>
        </w:rPr>
        <w:t>万元，开支内容包括我单位无公务接待费。单位全年安排的国内公务接待</w:t>
      </w:r>
      <w:r>
        <w:rPr>
          <w:rFonts w:ascii="仿宋_GB2312" w:eastAsia="仿宋_GB2312"/>
          <w:sz w:val="32"/>
          <w:szCs w:val="32"/>
        </w:rPr>
        <w:t>0</w:t>
      </w:r>
      <w:r>
        <w:rPr>
          <w:rFonts w:hint="eastAsia" w:ascii="仿宋_GB2312" w:eastAsia="仿宋_GB2312"/>
          <w:sz w:val="32"/>
          <w:szCs w:val="32"/>
        </w:rPr>
        <w:t>批次，</w:t>
      </w:r>
      <w:r>
        <w:rPr>
          <w:rFonts w:ascii="仿宋_GB2312" w:eastAsia="仿宋_GB2312"/>
          <w:sz w:val="32"/>
          <w:szCs w:val="32"/>
        </w:rPr>
        <w:t>0</w:t>
      </w:r>
      <w:r>
        <w:rPr>
          <w:rFonts w:hint="eastAsia" w:ascii="仿宋_GB2312" w:eastAsia="仿宋_GB2312"/>
          <w:sz w:val="32"/>
          <w:szCs w:val="32"/>
        </w:rPr>
        <w:t>人次。</w:t>
      </w:r>
    </w:p>
    <w:p>
      <w:pPr>
        <w:ind w:firstLine="640" w:firstLineChars="200"/>
        <w:rPr>
          <w:rFonts w:ascii="仿宋_GB2312" w:eastAsia="仿宋_GB2312"/>
          <w:sz w:val="32"/>
          <w:szCs w:val="32"/>
        </w:rPr>
      </w:pPr>
      <w:r>
        <w:rPr>
          <w:rFonts w:hint="eastAsia" w:ascii="仿宋_GB2312" w:eastAsia="仿宋_GB2312"/>
          <w:sz w:val="32"/>
          <w:szCs w:val="32"/>
        </w:rPr>
        <w:t>与全年预算数相比情况：“三公”经费支出全年预算数1.90万元，决算数</w:t>
      </w:r>
      <w:r>
        <w:rPr>
          <w:rFonts w:ascii="仿宋_GB2312" w:eastAsia="仿宋_GB2312"/>
          <w:sz w:val="32"/>
          <w:szCs w:val="32"/>
        </w:rPr>
        <w:t>1.90</w:t>
      </w:r>
      <w:r>
        <w:rPr>
          <w:rFonts w:hint="eastAsia" w:ascii="仿宋_GB2312" w:eastAsia="仿宋_GB2312"/>
          <w:sz w:val="32"/>
          <w:szCs w:val="32"/>
        </w:rPr>
        <w:t>万元，预决算差异率0.00%，主要原因是：三公经费严格执行厉行节约要求，全年无</w:t>
      </w:r>
      <w:bookmarkStart w:id="50" w:name="_GoBack"/>
      <w:bookmarkEnd w:id="50"/>
      <w:r>
        <w:rPr>
          <w:rFonts w:hint="eastAsia" w:ascii="仿宋_GB2312" w:eastAsia="仿宋_GB2312"/>
          <w:sz w:val="32"/>
          <w:szCs w:val="32"/>
        </w:rPr>
        <w:t>预</w:t>
      </w:r>
      <w:r>
        <w:rPr>
          <w:rFonts w:hint="eastAsia" w:ascii="仿宋_GB2312" w:eastAsia="仿宋_GB2312"/>
          <w:sz w:val="32"/>
          <w:szCs w:val="32"/>
          <w:lang w:eastAsia="zh-CN"/>
        </w:rPr>
        <w:t>决</w:t>
      </w:r>
      <w:r>
        <w:rPr>
          <w:rFonts w:hint="eastAsia" w:ascii="仿宋_GB2312" w:eastAsia="仿宋_GB2312"/>
          <w:sz w:val="32"/>
          <w:szCs w:val="32"/>
        </w:rPr>
        <w:t>算增减变化。</w:t>
      </w:r>
      <w:r>
        <w:rPr>
          <w:rFonts w:hint="eastAsia" w:ascii="仿宋_GB2312" w:hAnsi="宋体" w:eastAsia="仿宋_GB2312" w:cs="宋体"/>
          <w:kern w:val="0"/>
          <w:sz w:val="32"/>
          <w:szCs w:val="32"/>
        </w:rPr>
        <w:t>其中：因公出国（境）费全年预算数</w:t>
      </w:r>
      <w:r>
        <w:rPr>
          <w:rFonts w:hint="eastAsia" w:ascii="仿宋_GB2312" w:eastAsia="仿宋_GB2312"/>
          <w:sz w:val="32"/>
          <w:szCs w:val="32"/>
        </w:rPr>
        <w:t>0.00万元，决算数0.00万元，预决算差异率0.00%，主要原因是：我单位无因公出国（境）费；</w:t>
      </w:r>
      <w:r>
        <w:rPr>
          <w:rFonts w:hint="eastAsia" w:ascii="仿宋_GB2312" w:hAnsi="宋体" w:eastAsia="仿宋_GB2312" w:cs="宋体"/>
          <w:kern w:val="0"/>
          <w:sz w:val="32"/>
          <w:szCs w:val="32"/>
        </w:rPr>
        <w:t>公务用车购置</w:t>
      </w:r>
      <w:r>
        <w:rPr>
          <w:rFonts w:hint="eastAsia" w:ascii="仿宋_GB2312" w:eastAsia="仿宋_GB2312"/>
          <w:sz w:val="32"/>
          <w:szCs w:val="32"/>
        </w:rPr>
        <w:t>费全年预算数0.00万元，决算数0.00万元，预决算差异率0.00%，主要原因是：我单位无公务用车购置费；</w:t>
      </w:r>
      <w:r>
        <w:rPr>
          <w:rFonts w:hint="eastAsia" w:ascii="仿宋_GB2312" w:hAnsi="宋体" w:eastAsia="仿宋_GB2312" w:cs="宋体"/>
          <w:kern w:val="0"/>
          <w:sz w:val="32"/>
          <w:szCs w:val="32"/>
        </w:rPr>
        <w:t>公务用车运行费全年</w:t>
      </w:r>
      <w:r>
        <w:rPr>
          <w:rFonts w:hint="eastAsia" w:ascii="仿宋_GB2312" w:eastAsia="仿宋_GB2312"/>
          <w:sz w:val="32"/>
          <w:szCs w:val="32"/>
        </w:rPr>
        <w:t>预算数1.90万元，决算数1.90万元，预决算差异率0.00%，主要原因是：三公经费严格执行厉行节约要求，全年无预</w:t>
      </w:r>
      <w:r>
        <w:rPr>
          <w:rFonts w:hint="eastAsia" w:ascii="仿宋_GB2312" w:eastAsia="仿宋_GB2312"/>
          <w:sz w:val="32"/>
          <w:szCs w:val="32"/>
          <w:lang w:eastAsia="zh-CN"/>
        </w:rPr>
        <w:t>决</w:t>
      </w:r>
      <w:r>
        <w:rPr>
          <w:rFonts w:hint="eastAsia" w:ascii="仿宋_GB2312" w:eastAsia="仿宋_GB2312"/>
          <w:sz w:val="32"/>
          <w:szCs w:val="32"/>
        </w:rPr>
        <w:t>算增减变化；</w:t>
      </w:r>
      <w:r>
        <w:rPr>
          <w:rFonts w:hint="eastAsia" w:ascii="仿宋_GB2312" w:hAnsi="宋体" w:eastAsia="仿宋_GB2312" w:cs="宋体"/>
          <w:kern w:val="0"/>
          <w:sz w:val="32"/>
          <w:szCs w:val="32"/>
        </w:rPr>
        <w:t>公务接待费全年</w:t>
      </w:r>
      <w:r>
        <w:rPr>
          <w:rFonts w:hint="eastAsia" w:ascii="仿宋_GB2312" w:eastAsia="仿宋_GB2312"/>
          <w:sz w:val="32"/>
          <w:szCs w:val="32"/>
        </w:rPr>
        <w:t>预算数</w:t>
      </w:r>
      <w:r>
        <w:rPr>
          <w:rFonts w:ascii="仿宋_GB2312" w:eastAsia="仿宋_GB2312"/>
          <w:sz w:val="32"/>
          <w:szCs w:val="32"/>
        </w:rPr>
        <w:t>0.00</w:t>
      </w:r>
      <w:r>
        <w:rPr>
          <w:rFonts w:hint="eastAsia" w:ascii="仿宋_GB2312" w:eastAsia="仿宋_GB2312"/>
          <w:sz w:val="32"/>
          <w:szCs w:val="32"/>
        </w:rPr>
        <w:t>万元，决算数</w:t>
      </w:r>
      <w:r>
        <w:rPr>
          <w:rFonts w:ascii="仿宋_GB2312" w:eastAsia="仿宋_GB2312"/>
          <w:sz w:val="32"/>
          <w:szCs w:val="32"/>
        </w:rPr>
        <w:t>0.00</w:t>
      </w:r>
      <w:r>
        <w:rPr>
          <w:rFonts w:hint="eastAsia" w:ascii="仿宋_GB2312" w:eastAsia="仿宋_GB2312"/>
          <w:sz w:val="32"/>
          <w:szCs w:val="32"/>
        </w:rPr>
        <w:t>万元，预决算差异率0.00%，主要原因是：我单位无公务接待费。</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八、政府性基金预算财政拨款收入支出决算情况说明</w:t>
      </w:r>
      <w:bookmarkEnd w:id="22"/>
      <w:bookmarkEnd w:id="23"/>
    </w:p>
    <w:p>
      <w:pPr>
        <w:ind w:firstLine="480" w:firstLineChars="200"/>
        <w:rPr>
          <w:rFonts w:ascii="仿宋_GB2312" w:eastAsia="仿宋_GB2312"/>
          <w:sz w:val="32"/>
          <w:szCs w:val="32"/>
        </w:rPr>
      </w:pPr>
      <w:r>
        <w:rPr>
          <w:rFonts w:hint="eastAsia" w:ascii="仿宋_GB2312" w:eastAsia="仿宋_GB2312"/>
          <w:sz w:val="32"/>
          <w:szCs w:val="32"/>
        </w:rPr>
        <w:t>我单位本年度无政府性基金预算财政拨款收入、支出及结转和结余，政府性基金预算财政拨款收入支出决算表为空表。</w:t>
      </w:r>
    </w:p>
    <w:p>
      <w:pPr>
        <w:ind w:firstLine="420" w:firstLineChars="200"/>
        <w:rPr>
          <w:rFonts w:ascii="Arial" w:hAnsi="Arial" w:cs="Arial"/>
          <w:color w:val="4D4D4D"/>
          <w:shd w:val="clear" w:color="auto" w:fill="FFFFFF"/>
        </w:rPr>
      </w:pPr>
      <w:r>
        <w:rPr>
          <w:rFonts w:hint="eastAsia" w:ascii="黑体" w:hAnsi="黑体" w:eastAsia="黑体" w:cs="宋体"/>
          <w:bCs/>
          <w:kern w:val="0"/>
          <w:sz w:val="32"/>
          <w:szCs w:val="32"/>
        </w:rPr>
        <w:t>九、国有资本经营预算财政拨款收入支出决算情况说明</w:t>
      </w:r>
    </w:p>
    <w:p>
      <w:pPr>
        <w:ind w:firstLine="420" w:firstLineChars="200"/>
        <w:rPr>
          <w:rFonts w:ascii="仿宋_GB2312" w:eastAsia="仿宋_GB2312"/>
          <w:sz w:val="32"/>
          <w:szCs w:val="32"/>
        </w:rPr>
      </w:pPr>
      <w:r>
        <w:rPr>
          <w:rFonts w:hint="eastAsia" w:ascii="仿宋_GB2312" w:eastAsia="仿宋_GB2312"/>
          <w:sz w:val="32"/>
          <w:szCs w:val="32"/>
        </w:rPr>
        <w:t>我单位本年度无国有资本经营预算财政拨款收入、支出及结转和结余，国有资本经营预算财政拨款收入支出决算表为空表。</w:t>
      </w:r>
    </w:p>
    <w:p>
      <w:pPr>
        <w:ind w:firstLine="420" w:firstLineChars="200"/>
        <w:rPr>
          <w:rFonts w:ascii="仿宋_GB2312" w:eastAsia="仿宋_GB2312"/>
          <w:sz w:val="32"/>
          <w:szCs w:val="32"/>
        </w:rPr>
      </w:pPr>
      <w:r>
        <w:rPr>
          <w:rFonts w:hint="eastAsia" w:ascii="黑体" w:hAnsi="黑体" w:eastAsia="黑体" w:cs="宋体"/>
          <w:bCs/>
          <w:kern w:val="0"/>
          <w:sz w:val="32"/>
          <w:szCs w:val="32"/>
        </w:rPr>
        <w:t>十、其他重要事项的情况说明</w:t>
      </w:r>
    </w:p>
    <w:p>
      <w:pPr>
        <w:ind w:firstLine="640" w:firstLineChars="200"/>
        <w:outlineLvl w:val="2"/>
        <w:rPr>
          <w:rFonts w:ascii="黑体" w:hAnsi="黑体" w:eastAsia="黑体"/>
          <w:sz w:val="32"/>
          <w:szCs w:val="32"/>
        </w:rPr>
      </w:pPr>
      <w:r>
        <w:rPr>
          <w:rFonts w:hint="eastAsia" w:ascii="黑体" w:hAnsi="黑体" w:eastAsia="黑体"/>
          <w:sz w:val="32"/>
          <w:szCs w:val="32"/>
        </w:rPr>
        <w:t>（一）机关运行经费支出情况</w:t>
      </w:r>
    </w:p>
    <w:p>
      <w:pPr>
        <w:ind w:firstLine="220" w:firstLineChars="200"/>
        <w:outlineLvl w:val="2"/>
        <w:rPr>
          <w:rFonts w:ascii="黑体" w:hAnsi="黑体" w:eastAsia="黑体"/>
          <w:sz w:val="32"/>
          <w:szCs w:val="32"/>
        </w:rPr>
      </w:pPr>
      <w:r>
        <w:rPr>
          <w:rFonts w:hint="eastAsia" w:ascii="仿宋_GB2312" w:eastAsia="仿宋_GB2312"/>
          <w:sz w:val="32"/>
          <w:szCs w:val="32"/>
        </w:rPr>
        <w:t>2022年度新疆维吾尔自治区残疾人辅助器具资源中心（事业单位）公用经费22.20万元，比上年减少0.01万元，下降0.05%，主要原因是：2022年公用经费严格执行厉行节约要求，其中差旅费受疫情影响较上年减少。</w:t>
      </w:r>
    </w:p>
    <w:p>
      <w:pPr>
        <w:ind w:firstLine="450" w:firstLineChars="250"/>
        <w:outlineLvl w:val="2"/>
        <w:rPr>
          <w:rFonts w:ascii="黑体" w:hAnsi="黑体" w:eastAsia="黑体"/>
          <w:sz w:val="32"/>
          <w:szCs w:val="32"/>
        </w:rPr>
      </w:pPr>
      <w:bookmarkStart w:id="24" w:name="_Toc26704"/>
      <w:bookmarkStart w:id="25" w:name="_Toc227"/>
      <w:r>
        <w:rPr>
          <w:rFonts w:hint="eastAsia" w:ascii="黑体" w:hAnsi="黑体" w:eastAsia="黑体"/>
          <w:sz w:val="32"/>
          <w:szCs w:val="32"/>
        </w:rPr>
        <w:t>（二）政府采购情况</w:t>
      </w:r>
      <w:bookmarkEnd w:id="24"/>
      <w:bookmarkEnd w:id="25"/>
    </w:p>
    <w:p>
      <w:pPr>
        <w:ind w:firstLine="640" w:firstLineChars="200"/>
        <w:rPr>
          <w:rFonts w:ascii="仿宋_GB2312" w:eastAsia="仿宋_GB2312"/>
          <w:sz w:val="32"/>
          <w:szCs w:val="32"/>
        </w:rPr>
      </w:pPr>
      <w:r>
        <w:rPr>
          <w:rFonts w:hint="eastAsia" w:ascii="仿宋_GB2312" w:eastAsia="仿宋_GB2312"/>
          <w:sz w:val="32"/>
          <w:szCs w:val="32"/>
        </w:rPr>
        <w:t>2022年度政府采购支出总额</w:t>
      </w:r>
      <w:r>
        <w:rPr>
          <w:rFonts w:ascii="仿宋_GB2312" w:eastAsia="仿宋_GB2312"/>
          <w:sz w:val="32"/>
          <w:szCs w:val="32"/>
        </w:rPr>
        <w:t>143.06</w:t>
      </w:r>
      <w:r>
        <w:rPr>
          <w:rFonts w:hint="eastAsia" w:ascii="仿宋_GB2312" w:eastAsia="仿宋_GB2312"/>
          <w:sz w:val="32"/>
          <w:szCs w:val="32"/>
        </w:rPr>
        <w:t>万元，其中：政府采购货物支出</w:t>
      </w:r>
      <w:r>
        <w:rPr>
          <w:rFonts w:ascii="仿宋_GB2312" w:eastAsia="仿宋_GB2312"/>
          <w:sz w:val="32"/>
          <w:szCs w:val="32"/>
        </w:rPr>
        <w:t>139.70</w:t>
      </w:r>
      <w:r>
        <w:rPr>
          <w:rFonts w:hint="eastAsia" w:ascii="仿宋_GB2312" w:eastAsia="仿宋_GB2312"/>
          <w:sz w:val="32"/>
          <w:szCs w:val="32"/>
        </w:rPr>
        <w:t>万元、政府采购工程支出</w:t>
      </w:r>
      <w:r>
        <w:rPr>
          <w:rFonts w:ascii="仿宋_GB2312" w:eastAsia="仿宋_GB2312"/>
          <w:sz w:val="32"/>
          <w:szCs w:val="32"/>
        </w:rPr>
        <w:t>0.00</w:t>
      </w:r>
      <w:r>
        <w:rPr>
          <w:rFonts w:hint="eastAsia" w:ascii="仿宋_GB2312" w:eastAsia="仿宋_GB2312"/>
          <w:sz w:val="32"/>
          <w:szCs w:val="32"/>
        </w:rPr>
        <w:t>万元、政府采购服务支出</w:t>
      </w:r>
      <w:r>
        <w:rPr>
          <w:rFonts w:ascii="仿宋_GB2312" w:eastAsia="仿宋_GB2312"/>
          <w:sz w:val="32"/>
          <w:szCs w:val="32"/>
        </w:rPr>
        <w:t>3.36</w:t>
      </w:r>
      <w:r>
        <w:rPr>
          <w:rFonts w:hint="eastAsia" w:ascii="仿宋_GB2312" w:eastAsia="仿宋_GB2312"/>
          <w:sz w:val="32"/>
          <w:szCs w:val="32"/>
        </w:rPr>
        <w:t>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w:t>
      </w:r>
      <w:r>
        <w:rPr>
          <w:rFonts w:ascii="仿宋_GB2312" w:eastAsia="仿宋_GB2312"/>
          <w:sz w:val="32"/>
          <w:szCs w:val="32"/>
        </w:rPr>
        <w:t>143.06</w:t>
      </w:r>
      <w:r>
        <w:rPr>
          <w:rFonts w:hint="eastAsia" w:ascii="仿宋_GB2312" w:eastAsia="仿宋_GB2312"/>
          <w:sz w:val="32"/>
          <w:szCs w:val="32"/>
        </w:rPr>
        <w:t>万元，占政府采购支出总额的</w:t>
      </w:r>
      <w:r>
        <w:rPr>
          <w:rFonts w:ascii="仿宋_GB2312" w:eastAsia="仿宋_GB2312"/>
          <w:sz w:val="32"/>
          <w:szCs w:val="32"/>
        </w:rPr>
        <w:t>100.00</w:t>
      </w:r>
      <w:r>
        <w:rPr>
          <w:rFonts w:hint="eastAsia" w:ascii="仿宋_GB2312" w:eastAsia="仿宋_GB2312"/>
          <w:sz w:val="32"/>
          <w:szCs w:val="32"/>
        </w:rPr>
        <w:t>%，其中：授予小微企业合同金额</w:t>
      </w:r>
      <w:r>
        <w:rPr>
          <w:rFonts w:ascii="仿宋_GB2312" w:eastAsia="仿宋_GB2312"/>
          <w:sz w:val="32"/>
          <w:szCs w:val="32"/>
        </w:rPr>
        <w:t>15.00</w:t>
      </w:r>
      <w:r>
        <w:rPr>
          <w:rFonts w:hint="eastAsia" w:ascii="仿宋_GB2312" w:eastAsia="仿宋_GB2312"/>
          <w:sz w:val="32"/>
          <w:szCs w:val="32"/>
        </w:rPr>
        <w:t>万元，占政府采购支出总额的</w:t>
      </w:r>
      <w:r>
        <w:rPr>
          <w:rFonts w:ascii="仿宋_GB2312" w:eastAsia="仿宋_GB2312"/>
          <w:sz w:val="32"/>
          <w:szCs w:val="32"/>
        </w:rPr>
        <w:t>10.49</w:t>
      </w:r>
      <w:r>
        <w:rPr>
          <w:rFonts w:hint="eastAsia" w:ascii="仿宋_GB2312" w:eastAsia="仿宋_GB2312"/>
          <w:sz w:val="32"/>
          <w:szCs w:val="32"/>
        </w:rPr>
        <w:t>%。</w:t>
      </w:r>
    </w:p>
    <w:p>
      <w:pPr>
        <w:ind w:firstLine="640" w:firstLineChars="200"/>
        <w:outlineLvl w:val="2"/>
        <w:rPr>
          <w:rFonts w:ascii="黑体" w:hAnsi="黑体" w:eastAsia="黑体"/>
          <w:sz w:val="32"/>
          <w:szCs w:val="32"/>
        </w:rPr>
      </w:pPr>
      <w:bookmarkStart w:id="26" w:name="_Toc4591"/>
      <w:bookmarkStart w:id="27" w:name="_Toc8391"/>
      <w:r>
        <w:rPr>
          <w:rFonts w:hint="eastAsia" w:ascii="黑体" w:hAnsi="黑体" w:eastAsia="黑体"/>
          <w:sz w:val="32"/>
          <w:szCs w:val="32"/>
        </w:rPr>
        <w:t>（三）国有资产占用情况说明</w:t>
      </w:r>
      <w:bookmarkEnd w:id="26"/>
      <w:bookmarkEnd w:id="27"/>
    </w:p>
    <w:p>
      <w:pPr>
        <w:ind w:firstLine="640" w:firstLineChars="200"/>
        <w:rPr>
          <w:rFonts w:ascii="仿宋_GB2312" w:eastAsia="仿宋_GB2312"/>
          <w:sz w:val="32"/>
          <w:szCs w:val="32"/>
        </w:rPr>
      </w:pPr>
      <w:r>
        <w:rPr>
          <w:rFonts w:hint="eastAsia" w:ascii="仿宋_GB2312" w:eastAsia="仿宋_GB2312"/>
          <w:sz w:val="32"/>
          <w:szCs w:val="32"/>
        </w:rPr>
        <w:t>截止2022年12月31日，固定资产原值153.66万元，房屋</w:t>
      </w:r>
      <w:r>
        <w:rPr>
          <w:rFonts w:ascii="仿宋_GB2312" w:eastAsia="仿宋_GB2312"/>
          <w:sz w:val="32"/>
          <w:szCs w:val="32"/>
        </w:rPr>
        <w:t>0.00</w:t>
      </w:r>
      <w:r>
        <w:rPr>
          <w:rFonts w:hint="eastAsia" w:ascii="仿宋_GB2312" w:eastAsia="仿宋_GB2312"/>
          <w:sz w:val="32"/>
          <w:szCs w:val="32"/>
        </w:rPr>
        <w:t>平方米，价值</w:t>
      </w:r>
      <w:r>
        <w:rPr>
          <w:rFonts w:ascii="仿宋_GB2312" w:eastAsia="仿宋_GB2312"/>
          <w:sz w:val="32"/>
          <w:szCs w:val="32"/>
        </w:rPr>
        <w:t>0.00</w:t>
      </w:r>
      <w:r>
        <w:rPr>
          <w:rFonts w:hint="eastAsia" w:ascii="仿宋_GB2312" w:eastAsia="仿宋_GB2312"/>
          <w:sz w:val="32"/>
          <w:szCs w:val="32"/>
        </w:rPr>
        <w:t>万元。车辆</w:t>
      </w:r>
      <w:r>
        <w:rPr>
          <w:rFonts w:ascii="仿宋_GB2312" w:eastAsia="仿宋_GB2312"/>
          <w:sz w:val="32"/>
          <w:szCs w:val="32"/>
        </w:rPr>
        <w:t>3</w:t>
      </w:r>
      <w:r>
        <w:rPr>
          <w:rFonts w:hint="eastAsia" w:ascii="仿宋_GB2312" w:eastAsia="仿宋_GB2312"/>
          <w:sz w:val="32"/>
          <w:szCs w:val="32"/>
        </w:rPr>
        <w:t>辆，价值</w:t>
      </w:r>
      <w:r>
        <w:rPr>
          <w:rFonts w:ascii="仿宋_GB2312" w:eastAsia="仿宋_GB2312"/>
          <w:sz w:val="32"/>
          <w:szCs w:val="32"/>
        </w:rPr>
        <w:t>77.20</w:t>
      </w:r>
      <w:r>
        <w:rPr>
          <w:rFonts w:hint="eastAsia" w:ascii="仿宋_GB2312" w:eastAsia="仿宋_GB2312"/>
          <w:sz w:val="32"/>
          <w:szCs w:val="32"/>
        </w:rPr>
        <w:t>万元，其中：副部（省）级及以上领导用车0辆、主要领导干部用车0辆、机要通信用车</w:t>
      </w:r>
      <w:r>
        <w:rPr>
          <w:rFonts w:ascii="仿宋_GB2312" w:eastAsia="仿宋_GB2312"/>
          <w:sz w:val="32"/>
          <w:szCs w:val="32"/>
        </w:rPr>
        <w:t>0</w:t>
      </w:r>
      <w:r>
        <w:rPr>
          <w:rFonts w:hint="eastAsia" w:ascii="仿宋_GB2312" w:eastAsia="仿宋_GB2312"/>
          <w:sz w:val="32"/>
          <w:szCs w:val="32"/>
        </w:rPr>
        <w:t>辆、应急保障用车</w:t>
      </w:r>
      <w:r>
        <w:rPr>
          <w:rFonts w:ascii="仿宋_GB2312" w:eastAsia="仿宋_GB2312"/>
          <w:sz w:val="32"/>
          <w:szCs w:val="32"/>
        </w:rPr>
        <w:t>0</w:t>
      </w:r>
      <w:r>
        <w:rPr>
          <w:rFonts w:hint="eastAsia" w:ascii="仿宋_GB2312" w:eastAsia="仿宋_GB2312"/>
          <w:sz w:val="32"/>
          <w:szCs w:val="32"/>
        </w:rPr>
        <w:t>辆、执法执勤用车</w:t>
      </w:r>
      <w:r>
        <w:rPr>
          <w:rFonts w:ascii="仿宋_GB2312" w:eastAsia="仿宋_GB2312"/>
          <w:sz w:val="32"/>
          <w:szCs w:val="32"/>
        </w:rPr>
        <w:t>0</w:t>
      </w:r>
      <w:r>
        <w:rPr>
          <w:rFonts w:hint="eastAsia" w:ascii="仿宋_GB2312" w:eastAsia="仿宋_GB2312"/>
          <w:sz w:val="32"/>
          <w:szCs w:val="32"/>
        </w:rPr>
        <w:t>辆、特种专业技术用车</w:t>
      </w:r>
      <w:r>
        <w:rPr>
          <w:rFonts w:ascii="仿宋_GB2312" w:eastAsia="仿宋_GB2312"/>
          <w:sz w:val="32"/>
          <w:szCs w:val="32"/>
        </w:rPr>
        <w:t>0</w:t>
      </w:r>
      <w:r>
        <w:rPr>
          <w:rFonts w:hint="eastAsia" w:ascii="仿宋_GB2312" w:eastAsia="仿宋_GB2312"/>
          <w:sz w:val="32"/>
          <w:szCs w:val="32"/>
        </w:rPr>
        <w:t>辆、离退休干部用车</w:t>
      </w:r>
      <w:r>
        <w:rPr>
          <w:rFonts w:ascii="仿宋_GB2312" w:eastAsia="仿宋_GB2312"/>
          <w:sz w:val="32"/>
          <w:szCs w:val="32"/>
        </w:rPr>
        <w:t>0</w:t>
      </w:r>
      <w:r>
        <w:rPr>
          <w:rFonts w:hint="eastAsia" w:ascii="仿宋_GB2312" w:eastAsia="仿宋_GB2312"/>
          <w:sz w:val="32"/>
          <w:szCs w:val="32"/>
        </w:rPr>
        <w:t>辆、其他用车</w:t>
      </w:r>
      <w:r>
        <w:rPr>
          <w:rFonts w:ascii="仿宋_GB2312" w:eastAsia="仿宋_GB2312"/>
          <w:sz w:val="32"/>
          <w:szCs w:val="32"/>
        </w:rPr>
        <w:t>3</w:t>
      </w:r>
      <w:r>
        <w:rPr>
          <w:rFonts w:hint="eastAsia" w:ascii="仿宋_GB2312" w:eastAsia="仿宋_GB2312"/>
          <w:sz w:val="32"/>
          <w:szCs w:val="32"/>
        </w:rPr>
        <w:t>辆，其他用车主要是：其中2辆车为辅具适配专用工具车，1辆为一般业务用车；单价100万元（含）以上设备（不含车辆）</w:t>
      </w:r>
      <w:r>
        <w:rPr>
          <w:rFonts w:ascii="仿宋_GB2312" w:eastAsia="仿宋_GB2312"/>
          <w:sz w:val="32"/>
          <w:szCs w:val="32"/>
        </w:rPr>
        <w:t>0</w:t>
      </w:r>
      <w:r>
        <w:rPr>
          <w:rFonts w:hint="eastAsia" w:ascii="仿宋_GB2312" w:eastAsia="仿宋_GB2312"/>
          <w:sz w:val="32"/>
          <w:szCs w:val="32"/>
        </w:rPr>
        <w:t>台（套）。</w:t>
      </w:r>
    </w:p>
    <w:p>
      <w:pPr>
        <w:ind w:firstLine="640" w:firstLineChars="200"/>
        <w:outlineLvl w:val="1"/>
        <w:rPr>
          <w:rFonts w:ascii="黑体" w:hAnsi="黑体" w:eastAsia="黑体" w:cs="宋体"/>
          <w:bCs/>
          <w:kern w:val="0"/>
          <w:sz w:val="32"/>
          <w:szCs w:val="32"/>
        </w:rPr>
      </w:pPr>
      <w:bookmarkStart w:id="28" w:name="_Toc435"/>
      <w:bookmarkStart w:id="29" w:name="_Toc11283"/>
      <w:r>
        <w:rPr>
          <w:rFonts w:hint="eastAsia" w:ascii="黑体" w:hAnsi="黑体" w:eastAsia="黑体" w:cs="宋体"/>
          <w:bCs/>
          <w:kern w:val="0"/>
          <w:sz w:val="32"/>
          <w:szCs w:val="32"/>
        </w:rPr>
        <w:t>十一、预算绩效的情况说明</w:t>
      </w:r>
      <w:bookmarkEnd w:id="28"/>
      <w:bookmarkEnd w:id="29"/>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w:t>
      </w:r>
      <w:r>
        <w:rPr>
          <w:rFonts w:ascii="仿宋_GB2312" w:eastAsia="仿宋_GB2312"/>
          <w:sz w:val="32"/>
          <w:szCs w:val="32"/>
        </w:rPr>
        <w:t>2022</w:t>
      </w:r>
      <w:r>
        <w:rPr>
          <w:rFonts w:hint="eastAsia" w:ascii="仿宋_GB2312" w:eastAsia="仿宋_GB2312"/>
          <w:sz w:val="32"/>
          <w:szCs w:val="32"/>
        </w:rPr>
        <w:t>年度开展预算绩效评价项目</w:t>
      </w:r>
      <w:r>
        <w:rPr>
          <w:rFonts w:ascii="仿宋_GB2312" w:eastAsia="仿宋_GB2312"/>
          <w:sz w:val="32"/>
          <w:szCs w:val="32"/>
        </w:rPr>
        <w:t>2</w:t>
      </w:r>
      <w:r>
        <w:rPr>
          <w:rFonts w:hint="eastAsia" w:ascii="仿宋_GB2312" w:eastAsia="仿宋_GB2312"/>
          <w:sz w:val="32"/>
          <w:szCs w:val="32"/>
        </w:rPr>
        <w:t>个，全年预算数232.89万元，全年执行数215.83万元。预算绩效管理取得的成效：</w:t>
      </w:r>
      <w:r>
        <w:rPr>
          <w:rFonts w:ascii="仿宋_GB2312" w:eastAsia="仿宋_GB2312"/>
          <w:sz w:val="32"/>
          <w:szCs w:val="32"/>
        </w:rPr>
        <w:t>一是通过预算绩效管理，强化责任担当、分工负责、压实责任、紧抓落实、稳步推进的原则，顺利按时完成年初的既定目，完成了2022年自治区精准康复服务残疾人辅助器具适配服务工作。二是明确绩效管理工作注重事前评估、过程监督、绩效评价、绩效考核，通过考核结果运用全过程，形成有效的激励和约束机制，提高预算管理工作质量。三是通过完善单位内部控制制度建设，提升绩效管理力度，辅助器具服务能力和管理水平，保障单位事务正常运行</w:t>
      </w:r>
      <w:r>
        <w:rPr>
          <w:rFonts w:hint="eastAsia" w:ascii="仿宋_GB2312" w:eastAsia="仿宋_GB2312"/>
          <w:sz w:val="32"/>
          <w:szCs w:val="32"/>
        </w:rPr>
        <w:t>。发现的问题及原因：</w:t>
      </w:r>
      <w:r>
        <w:rPr>
          <w:rFonts w:ascii="仿宋_GB2312" w:eastAsia="仿宋_GB2312"/>
          <w:sz w:val="32"/>
          <w:szCs w:val="32"/>
        </w:rPr>
        <w:t>一是预算绩效管理基础薄弱，绩效管理缺乏系统性。二是绩效管理制度不够完善，绩效管理工作缺乏具体措施，导向引领作用不够突出。三是缺乏绩效管理人员管理理论，管理工作经验，技巧和时间，培训体系不健全</w:t>
      </w:r>
      <w:r>
        <w:rPr>
          <w:rFonts w:hint="eastAsia" w:ascii="仿宋_GB2312" w:eastAsia="仿宋_GB2312"/>
          <w:sz w:val="32"/>
          <w:szCs w:val="32"/>
        </w:rPr>
        <w:t>。下一步改进措施：</w:t>
      </w:r>
      <w:r>
        <w:rPr>
          <w:rFonts w:ascii="仿宋_GB2312" w:eastAsia="仿宋_GB2312"/>
          <w:sz w:val="32"/>
          <w:szCs w:val="32"/>
        </w:rPr>
        <w:t>一是继续深入开展预算绩效管理工作，从传统预算管理向电子化、信息化全覆盖。全方面执行预算管理监管和全过程绩效管理。二是健全预算绩效管理制度，通过制度完备、组织得力、责任明确、科学管理的方式，开展以绩效为主的目标体系。三是加强培训和指导，加大参与绩效管理人员的培训力度，进一步统一认识，充实业务知识，有序推进绩效管理工作</w:t>
      </w:r>
      <w:r>
        <w:rPr>
          <w:rFonts w:hint="eastAsia" w:ascii="仿宋_GB2312" w:eastAsia="仿宋_GB2312"/>
          <w:sz w:val="32"/>
          <w:szCs w:val="32"/>
        </w:rPr>
        <w:t>。具体项目自评情况见附件。</w:t>
      </w:r>
    </w:p>
    <w:p>
      <w:pPr>
        <w:widowControl/>
        <w:jc w:val="left"/>
        <w:rPr>
          <w:rFonts w:ascii="黑体" w:hAnsi="黑体" w:eastAsia="黑体"/>
          <w:sz w:val="32"/>
          <w:szCs w:val="32"/>
        </w:rPr>
      </w:pPr>
      <w:bookmarkStart w:id="30" w:name="_Toc24143"/>
      <w:bookmarkStart w:id="31" w:name="_Toc3250"/>
      <w:r>
        <w:rPr>
          <w:rFonts w:ascii="黑体" w:hAnsi="黑体" w:eastAsia="黑体"/>
          <w:sz w:val="32"/>
          <w:szCs w:val="32"/>
        </w:rPr>
        <w:br w:type="page"/>
      </w:r>
    </w:p>
    <w:p>
      <w:pPr>
        <w:ind w:firstLine="640" w:firstLineChars="200"/>
        <w:jc w:val="center"/>
        <w:outlineLvl w:val="0"/>
        <w:rPr>
          <w:rFonts w:ascii="黑体" w:hAnsi="黑体" w:eastAsia="黑体"/>
          <w:sz w:val="32"/>
          <w:szCs w:val="32"/>
        </w:rPr>
      </w:pPr>
      <w:r>
        <w:rPr>
          <w:rFonts w:hint="eastAsia" w:ascii="黑体" w:hAnsi="黑体" w:eastAsia="黑体"/>
          <w:sz w:val="32"/>
          <w:szCs w:val="32"/>
        </w:rPr>
        <w:t>第三部分 专业名词解释</w:t>
      </w:r>
      <w:bookmarkEnd w:id="30"/>
      <w:bookmarkEnd w:id="31"/>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财政拨款安排的因公出国（境）费、公务用车购置及运行费和公务接待费。其中，因公出国（境）费反映单位公务出国（境）的国际旅费、国外城市间交通费、住宿费、伙食费、培训费、公杂费等支出；公务用车购置费反映公务用车购置支出（含车辆购置税、牌照费）；公务用车运行维护费反映单位按规定保留的公务用车燃料费、维修费、过路过桥费、保险费、安全奖励费用等支出；公务接待费反映单位按规定开支的各类公务接待（含外宾接待）费用。</w:t>
      </w:r>
    </w:p>
    <w:p>
      <w:pPr>
        <w:ind w:firstLine="640" w:firstLineChars="200"/>
        <w:rPr>
          <w:rFonts w:ascii="仿宋_GB2312" w:eastAsia="仿宋_GB2312"/>
          <w:sz w:val="32"/>
          <w:szCs w:val="32"/>
        </w:rPr>
      </w:pPr>
      <w:r>
        <w:rPr>
          <w:rFonts w:hint="eastAsia" w:ascii="仿宋_GB2312" w:eastAsia="仿宋_GB2312"/>
          <w:sz w:val="32"/>
          <w:szCs w:val="32"/>
        </w:rPr>
        <w:t>机关运行经费：行政单位和参照公务员法管理的事业单位财政拨款基本支出中的公用经费支出。</w:t>
      </w:r>
    </w:p>
    <w:p>
      <w:pPr>
        <w:ind w:firstLine="640" w:firstLineChars="200"/>
        <w:jc w:val="center"/>
        <w:outlineLvl w:val="0"/>
        <w:rPr>
          <w:rFonts w:ascii="黑体" w:hAnsi="黑体" w:eastAsia="黑体"/>
          <w:sz w:val="32"/>
          <w:szCs w:val="32"/>
        </w:rPr>
      </w:pPr>
      <w:bookmarkStart w:id="32" w:name="_Toc22784"/>
      <w:bookmarkStart w:id="33" w:name="_Toc28903"/>
      <w:r>
        <w:rPr>
          <w:rFonts w:hint="eastAsia" w:ascii="黑体" w:hAnsi="黑体" w:eastAsia="黑体"/>
          <w:sz w:val="32"/>
          <w:szCs w:val="32"/>
        </w:rPr>
        <w:br w:type="page"/>
      </w:r>
      <w:r>
        <w:rPr>
          <w:rFonts w:hint="eastAsia" w:ascii="黑体" w:hAnsi="黑体" w:eastAsia="黑体"/>
          <w:sz w:val="32"/>
          <w:szCs w:val="32"/>
        </w:rPr>
        <w:t>第四部分 部门决算报表（见附表）</w:t>
      </w:r>
      <w:bookmarkEnd w:id="32"/>
      <w:bookmarkEnd w:id="33"/>
    </w:p>
    <w:p>
      <w:pPr>
        <w:ind w:firstLine="640" w:firstLineChars="200"/>
        <w:outlineLvl w:val="1"/>
        <w:rPr>
          <w:rFonts w:ascii="黑体" w:hAnsi="黑体" w:eastAsia="黑体" w:cs="宋体"/>
          <w:bCs/>
          <w:kern w:val="0"/>
          <w:sz w:val="32"/>
          <w:szCs w:val="32"/>
        </w:rPr>
      </w:pPr>
      <w:bookmarkStart w:id="34" w:name="_Toc2183"/>
      <w:bookmarkStart w:id="35" w:name="_Toc6062"/>
      <w:r>
        <w:rPr>
          <w:rFonts w:hint="eastAsia" w:ascii="黑体" w:hAnsi="黑体" w:eastAsia="黑体" w:cs="宋体"/>
          <w:bCs/>
          <w:kern w:val="0"/>
          <w:sz w:val="32"/>
          <w:szCs w:val="32"/>
        </w:rPr>
        <w:t>一、《收入支出决算总表》</w:t>
      </w:r>
      <w:bookmarkEnd w:id="34"/>
      <w:bookmarkEnd w:id="35"/>
    </w:p>
    <w:p>
      <w:pPr>
        <w:ind w:firstLine="640" w:firstLineChars="200"/>
        <w:outlineLvl w:val="1"/>
        <w:rPr>
          <w:rFonts w:ascii="黑体" w:hAnsi="黑体" w:eastAsia="黑体" w:cs="宋体"/>
          <w:bCs/>
          <w:kern w:val="0"/>
          <w:sz w:val="32"/>
          <w:szCs w:val="32"/>
        </w:rPr>
      </w:pPr>
      <w:bookmarkStart w:id="36" w:name="_Toc24532"/>
      <w:bookmarkStart w:id="37" w:name="_Toc30364"/>
      <w:r>
        <w:rPr>
          <w:rFonts w:hint="eastAsia" w:ascii="黑体" w:hAnsi="黑体" w:eastAsia="黑体" w:cs="宋体"/>
          <w:bCs/>
          <w:kern w:val="0"/>
          <w:sz w:val="32"/>
          <w:szCs w:val="32"/>
        </w:rPr>
        <w:t>二、《收入决算表》</w:t>
      </w:r>
      <w:bookmarkEnd w:id="36"/>
      <w:bookmarkEnd w:id="37"/>
    </w:p>
    <w:p>
      <w:pPr>
        <w:ind w:firstLine="640" w:firstLineChars="200"/>
        <w:outlineLvl w:val="1"/>
        <w:rPr>
          <w:rFonts w:ascii="黑体" w:hAnsi="黑体" w:eastAsia="黑体" w:cs="宋体"/>
          <w:bCs/>
          <w:kern w:val="0"/>
          <w:sz w:val="32"/>
          <w:szCs w:val="32"/>
        </w:rPr>
      </w:pPr>
      <w:bookmarkStart w:id="38" w:name="_Toc32434"/>
      <w:bookmarkStart w:id="39" w:name="_Toc21304"/>
      <w:r>
        <w:rPr>
          <w:rFonts w:hint="eastAsia" w:ascii="黑体" w:hAnsi="黑体" w:eastAsia="黑体" w:cs="宋体"/>
          <w:bCs/>
          <w:kern w:val="0"/>
          <w:sz w:val="32"/>
          <w:szCs w:val="32"/>
        </w:rPr>
        <w:t>三、《支出决算表》</w:t>
      </w:r>
      <w:bookmarkEnd w:id="38"/>
      <w:bookmarkEnd w:id="39"/>
    </w:p>
    <w:p>
      <w:pPr>
        <w:ind w:firstLine="640" w:firstLineChars="200"/>
        <w:outlineLvl w:val="1"/>
        <w:rPr>
          <w:rFonts w:ascii="黑体" w:hAnsi="黑体" w:eastAsia="黑体" w:cs="宋体"/>
          <w:bCs/>
          <w:kern w:val="0"/>
          <w:sz w:val="32"/>
          <w:szCs w:val="32"/>
        </w:rPr>
      </w:pPr>
      <w:bookmarkStart w:id="40" w:name="_Toc28786"/>
      <w:bookmarkStart w:id="41" w:name="_Toc14238"/>
      <w:r>
        <w:rPr>
          <w:rFonts w:hint="eastAsia" w:ascii="黑体" w:hAnsi="黑体" w:eastAsia="黑体" w:cs="宋体"/>
          <w:bCs/>
          <w:kern w:val="0"/>
          <w:sz w:val="32"/>
          <w:szCs w:val="32"/>
        </w:rPr>
        <w:t>四、《财政拨款收入支出决算总表》</w:t>
      </w:r>
      <w:bookmarkEnd w:id="40"/>
      <w:bookmarkEnd w:id="41"/>
    </w:p>
    <w:p>
      <w:pPr>
        <w:ind w:firstLine="640" w:firstLineChars="200"/>
        <w:outlineLvl w:val="1"/>
        <w:rPr>
          <w:rFonts w:ascii="黑体" w:hAnsi="黑体" w:eastAsia="黑体" w:cs="宋体"/>
          <w:bCs/>
          <w:kern w:val="0"/>
          <w:sz w:val="32"/>
          <w:szCs w:val="32"/>
        </w:rPr>
      </w:pPr>
      <w:bookmarkStart w:id="42" w:name="_Toc10347"/>
      <w:bookmarkStart w:id="43" w:name="_Toc14869"/>
      <w:r>
        <w:rPr>
          <w:rFonts w:hint="eastAsia" w:ascii="黑体" w:hAnsi="黑体" w:eastAsia="黑体" w:cs="宋体"/>
          <w:bCs/>
          <w:kern w:val="0"/>
          <w:sz w:val="32"/>
          <w:szCs w:val="32"/>
        </w:rPr>
        <w:t>五、《一般公共预算财政拨款支出决算表》</w:t>
      </w:r>
      <w:bookmarkEnd w:id="42"/>
      <w:bookmarkEnd w:id="43"/>
    </w:p>
    <w:p>
      <w:pPr>
        <w:ind w:firstLine="640" w:firstLineChars="200"/>
        <w:outlineLvl w:val="1"/>
        <w:rPr>
          <w:rFonts w:ascii="黑体" w:hAnsi="黑体" w:eastAsia="黑体" w:cs="宋体"/>
          <w:bCs/>
          <w:kern w:val="0"/>
          <w:sz w:val="32"/>
          <w:szCs w:val="32"/>
        </w:rPr>
      </w:pPr>
      <w:bookmarkStart w:id="44" w:name="_Toc8884"/>
      <w:bookmarkStart w:id="45" w:name="_Toc5626"/>
      <w:r>
        <w:rPr>
          <w:rFonts w:hint="eastAsia" w:ascii="黑体" w:hAnsi="黑体" w:eastAsia="黑体" w:cs="宋体"/>
          <w:bCs/>
          <w:kern w:val="0"/>
          <w:sz w:val="32"/>
          <w:szCs w:val="32"/>
        </w:rPr>
        <w:t>六、《一般公共预算财政拨款基本支出决算表》</w:t>
      </w:r>
      <w:bookmarkEnd w:id="44"/>
      <w:bookmarkEnd w:id="45"/>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七、</w:t>
      </w:r>
      <w:bookmarkStart w:id="46" w:name="_Toc29106"/>
      <w:bookmarkStart w:id="47" w:name="_Toc32663"/>
      <w:r>
        <w:rPr>
          <w:rFonts w:hint="eastAsia" w:ascii="黑体" w:hAnsi="黑体" w:eastAsia="黑体" w:cs="宋体"/>
          <w:bCs/>
          <w:kern w:val="0"/>
          <w:sz w:val="32"/>
          <w:szCs w:val="32"/>
        </w:rPr>
        <w:t>《财政拨款“三公”经费支出决算表》</w:t>
      </w:r>
      <w:bookmarkEnd w:id="46"/>
      <w:bookmarkEnd w:id="47"/>
    </w:p>
    <w:p>
      <w:pPr>
        <w:ind w:firstLine="640" w:firstLineChars="200"/>
        <w:outlineLvl w:val="1"/>
        <w:rPr>
          <w:rFonts w:ascii="黑体" w:hAnsi="黑体" w:eastAsia="黑体" w:cs="宋体"/>
          <w:bCs/>
          <w:kern w:val="0"/>
          <w:sz w:val="32"/>
          <w:szCs w:val="32"/>
        </w:rPr>
      </w:pPr>
      <w:bookmarkStart w:id="48" w:name="_Toc7643"/>
      <w:bookmarkStart w:id="49" w:name="_Toc5453"/>
      <w:r>
        <w:rPr>
          <w:rFonts w:hint="eastAsia" w:ascii="黑体" w:hAnsi="黑体" w:eastAsia="黑体" w:cs="宋体"/>
          <w:bCs/>
          <w:kern w:val="0"/>
          <w:sz w:val="32"/>
          <w:szCs w:val="32"/>
        </w:rPr>
        <w:t>八、《政府性基金预算财政拨款收入支出决算表》</w:t>
      </w:r>
      <w:bookmarkEnd w:id="48"/>
      <w:bookmarkEnd w:id="49"/>
    </w:p>
    <w:p>
      <w:pPr>
        <w:ind w:firstLine="640" w:firstLineChars="200"/>
        <w:outlineLvl w:val="1"/>
        <w:rPr>
          <w:rFonts w:ascii="黑体" w:hAnsi="黑体" w:eastAsia="黑体" w:cs="宋体"/>
          <w:bCs/>
          <w:kern w:val="0"/>
          <w:sz w:val="32"/>
          <w:szCs w:val="32"/>
        </w:rPr>
      </w:pPr>
      <w:r>
        <w:rPr>
          <w:rFonts w:hint="eastAsia" w:ascii="黑体" w:hAnsi="黑体" w:eastAsia="黑体" w:cs="宋体"/>
          <w:bCs/>
          <w:kern w:val="0"/>
          <w:sz w:val="32"/>
          <w:szCs w:val="32"/>
        </w:rPr>
        <w:t>九、《国有资本经营预算财政拨款收入支出决算表》</w:t>
      </w:r>
    </w:p>
    <w:p>
      <w:pPr>
        <w:ind w:firstLine="640" w:firstLineChars="200"/>
        <w:outlineLvl w:val="1"/>
        <w:rPr>
          <w:rFonts w:ascii="黑体" w:hAnsi="黑体" w:eastAsia="黑体" w:cs="宋体"/>
          <w:bCs/>
          <w:kern w:val="0"/>
          <w:sz w:val="32"/>
          <w:szCs w:val="32"/>
        </w:rPr>
      </w:pPr>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黑体">
    <w:panose1 w:val="02010609060101010101"/>
    <w:charset w:val="86"/>
    <w:family w:val="decorative"/>
    <w:pitch w:val="default"/>
    <w:sig w:usb0="800002BF" w:usb1="38CF7CFA" w:usb2="00000016" w:usb3="00000000" w:csb0="00040001" w:csb1="00000000"/>
  </w:font>
  <w:font w:name="方正小标宋_GBK">
    <w:panose1 w:val="03000502000000000000"/>
    <w:charset w:val="86"/>
    <w:family w:val="script"/>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Arial">
    <w:panose1 w:val="020B0604020202020204"/>
    <w:charset w:val="00"/>
    <w:family w:val="roman"/>
    <w:pitch w:val="default"/>
    <w:sig w:usb0="E0002AFF" w:usb1="C0007843" w:usb2="00000009" w:usb3="00000000" w:csb0="400001FF" w:csb1="FFFF0000"/>
  </w:font>
  <w:font w:name="Microsoft Uighur">
    <w:panose1 w:val="02000000000000000000"/>
    <w:charset w:val="00"/>
    <w:family w:val="auto"/>
    <w:pitch w:val="default"/>
    <w:sig w:usb0="00002003" w:usb1="80000000" w:usb2="00000008" w:usb3="00000000" w:csb0="00000041"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黑体">
    <w:panose1 w:val="02010609060101010101"/>
    <w:charset w:val="86"/>
    <w:family w:val="roman"/>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黑体">
    <w:panose1 w:val="02010609060101010101"/>
    <w:charset w:val="86"/>
    <w:family w:val="modern"/>
    <w:pitch w:val="default"/>
    <w:sig w:usb0="800002BF" w:usb1="38CF7CFA" w:usb2="00000016" w:usb3="00000000" w:csb0="00040001" w:csb1="00000000"/>
  </w:font>
  <w:font w:name="Arial">
    <w:panose1 w:val="020B0604020202020204"/>
    <w:charset w:val="00"/>
    <w:family w:val="swiss"/>
    <w:pitch w:val="default"/>
    <w:sig w:usb0="E0002AFF" w:usb1="C0007843"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pPr>
      <w:pStyle w:val="5"/>
    </w:pPr>
    <w:r>
      <w:rPr>
        <w:lang w:bidi="ug-CN"/>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wps:txbx>
                    <wps:bodyPr vert="horz" wrap="none" lIns="0" tIns="0" rIns="0" bIns="0" anchor="t" anchorCtr="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">
              <v:fill on="f" focussize="0,0"/>
              <v:stroke on="f"/>
              <v:imagedata o:title=""/>
              <o:lock v:ext="edit" aspectratio="f"/>
              <v:textbox inset="0mm,0mm,0mm,0mm" style="mso-fit-shape-to-text:t;">
                <w:txbxContent>
                  <w:p>
                    <w:pPr>
                      <w:pStyle w:val="5"/>
                    </w:pPr>
                    <w:r>
                      <w:rPr>
                        <w:rFonts w:hint="eastAsia"/>
                      </w:rPr>
                      <w:fldChar w:fldCharType="begin"/>
                    </w:r>
                    <w:r>
                      <w:rPr>
                        <w:rFonts w:hint="eastAsia"/>
                      </w:rPr>
                      <w:instrText xml:space="preserve"> PAGE  \* MERGEFORMAT </w:instrText>
                    </w:r>
                    <w:r>
                      <w:rPr>
                        <w:rFonts w:hint="eastAsia"/>
                      </w:rPr>
                      <w:fldChar w:fldCharType="separate"/>
                    </w:r>
                    <w:r>
                      <w:t>13</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mViYzk0YzA4ZjRjODNlZDgwMmQzYTBhNGFhMjA2OTkifQ=="/>
  </w:docVars>
  <w:rsids>
    <w:rsidRoot w:val="00312C27"/>
    <w:rsid w:val="00012F23"/>
    <w:rsid w:val="00021E76"/>
    <w:rsid w:val="000229DC"/>
    <w:rsid w:val="0002765D"/>
    <w:rsid w:val="0003297B"/>
    <w:rsid w:val="000379B3"/>
    <w:rsid w:val="0005626F"/>
    <w:rsid w:val="000724E7"/>
    <w:rsid w:val="0008509D"/>
    <w:rsid w:val="00090520"/>
    <w:rsid w:val="000A0B31"/>
    <w:rsid w:val="000D267C"/>
    <w:rsid w:val="000E7B17"/>
    <w:rsid w:val="00135BB7"/>
    <w:rsid w:val="0016194B"/>
    <w:rsid w:val="001762A3"/>
    <w:rsid w:val="00185C9C"/>
    <w:rsid w:val="001B0BD1"/>
    <w:rsid w:val="001B147B"/>
    <w:rsid w:val="001C3354"/>
    <w:rsid w:val="00215836"/>
    <w:rsid w:val="00221441"/>
    <w:rsid w:val="00224B57"/>
    <w:rsid w:val="002259E8"/>
    <w:rsid w:val="00235C0B"/>
    <w:rsid w:val="00240AA1"/>
    <w:rsid w:val="00263A81"/>
    <w:rsid w:val="00271C68"/>
    <w:rsid w:val="00294495"/>
    <w:rsid w:val="0029483B"/>
    <w:rsid w:val="002A2698"/>
    <w:rsid w:val="002D1584"/>
    <w:rsid w:val="00312C27"/>
    <w:rsid w:val="00352E78"/>
    <w:rsid w:val="00366326"/>
    <w:rsid w:val="003A21C7"/>
    <w:rsid w:val="003B1B1F"/>
    <w:rsid w:val="003C2E0F"/>
    <w:rsid w:val="003F04B0"/>
    <w:rsid w:val="003F1325"/>
    <w:rsid w:val="003F3219"/>
    <w:rsid w:val="00411B2D"/>
    <w:rsid w:val="00435C19"/>
    <w:rsid w:val="00436039"/>
    <w:rsid w:val="00460D47"/>
    <w:rsid w:val="00484954"/>
    <w:rsid w:val="004A0689"/>
    <w:rsid w:val="004C2483"/>
    <w:rsid w:val="004C3288"/>
    <w:rsid w:val="004C4A14"/>
    <w:rsid w:val="004C6A74"/>
    <w:rsid w:val="004D41E0"/>
    <w:rsid w:val="0050663B"/>
    <w:rsid w:val="00517943"/>
    <w:rsid w:val="00531043"/>
    <w:rsid w:val="00531F92"/>
    <w:rsid w:val="00556D35"/>
    <w:rsid w:val="00557718"/>
    <w:rsid w:val="00561710"/>
    <w:rsid w:val="00571ACE"/>
    <w:rsid w:val="00572CBD"/>
    <w:rsid w:val="005A07B6"/>
    <w:rsid w:val="005A161C"/>
    <w:rsid w:val="005B643B"/>
    <w:rsid w:val="005C3DEB"/>
    <w:rsid w:val="005D0AD9"/>
    <w:rsid w:val="005D1C2D"/>
    <w:rsid w:val="005E3B4A"/>
    <w:rsid w:val="0060159A"/>
    <w:rsid w:val="00626A93"/>
    <w:rsid w:val="00656E06"/>
    <w:rsid w:val="00665BE8"/>
    <w:rsid w:val="00680772"/>
    <w:rsid w:val="006B52D5"/>
    <w:rsid w:val="006C27D5"/>
    <w:rsid w:val="006C2D78"/>
    <w:rsid w:val="006D1EE8"/>
    <w:rsid w:val="006E797E"/>
    <w:rsid w:val="006F4050"/>
    <w:rsid w:val="006F66CC"/>
    <w:rsid w:val="0071348F"/>
    <w:rsid w:val="00752DF5"/>
    <w:rsid w:val="00753B65"/>
    <w:rsid w:val="00760DE7"/>
    <w:rsid w:val="007649BA"/>
    <w:rsid w:val="007A247A"/>
    <w:rsid w:val="007A31DF"/>
    <w:rsid w:val="007B559C"/>
    <w:rsid w:val="007D31C5"/>
    <w:rsid w:val="007E0AAA"/>
    <w:rsid w:val="007E2227"/>
    <w:rsid w:val="007F2258"/>
    <w:rsid w:val="0081064F"/>
    <w:rsid w:val="0084474D"/>
    <w:rsid w:val="0089722A"/>
    <w:rsid w:val="008A0B2C"/>
    <w:rsid w:val="008A44AF"/>
    <w:rsid w:val="008B33C8"/>
    <w:rsid w:val="008D0631"/>
    <w:rsid w:val="00905908"/>
    <w:rsid w:val="00914C96"/>
    <w:rsid w:val="00926C84"/>
    <w:rsid w:val="00927CCC"/>
    <w:rsid w:val="00955F5A"/>
    <w:rsid w:val="00986787"/>
    <w:rsid w:val="00A22AE4"/>
    <w:rsid w:val="00A347A6"/>
    <w:rsid w:val="00A3556A"/>
    <w:rsid w:val="00A636E4"/>
    <w:rsid w:val="00A87103"/>
    <w:rsid w:val="00B03B50"/>
    <w:rsid w:val="00B33BF0"/>
    <w:rsid w:val="00B35A42"/>
    <w:rsid w:val="00B4517D"/>
    <w:rsid w:val="00B92C80"/>
    <w:rsid w:val="00BA3B30"/>
    <w:rsid w:val="00BC69BD"/>
    <w:rsid w:val="00BD3218"/>
    <w:rsid w:val="00BD5200"/>
    <w:rsid w:val="00BE4763"/>
    <w:rsid w:val="00BF7AA6"/>
    <w:rsid w:val="00C0408D"/>
    <w:rsid w:val="00C23286"/>
    <w:rsid w:val="00C25C01"/>
    <w:rsid w:val="00C37871"/>
    <w:rsid w:val="00C65103"/>
    <w:rsid w:val="00C72285"/>
    <w:rsid w:val="00C77B7E"/>
    <w:rsid w:val="00C90C12"/>
    <w:rsid w:val="00CA6634"/>
    <w:rsid w:val="00CB036E"/>
    <w:rsid w:val="00CD3225"/>
    <w:rsid w:val="00CF5B51"/>
    <w:rsid w:val="00CF7E34"/>
    <w:rsid w:val="00D020FB"/>
    <w:rsid w:val="00D41FF8"/>
    <w:rsid w:val="00D6267B"/>
    <w:rsid w:val="00D64C5E"/>
    <w:rsid w:val="00D66A40"/>
    <w:rsid w:val="00D76208"/>
    <w:rsid w:val="00D8609B"/>
    <w:rsid w:val="00DA3B1B"/>
    <w:rsid w:val="00E04D53"/>
    <w:rsid w:val="00E2268A"/>
    <w:rsid w:val="00E25E17"/>
    <w:rsid w:val="00E3623A"/>
    <w:rsid w:val="00E45222"/>
    <w:rsid w:val="00EB34D7"/>
    <w:rsid w:val="00EC60C6"/>
    <w:rsid w:val="00EE4EA5"/>
    <w:rsid w:val="00EE6071"/>
    <w:rsid w:val="00F0691A"/>
    <w:rsid w:val="00F20986"/>
    <w:rsid w:val="00F20EB6"/>
    <w:rsid w:val="00F216E3"/>
    <w:rsid w:val="00F26856"/>
    <w:rsid w:val="00F30DDE"/>
    <w:rsid w:val="00F53C2D"/>
    <w:rsid w:val="00F66B7F"/>
    <w:rsid w:val="00F7210D"/>
    <w:rsid w:val="00F8314A"/>
    <w:rsid w:val="00F95054"/>
    <w:rsid w:val="00FF6A37"/>
    <w:rsid w:val="034D4FEF"/>
    <w:rsid w:val="043E5B56"/>
    <w:rsid w:val="04E8759B"/>
    <w:rsid w:val="06792773"/>
    <w:rsid w:val="0A7B4867"/>
    <w:rsid w:val="0AE83DE6"/>
    <w:rsid w:val="0B8C3ECC"/>
    <w:rsid w:val="0BBA0A81"/>
    <w:rsid w:val="0C7227A7"/>
    <w:rsid w:val="0F3317C1"/>
    <w:rsid w:val="11C64636"/>
    <w:rsid w:val="120F5D2F"/>
    <w:rsid w:val="12386E6F"/>
    <w:rsid w:val="14155180"/>
    <w:rsid w:val="15F06E99"/>
    <w:rsid w:val="1C7A04C1"/>
    <w:rsid w:val="1DAF458D"/>
    <w:rsid w:val="20DD6197"/>
    <w:rsid w:val="21A91B81"/>
    <w:rsid w:val="222A65E3"/>
    <w:rsid w:val="237C76C6"/>
    <w:rsid w:val="23BC04D2"/>
    <w:rsid w:val="23E55A70"/>
    <w:rsid w:val="23FB0802"/>
    <w:rsid w:val="277F0ACA"/>
    <w:rsid w:val="279A7186"/>
    <w:rsid w:val="27CF2642"/>
    <w:rsid w:val="2A053397"/>
    <w:rsid w:val="2B2E2565"/>
    <w:rsid w:val="2D1136DF"/>
    <w:rsid w:val="2DD47676"/>
    <w:rsid w:val="2E743C6A"/>
    <w:rsid w:val="2F916B46"/>
    <w:rsid w:val="2FD27414"/>
    <w:rsid w:val="2FD45ADE"/>
    <w:rsid w:val="31C63837"/>
    <w:rsid w:val="35FB19DD"/>
    <w:rsid w:val="38AB41E9"/>
    <w:rsid w:val="39041D96"/>
    <w:rsid w:val="3914510A"/>
    <w:rsid w:val="3B12207E"/>
    <w:rsid w:val="3B3C07D5"/>
    <w:rsid w:val="3D2A665C"/>
    <w:rsid w:val="3D5275AC"/>
    <w:rsid w:val="40834692"/>
    <w:rsid w:val="41A84A67"/>
    <w:rsid w:val="448437A4"/>
    <w:rsid w:val="44F4368F"/>
    <w:rsid w:val="454126C2"/>
    <w:rsid w:val="45E16709"/>
    <w:rsid w:val="46901EEE"/>
    <w:rsid w:val="469C74D2"/>
    <w:rsid w:val="47A53BB1"/>
    <w:rsid w:val="49226020"/>
    <w:rsid w:val="49B933AA"/>
    <w:rsid w:val="4A6B0F8B"/>
    <w:rsid w:val="4B4C0111"/>
    <w:rsid w:val="50DB5F45"/>
    <w:rsid w:val="51E235E4"/>
    <w:rsid w:val="52F92565"/>
    <w:rsid w:val="55CE6BE9"/>
    <w:rsid w:val="57E43B01"/>
    <w:rsid w:val="583059FA"/>
    <w:rsid w:val="5ABB586A"/>
    <w:rsid w:val="5FA17648"/>
    <w:rsid w:val="61A46A97"/>
    <w:rsid w:val="62DD7D21"/>
    <w:rsid w:val="65D97752"/>
    <w:rsid w:val="68DB0208"/>
    <w:rsid w:val="69AD798C"/>
    <w:rsid w:val="6B68175F"/>
    <w:rsid w:val="6E0F7A08"/>
    <w:rsid w:val="71473612"/>
    <w:rsid w:val="715F4991"/>
    <w:rsid w:val="718F7F65"/>
    <w:rsid w:val="73F7554E"/>
    <w:rsid w:val="73FB6630"/>
    <w:rsid w:val="74E76DCD"/>
    <w:rsid w:val="77ED6F44"/>
  </w:rsids>
  <w:themeFontLang w:val="en-US" w:eastAsia="zh-CN" w:bidi="ug-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0" w:semiHidden="0" w:name="toc 1"/>
    <w:lsdException w:qFormat="1" w:unhideWhenUsed="0" w:uiPriority="0" w:semiHidden="0" w:name="toc 2"/>
    <w:lsdException w:qFormat="1"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semiHidden="0"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uiPriority w:val="1"/>
  </w:style>
  <w:style w:type="table" w:default="1" w:styleId="11">
    <w:name w:val="Normal Table"/>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qFormat/>
    <w:uiPriority w:val="0"/>
    <w:pPr>
      <w:ind w:left="840" w:leftChars="400"/>
    </w:pPr>
  </w:style>
  <w:style w:type="paragraph" w:styleId="4">
    <w:name w:val="Balloon Text"/>
    <w:basedOn w:val="1"/>
    <w:link w:val="15"/>
    <w:qFormat/>
    <w:uiPriority w:val="0"/>
    <w:rPr>
      <w:sz w:val="18"/>
      <w:szCs w:val="18"/>
    </w:r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7">
    <w:name w:val="toc 1"/>
    <w:basedOn w:val="1"/>
    <w:next w:val="1"/>
    <w:qFormat/>
    <w:uiPriority w:val="0"/>
  </w:style>
  <w:style w:type="paragraph" w:styleId="8">
    <w:name w:val="toc 2"/>
    <w:basedOn w:val="1"/>
    <w:next w:val="1"/>
    <w:qFormat/>
    <w:uiPriority w:val="0"/>
    <w:pPr>
      <w:ind w:left="420" w:leftChars="200"/>
    </w:pPr>
  </w:style>
  <w:style w:type="character" w:styleId="10">
    <w:name w:val="annotation reference"/>
    <w:basedOn w:val="9"/>
    <w:qFormat/>
    <w:uiPriority w:val="0"/>
    <w:rPr>
      <w:sz w:val="21"/>
      <w:szCs w:val="21"/>
    </w:rPr>
  </w:style>
  <w:style w:type="paragraph" w:customStyle="1" w:styleId="12">
    <w:name w:val="WPSOffice手动目录 3"/>
    <w:qFormat/>
    <w:uiPriority w:val="0"/>
    <w:pPr>
      <w:ind w:left="400" w:leftChars="400"/>
    </w:pPr>
    <w:rPr>
      <w:rFonts w:ascii="Times New Roman" w:hAnsi="Times New Roman" w:eastAsia="宋体" w:cs="Times New Roman"/>
      <w:lang w:val="en-US" w:eastAsia="zh-CN" w:bidi="ug-CN"/>
    </w:rPr>
  </w:style>
  <w:style w:type="paragraph" w:customStyle="1" w:styleId="13">
    <w:name w:val="WPSOffice手动目录 2"/>
    <w:qFormat/>
    <w:uiPriority w:val="0"/>
    <w:pPr>
      <w:ind w:left="200" w:leftChars="200"/>
    </w:pPr>
    <w:rPr>
      <w:rFonts w:ascii="Times New Roman" w:hAnsi="Times New Roman" w:eastAsia="宋体" w:cs="Times New Roman"/>
      <w:lang w:val="en-US" w:eastAsia="zh-CN" w:bidi="ug-CN"/>
    </w:rPr>
  </w:style>
  <w:style w:type="paragraph" w:customStyle="1" w:styleId="14">
    <w:name w:val="WPSOffice手动目录 1"/>
    <w:qFormat/>
    <w:uiPriority w:val="0"/>
    <w:rPr>
      <w:rFonts w:ascii="Times New Roman" w:hAnsi="Times New Roman" w:eastAsia="宋体" w:cs="Times New Roman"/>
      <w:lang w:val="en-US" w:eastAsia="zh-CN" w:bidi="ug-CN"/>
    </w:rPr>
  </w:style>
  <w:style w:type="character" w:customStyle="1" w:styleId="15">
    <w:name w:val="批注框文本 字符"/>
    <w:basedOn w:val="9"/>
    <w:link w:val="4"/>
    <w:qFormat/>
    <w:uiPriority w:val="0"/>
    <w:rPr>
      <w:kern w:val="2"/>
      <w:sz w:val="18"/>
      <w:szCs w:val="18"/>
      <w:lang w:bidi="ar-SA"/>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2.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AA46D803-2C13-45F0-AEAF-99DE084BA84E}">
  <ds:schemaRefs/>
</ds:datastoreItem>
</file>

<file path=docProps/app.xml><?xml version="1.0" encoding="utf-8"?>
<Properties xmlns="http://schemas.openxmlformats.org/officeDocument/2006/extended-properties" xmlns:vt="http://schemas.openxmlformats.org/officeDocument/2006/docPropsVTypes">
  <Template>Normal.dotm</Template>
  <Company>Organization</Company>
  <Pages>19</Pages>
  <Words>1668</Words>
  <Characters>9514</Characters>
  <Lines>79</Lines>
  <Paragraphs>22</Paragraphs>
  <ScaleCrop>false</ScaleCrop>
  <LinksUpToDate>false</LinksUpToDate>
  <CharactersWithSpaces>11160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GXR</dc:creator>
  <cp:lastModifiedBy>Administrator</cp:lastModifiedBy>
  <dcterms:modified xsi:type="dcterms:W3CDTF">2024-01-04T09:48:09Z</dcterms:modified>
  <cp:revision>148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y fmtid="{D5CDD505-2E9C-101B-9397-08002B2CF9AE}" pid="3" name="ICV">
    <vt:lpwstr>450F969ACD1B426EA23123C3601580AE_13</vt:lpwstr>
  </property>
</Properties>
</file>