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FangSong" w:hAnsi="FangSong" w:eastAsia="FangSong" w:cs="SimSun"/>
          <w:kern w:val="0"/>
          <w:sz w:val="32"/>
          <w:szCs w:val="32"/>
        </w:rPr>
      </w:pPr>
      <w:r>
        <w:rPr>
          <w:rFonts w:hint="eastAsia" w:ascii="FangSong" w:hAnsi="FangSong" w:eastAsia="FangSong" w:cs="SimSun"/>
          <w:kern w:val="0"/>
          <w:sz w:val="32"/>
          <w:szCs w:val="32"/>
        </w:rPr>
        <w:t>附件2：</w:t>
      </w:r>
    </w:p>
    <w:p>
      <w:pPr>
        <w:spacing w:line="540" w:lineRule="exact"/>
        <w:jc w:val="center"/>
        <w:rPr>
          <w:rFonts w:ascii="华文中宋" w:hAnsi="华文中宋" w:eastAsia="华文中宋" w:cs="SimSun"/>
          <w:b/>
          <w:kern w:val="0"/>
          <w:sz w:val="52"/>
          <w:szCs w:val="52"/>
        </w:rPr>
      </w:pPr>
    </w:p>
    <w:p>
      <w:pPr>
        <w:spacing w:line="540" w:lineRule="exact"/>
        <w:jc w:val="center"/>
        <w:rPr>
          <w:rFonts w:ascii="华文中宋" w:hAnsi="华文中宋" w:eastAsia="华文中宋" w:cs="SimSun"/>
          <w:b/>
          <w:kern w:val="0"/>
          <w:sz w:val="52"/>
          <w:szCs w:val="52"/>
        </w:rPr>
      </w:pPr>
    </w:p>
    <w:p>
      <w:pPr>
        <w:spacing w:line="540" w:lineRule="exact"/>
        <w:jc w:val="center"/>
        <w:rPr>
          <w:rFonts w:ascii="华文中宋" w:hAnsi="华文中宋" w:eastAsia="华文中宋" w:cs="SimSun"/>
          <w:b/>
          <w:kern w:val="0"/>
          <w:sz w:val="52"/>
          <w:szCs w:val="52"/>
        </w:rPr>
      </w:pPr>
    </w:p>
    <w:p>
      <w:pPr>
        <w:spacing w:line="540" w:lineRule="exact"/>
        <w:jc w:val="center"/>
        <w:rPr>
          <w:rFonts w:ascii="华文中宋" w:hAnsi="华文中宋" w:eastAsia="华文中宋" w:cs="SimSun"/>
          <w:b/>
          <w:kern w:val="0"/>
          <w:sz w:val="52"/>
          <w:szCs w:val="52"/>
        </w:rPr>
      </w:pPr>
    </w:p>
    <w:p>
      <w:pPr>
        <w:spacing w:line="540" w:lineRule="exact"/>
        <w:jc w:val="center"/>
        <w:rPr>
          <w:rFonts w:ascii="华文中宋" w:hAnsi="华文中宋" w:eastAsia="华文中宋" w:cs="SimSun"/>
          <w:b/>
          <w:kern w:val="0"/>
          <w:sz w:val="52"/>
          <w:szCs w:val="52"/>
        </w:rPr>
      </w:pPr>
    </w:p>
    <w:p>
      <w:pPr>
        <w:spacing w:line="540" w:lineRule="exact"/>
        <w:jc w:val="center"/>
        <w:rPr>
          <w:rFonts w:ascii="华文中宋" w:hAnsi="华文中宋" w:eastAsia="华文中宋" w:cs="SimSun"/>
          <w:b/>
          <w:kern w:val="0"/>
          <w:sz w:val="52"/>
          <w:szCs w:val="52"/>
        </w:rPr>
      </w:pPr>
    </w:p>
    <w:p>
      <w:pPr>
        <w:spacing w:line="540" w:lineRule="exact"/>
        <w:jc w:val="center"/>
        <w:rPr>
          <w:rFonts w:ascii="FZXiaoBiaoSong-B05" w:hAnsi="华文中宋" w:eastAsia="FZXiaoBiaoSong-B05" w:cs="SimSun"/>
          <w:b/>
          <w:kern w:val="0"/>
          <w:sz w:val="48"/>
          <w:szCs w:val="48"/>
        </w:rPr>
      </w:pPr>
      <w:r>
        <w:rPr>
          <w:rFonts w:hint="eastAsia" w:ascii="FZXiaoBiaoSong-B05" w:hAnsi="华文中宋" w:eastAsia="FZXiaoBiaoSong-B05" w:cs="SimSun"/>
          <w:b/>
          <w:kern w:val="0"/>
          <w:sz w:val="48"/>
          <w:szCs w:val="48"/>
        </w:rPr>
        <w:t>自治区财政项目支出绩效自评报告</w:t>
      </w:r>
    </w:p>
    <w:p>
      <w:pPr>
        <w:spacing w:line="540" w:lineRule="exact"/>
        <w:jc w:val="center"/>
        <w:rPr>
          <w:rFonts w:ascii="华文中宋" w:hAnsi="华文中宋" w:eastAsia="华文中宋" w:cs="SimSun"/>
          <w:b/>
          <w:kern w:val="0"/>
          <w:sz w:val="52"/>
          <w:szCs w:val="52"/>
        </w:rPr>
      </w:pPr>
    </w:p>
    <w:p>
      <w:pPr>
        <w:spacing w:line="540" w:lineRule="exact"/>
        <w:jc w:val="center"/>
        <w:rPr>
          <w:rFonts w:hAnsi="SimSun" w:eastAsia="仿宋_GB2312" w:cs="SimSun"/>
          <w:kern w:val="0"/>
          <w:sz w:val="36"/>
          <w:szCs w:val="36"/>
        </w:rPr>
      </w:pPr>
      <w:r>
        <w:rPr>
          <w:rFonts w:hint="eastAsia" w:hAnsi="SimSun" w:eastAsia="仿宋_GB2312" w:cs="SimSun"/>
          <w:kern w:val="0"/>
          <w:sz w:val="36"/>
          <w:szCs w:val="36"/>
        </w:rPr>
        <w:t>（2022年度）</w:t>
      </w:r>
    </w:p>
    <w:p>
      <w:pPr>
        <w:spacing w:line="540" w:lineRule="exact"/>
        <w:jc w:val="center"/>
        <w:rPr>
          <w:rFonts w:hAnsi="SimSun" w:eastAsia="仿宋_GB2312" w:cs="SimSun"/>
          <w:kern w:val="0"/>
          <w:sz w:val="30"/>
          <w:szCs w:val="30"/>
        </w:rPr>
      </w:pPr>
    </w:p>
    <w:p>
      <w:pPr>
        <w:spacing w:line="540" w:lineRule="exact"/>
        <w:jc w:val="center"/>
        <w:rPr>
          <w:rFonts w:hAnsi="SimSun" w:eastAsia="仿宋_GB2312" w:cs="SimSun"/>
          <w:kern w:val="0"/>
          <w:sz w:val="30"/>
          <w:szCs w:val="30"/>
        </w:rPr>
      </w:pPr>
    </w:p>
    <w:p>
      <w:pPr>
        <w:spacing w:line="540" w:lineRule="exact"/>
        <w:jc w:val="center"/>
        <w:rPr>
          <w:rFonts w:hAnsi="SimSun" w:eastAsia="仿宋_GB2312" w:cs="SimSun"/>
          <w:kern w:val="0"/>
          <w:sz w:val="30"/>
          <w:szCs w:val="30"/>
        </w:rPr>
      </w:pPr>
    </w:p>
    <w:p>
      <w:pPr>
        <w:spacing w:line="540" w:lineRule="exact"/>
        <w:jc w:val="center"/>
        <w:rPr>
          <w:rFonts w:hAnsi="SimSun" w:eastAsia="仿宋_GB2312" w:cs="SimSun"/>
          <w:kern w:val="0"/>
          <w:sz w:val="30"/>
          <w:szCs w:val="30"/>
        </w:rPr>
      </w:pPr>
    </w:p>
    <w:p>
      <w:pPr>
        <w:spacing w:line="540" w:lineRule="exact"/>
        <w:jc w:val="center"/>
        <w:rPr>
          <w:rFonts w:hAnsi="SimSun" w:eastAsia="仿宋_GB2312" w:cs="SimSun"/>
          <w:kern w:val="0"/>
          <w:sz w:val="30"/>
          <w:szCs w:val="30"/>
        </w:rPr>
      </w:pPr>
    </w:p>
    <w:p>
      <w:pPr>
        <w:spacing w:line="540" w:lineRule="exact"/>
        <w:rPr>
          <w:rFonts w:hAnsi="SimSun" w:eastAsia="仿宋_GB2312" w:cs="SimSun"/>
          <w:kern w:val="0"/>
          <w:sz w:val="30"/>
          <w:szCs w:val="30"/>
        </w:rPr>
      </w:pPr>
    </w:p>
    <w:p>
      <w:pPr>
        <w:spacing w:line="700" w:lineRule="exact"/>
        <w:jc w:val="left"/>
        <w:rPr>
          <w:rFonts w:hAnsi="SimSun" w:eastAsia="仿宋_GB2312" w:cs="SimSun"/>
          <w:kern w:val="0"/>
          <w:sz w:val="36"/>
          <w:szCs w:val="36"/>
        </w:rPr>
      </w:pPr>
    </w:p>
    <w:p>
      <w:pPr>
        <w:spacing w:line="700" w:lineRule="exact"/>
        <w:ind w:firstLine="900" w:firstLineChars="250"/>
        <w:jc w:val="left"/>
        <w:rPr>
          <w:rFonts w:cs="SimSun" w:asciiTheme="majorEastAsia" w:hAnsiTheme="majorEastAsia" w:eastAsiaTheme="majorEastAsia"/>
          <w:kern w:val="0"/>
          <w:sz w:val="30"/>
          <w:szCs w:val="30"/>
        </w:rPr>
      </w:pPr>
      <w:r>
        <w:rPr>
          <w:rFonts w:hint="eastAsia" w:hAnsi="SimSun" w:eastAsia="仿宋_GB2312" w:cs="SimSun"/>
          <w:kern w:val="0"/>
          <w:sz w:val="36"/>
          <w:szCs w:val="36"/>
        </w:rPr>
        <w:t>项目名称：</w:t>
      </w:r>
      <w:r>
        <w:rPr>
          <w:rFonts w:hint="eastAsia" w:asciiTheme="majorEastAsia" w:hAnsiTheme="majorEastAsia" w:eastAsiaTheme="majorEastAsia"/>
          <w:color w:val="333333"/>
          <w:sz w:val="30"/>
          <w:szCs w:val="30"/>
          <w:shd w:val="clear" w:color="auto" w:fill="FFFFFF"/>
        </w:rPr>
        <w:t>2022年自治区残疾人事业发展补助资金</w:t>
      </w:r>
    </w:p>
    <w:p>
      <w:pPr>
        <w:spacing w:line="540" w:lineRule="exact"/>
        <w:ind w:firstLine="567"/>
        <w:rPr>
          <w:rFonts w:hint="eastAsia" w:ascii="KaiTi" w:hAnsi="KaiTi" w:eastAsia="KaiTi"/>
          <w:b/>
          <w:bCs/>
          <w:color w:val="333333"/>
          <w:spacing w:val="-4"/>
          <w:sz w:val="32"/>
          <w:szCs w:val="21"/>
          <w:shd w:val="clear" w:color="auto" w:fill="FFFFFF"/>
        </w:rPr>
      </w:pPr>
      <w:r>
        <w:rPr>
          <w:rFonts w:hint="eastAsia" w:hAnsi="SimSun" w:eastAsia="仿宋_GB2312" w:cs="SimSun"/>
          <w:kern w:val="0"/>
          <w:sz w:val="36"/>
          <w:szCs w:val="36"/>
        </w:rPr>
        <w:t xml:space="preserve">  实施单位（公章）：</w:t>
      </w:r>
      <w:r>
        <w:rPr>
          <w:rFonts w:hint="eastAsia"/>
          <w:color w:val="333333"/>
          <w:sz w:val="28"/>
          <w:szCs w:val="28"/>
          <w:shd w:val="clear" w:color="auto" w:fill="FFFFFF"/>
        </w:rPr>
        <w:t>新疆残疾人职业中专学校</w:t>
      </w:r>
    </w:p>
    <w:p>
      <w:pPr>
        <w:spacing w:line="540" w:lineRule="exact"/>
        <w:ind w:firstLine="900" w:firstLineChars="250"/>
        <w:rPr>
          <w:rFonts w:ascii="KaiTi" w:hAnsi="KaiTi" w:eastAsia="KaiTi"/>
          <w:b/>
          <w:bCs/>
          <w:spacing w:val="-4"/>
          <w:sz w:val="28"/>
          <w:szCs w:val="28"/>
        </w:rPr>
      </w:pPr>
      <w:r>
        <w:rPr>
          <w:rFonts w:hint="eastAsia" w:hAnsi="SimSun" w:eastAsia="仿宋_GB2312" w:cs="SimSun"/>
          <w:kern w:val="0"/>
          <w:sz w:val="36"/>
          <w:szCs w:val="36"/>
        </w:rPr>
        <w:t>主管部门（公章）：</w:t>
      </w:r>
      <w:r>
        <w:rPr>
          <w:rFonts w:hint="eastAsia"/>
          <w:color w:val="333333"/>
          <w:sz w:val="28"/>
          <w:szCs w:val="28"/>
          <w:shd w:val="clear" w:color="auto" w:fill="FFFFFF"/>
        </w:rPr>
        <w:t>新疆维吾尔区残疾人联合会</w:t>
      </w:r>
    </w:p>
    <w:p>
      <w:pPr>
        <w:spacing w:line="540" w:lineRule="exact"/>
        <w:ind w:firstLine="900" w:firstLineChars="250"/>
        <w:rPr>
          <w:rFonts w:hint="eastAsia" w:eastAsia="仿宋_GB2312"/>
          <w:color w:val="333333"/>
          <w:sz w:val="28"/>
          <w:szCs w:val="28"/>
          <w:shd w:val="clear" w:color="auto" w:fill="FFFFFF"/>
          <w:lang w:eastAsia="zh-CN"/>
        </w:rPr>
      </w:pPr>
      <w:r>
        <w:rPr>
          <w:rFonts w:hint="eastAsia" w:hAnsi="SimSun" w:eastAsia="仿宋_GB2312" w:cs="SimSun"/>
          <w:kern w:val="0"/>
          <w:sz w:val="36"/>
          <w:szCs w:val="36"/>
        </w:rPr>
        <w:t>项目负责人（签章）：</w:t>
      </w:r>
      <w:r>
        <w:rPr>
          <w:rFonts w:hint="eastAsia" w:eastAsia="仿宋_GB2312"/>
          <w:color w:val="333333"/>
          <w:sz w:val="28"/>
          <w:szCs w:val="28"/>
          <w:shd w:val="clear" w:color="auto" w:fill="FFFFFF"/>
          <w:lang w:eastAsia="zh-CN"/>
        </w:rPr>
        <w:t>伊力旦</w:t>
      </w:r>
    </w:p>
    <w:p>
      <w:pPr>
        <w:spacing w:line="540" w:lineRule="exact"/>
        <w:ind w:left="273" w:firstLine="567"/>
        <w:rPr>
          <w:rStyle w:val="25"/>
          <w:rFonts w:ascii="KaiTi" w:hAnsi="KaiTi" w:eastAsia="KaiTi"/>
          <w:spacing w:val="-4"/>
          <w:sz w:val="32"/>
          <w:szCs w:val="32"/>
        </w:rPr>
      </w:pPr>
      <w:r>
        <w:rPr>
          <w:rFonts w:hint="eastAsia" w:hAnsi="SimSun" w:eastAsia="仿宋_GB2312" w:cs="SimSun"/>
          <w:kern w:val="0"/>
          <w:sz w:val="36"/>
          <w:szCs w:val="36"/>
        </w:rPr>
        <w:t>填报时间：2023年2月25日</w:t>
      </w:r>
    </w:p>
    <w:p>
      <w:pPr>
        <w:spacing w:line="700" w:lineRule="exact"/>
        <w:ind w:firstLine="708" w:firstLineChars="236"/>
        <w:jc w:val="left"/>
        <w:rPr>
          <w:rFonts w:hAnsi="SimSun" w:eastAsia="仿宋_GB2312" w:cs="SimSun"/>
          <w:kern w:val="0"/>
          <w:sz w:val="30"/>
          <w:szCs w:val="30"/>
        </w:rPr>
      </w:pPr>
    </w:p>
    <w:p>
      <w:pPr>
        <w:spacing w:line="540" w:lineRule="exact"/>
        <w:rPr>
          <w:rStyle w:val="25"/>
          <w:rFonts w:ascii="SimHei" w:hAnsi="SimHei" w:eastAsia="SimHei"/>
          <w:b w:val="0"/>
          <w:spacing w:val="-4"/>
          <w:sz w:val="32"/>
          <w:szCs w:val="32"/>
        </w:rPr>
      </w:pPr>
    </w:p>
    <w:p>
      <w:pPr>
        <w:spacing w:line="540" w:lineRule="exact"/>
        <w:ind w:firstLine="640"/>
        <w:rPr>
          <w:rStyle w:val="25"/>
          <w:rFonts w:ascii="SimHei" w:hAnsi="SimHei" w:eastAsia="SimHei"/>
          <w:b w:val="0"/>
          <w:spacing w:val="-4"/>
          <w:sz w:val="32"/>
          <w:szCs w:val="32"/>
        </w:rPr>
      </w:pPr>
      <w:r>
        <w:rPr>
          <w:rStyle w:val="25"/>
          <w:rFonts w:hint="eastAsia" w:ascii="SimHei" w:hAnsi="SimHei" w:eastAsia="SimHei"/>
          <w:b w:val="0"/>
          <w:spacing w:val="-4"/>
          <w:sz w:val="32"/>
          <w:szCs w:val="32"/>
        </w:rPr>
        <w:t>一、基本情况</w:t>
      </w:r>
    </w:p>
    <w:p>
      <w:pPr>
        <w:spacing w:line="540" w:lineRule="exact"/>
        <w:ind w:firstLine="567"/>
        <w:rPr>
          <w:rStyle w:val="25"/>
          <w:rFonts w:ascii="KaiTi" w:hAnsi="KaiTi" w:eastAsia="KaiTi"/>
          <w:spacing w:val="-4"/>
          <w:sz w:val="32"/>
          <w:szCs w:val="32"/>
        </w:rPr>
      </w:pPr>
      <w:r>
        <w:rPr>
          <w:rStyle w:val="25"/>
          <w:rFonts w:hint="eastAsia" w:ascii="KaiTi" w:hAnsi="KaiTi" w:eastAsia="KaiTi"/>
          <w:spacing w:val="-4"/>
          <w:sz w:val="32"/>
          <w:szCs w:val="32"/>
        </w:rPr>
        <w:t>（一）项目概况。包括项目背景、主要内容及实施情况、资金投入和使用情况等。</w:t>
      </w:r>
    </w:p>
    <w:p>
      <w:pPr>
        <w:ind w:firstLine="624" w:firstLineChars="200"/>
        <w:rPr>
          <w:rFonts w:asciiTheme="minorEastAsia" w:hAnsiTheme="minorEastAsia" w:eastAsiaTheme="minorEastAsia"/>
          <w:b w:val="0"/>
          <w:bCs w:val="0"/>
          <w:spacing w:val="6"/>
          <w:sz w:val="32"/>
          <w:szCs w:val="32"/>
        </w:rPr>
      </w:pPr>
      <w:r>
        <w:rPr>
          <w:rStyle w:val="25"/>
          <w:rFonts w:hint="eastAsia" w:ascii="KaiTi" w:hAnsi="KaiTi" w:eastAsia="KaiTi"/>
          <w:b w:val="0"/>
          <w:bCs w:val="0"/>
          <w:spacing w:val="-4"/>
          <w:sz w:val="32"/>
          <w:szCs w:val="32"/>
          <w:lang w:val="en-US" w:eastAsia="zh-CN"/>
        </w:rPr>
        <w:t>1.</w:t>
      </w:r>
      <w:r>
        <w:rPr>
          <w:rStyle w:val="25"/>
          <w:rFonts w:hint="eastAsia" w:ascii="KaiTi" w:hAnsi="KaiTi" w:eastAsia="KaiTi"/>
          <w:b w:val="0"/>
          <w:bCs w:val="0"/>
          <w:spacing w:val="-4"/>
          <w:sz w:val="32"/>
          <w:szCs w:val="32"/>
        </w:rPr>
        <w:t>项目背景：</w:t>
      </w:r>
      <w:r>
        <w:rPr>
          <w:rStyle w:val="25"/>
          <w:rFonts w:hint="eastAsia" w:ascii="FangSong" w:hAnsi="FangSong" w:eastAsia="FangSong" w:cs="FangSong"/>
          <w:b w:val="0"/>
          <w:bCs w:val="0"/>
          <w:spacing w:val="-4"/>
          <w:sz w:val="32"/>
          <w:szCs w:val="32"/>
        </w:rPr>
        <w:t>我校昌吉校区自2013年开始建设以来，先后建设教学楼、宿舍楼建设项目，一期建设项目（食堂、图书楼），教学实训楼建设项目，配套设施建设项目（室外管网、电力），附属设施建设项目（场平、操场、大门围墙及绿化等），上述项目2017年1月全部竣工验收投入使用。</w:t>
      </w:r>
    </w:p>
    <w:p>
      <w:pPr>
        <w:ind w:firstLine="624" w:firstLineChars="200"/>
        <w:rPr>
          <w:rStyle w:val="25"/>
          <w:rFonts w:hint="eastAsia" w:ascii="KaiTi" w:hAnsi="KaiTi" w:eastAsia="KaiTi" w:cs="Times New Roman"/>
          <w:b w:val="0"/>
          <w:bCs w:val="0"/>
          <w:spacing w:val="-4"/>
          <w:sz w:val="32"/>
          <w:szCs w:val="32"/>
          <w:lang w:val="en-US" w:eastAsia="zh-CN"/>
        </w:rPr>
      </w:pPr>
      <w:r>
        <w:rPr>
          <w:rStyle w:val="25"/>
          <w:rFonts w:hint="eastAsia" w:ascii="KaiTi" w:hAnsi="KaiTi" w:eastAsia="KaiTi" w:cs="Times New Roman"/>
          <w:b w:val="0"/>
          <w:bCs w:val="0"/>
          <w:spacing w:val="-4"/>
          <w:sz w:val="32"/>
          <w:szCs w:val="32"/>
          <w:lang w:val="en-US" w:eastAsia="zh-CN"/>
        </w:rPr>
        <w:t>2.主要内容及实施情况</w:t>
      </w:r>
    </w:p>
    <w:p>
      <w:pPr>
        <w:ind w:firstLine="624" w:firstLineChars="200"/>
        <w:rPr>
          <w:rStyle w:val="25"/>
          <w:rFonts w:hint="eastAsia" w:ascii="FangSong" w:hAnsi="FangSong" w:eastAsia="FangSong" w:cs="FangSong"/>
          <w:b w:val="0"/>
          <w:bCs w:val="0"/>
          <w:spacing w:val="-4"/>
          <w:sz w:val="32"/>
          <w:szCs w:val="32"/>
        </w:rPr>
      </w:pPr>
      <w:r>
        <w:rPr>
          <w:rStyle w:val="25"/>
          <w:rFonts w:hint="eastAsia" w:ascii="FangSong" w:hAnsi="FangSong" w:eastAsia="FangSong" w:cs="FangSong"/>
          <w:b w:val="0"/>
          <w:bCs w:val="0"/>
          <w:spacing w:val="-4"/>
          <w:sz w:val="32"/>
          <w:szCs w:val="32"/>
        </w:rPr>
        <w:t>我校委托乌鲁木齐达峰工程造价咨询有限公司、新疆宏正工程造价咨询有限责任事务所对所有项目进行全过程审核，项目总投资133071531.30元，截止2021年12月31日，已经先后支付工程款及管理费等127669104.23元，未付工程款及造价咨询费5402427.07元（主要为：教学楼、宿舍楼建设项目尾款，食堂、图书楼建设项目尾款，教学实训楼建设项目尾款，配套设施一标段建设项目尾款及10个项目未付造价咨询费）。</w:t>
      </w:r>
    </w:p>
    <w:p>
      <w:pPr>
        <w:ind w:firstLine="624" w:firstLineChars="200"/>
        <w:rPr>
          <w:rStyle w:val="25"/>
          <w:rFonts w:hint="eastAsia" w:ascii="KaiTi" w:hAnsi="KaiTi" w:eastAsia="KaiTi" w:cs="Times New Roman"/>
          <w:b w:val="0"/>
          <w:bCs w:val="0"/>
          <w:spacing w:val="-4"/>
          <w:sz w:val="32"/>
          <w:szCs w:val="32"/>
          <w:lang w:val="en-US" w:eastAsia="zh-CN"/>
        </w:rPr>
      </w:pPr>
      <w:r>
        <w:rPr>
          <w:rStyle w:val="25"/>
          <w:rFonts w:hint="eastAsia" w:ascii="KaiTi" w:hAnsi="KaiTi" w:eastAsia="KaiTi" w:cs="Times New Roman"/>
          <w:b w:val="0"/>
          <w:bCs w:val="0"/>
          <w:spacing w:val="-4"/>
          <w:sz w:val="32"/>
          <w:szCs w:val="32"/>
          <w:lang w:val="en-US" w:eastAsia="zh-CN"/>
        </w:rPr>
        <w:t>3.资金投入和使用情况</w:t>
      </w:r>
    </w:p>
    <w:p>
      <w:pPr>
        <w:ind w:firstLine="640" w:firstLineChars="200"/>
        <w:rPr>
          <w:rFonts w:ascii="FangSong" w:hAnsi="FangSong" w:eastAsia="FangSong" w:cs="FangSong"/>
          <w:bCs/>
          <w:sz w:val="32"/>
          <w:szCs w:val="32"/>
        </w:rPr>
      </w:pPr>
      <w:r>
        <w:rPr>
          <w:rFonts w:hint="eastAsia" w:ascii="FangSong" w:hAnsi="FangSong" w:eastAsia="FangSong" w:cs="FangSong"/>
          <w:bCs/>
          <w:sz w:val="32"/>
          <w:szCs w:val="32"/>
          <w:lang w:eastAsia="zh-CN"/>
        </w:rPr>
        <w:t>（</w:t>
      </w:r>
      <w:r>
        <w:rPr>
          <w:rFonts w:hint="eastAsia" w:ascii="FangSong" w:hAnsi="FangSong" w:eastAsia="FangSong" w:cs="FangSong"/>
          <w:bCs/>
          <w:sz w:val="32"/>
          <w:szCs w:val="32"/>
          <w:lang w:val="en-US" w:eastAsia="zh-CN"/>
        </w:rPr>
        <w:t>1</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支付造价咨询服务费共计338,779.13 元（明细表如下）。</w:t>
      </w:r>
    </w:p>
    <w:tbl>
      <w:tblPr>
        <w:tblStyle w:val="23"/>
        <w:tblW w:w="8626" w:type="dxa"/>
        <w:tblInd w:w="93" w:type="dxa"/>
        <w:tblLayout w:type="fixed"/>
        <w:tblCellMar>
          <w:top w:w="0" w:type="dxa"/>
          <w:left w:w="108" w:type="dxa"/>
          <w:bottom w:w="0" w:type="dxa"/>
          <w:right w:w="108" w:type="dxa"/>
        </w:tblCellMar>
      </w:tblPr>
      <w:tblGrid>
        <w:gridCol w:w="582"/>
        <w:gridCol w:w="2657"/>
        <w:gridCol w:w="3686"/>
        <w:gridCol w:w="1701"/>
      </w:tblGrid>
      <w:tr>
        <w:tblPrEx>
          <w:tblCellMar>
            <w:top w:w="0" w:type="dxa"/>
            <w:left w:w="108" w:type="dxa"/>
            <w:bottom w:w="0" w:type="dxa"/>
            <w:right w:w="108" w:type="dxa"/>
          </w:tblCellMar>
        </w:tblPrEx>
        <w:trPr>
          <w:trHeight w:val="900" w:hRule="atLeast"/>
        </w:trPr>
        <w:tc>
          <w:tcPr>
            <w:tcW w:w="582" w:type="dxa"/>
            <w:tcBorders>
              <w:top w:val="single" w:color="auto" w:sz="4" w:space="0"/>
              <w:left w:val="single" w:color="auto" w:sz="4" w:space="0"/>
              <w:bottom w:val="single" w:color="auto" w:sz="4" w:space="0"/>
              <w:right w:val="nil"/>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序号</w:t>
            </w:r>
          </w:p>
        </w:tc>
        <w:tc>
          <w:tcPr>
            <w:tcW w:w="265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支付单位 </w:t>
            </w:r>
          </w:p>
        </w:tc>
        <w:tc>
          <w:tcPr>
            <w:tcW w:w="3686" w:type="dxa"/>
            <w:tcBorders>
              <w:top w:val="single" w:color="auto" w:sz="4" w:space="0"/>
              <w:left w:val="nil"/>
              <w:bottom w:val="single" w:color="auto" w:sz="4" w:space="0"/>
              <w:right w:val="single" w:color="auto" w:sz="4" w:space="0"/>
            </w:tcBorders>
            <w:shd w:val="clear" w:color="auto" w:fill="auto"/>
            <w:vAlign w:val="center"/>
          </w:tcPr>
          <w:p>
            <w:pPr>
              <w:widowControl/>
              <w:tabs>
                <w:tab w:val="left" w:pos="5066"/>
                <w:tab w:val="left" w:pos="5294"/>
              </w:tabs>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项目名称 </w:t>
            </w:r>
          </w:p>
        </w:tc>
        <w:tc>
          <w:tcPr>
            <w:tcW w:w="1701"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支付金额 </w:t>
            </w:r>
          </w:p>
        </w:tc>
      </w:tr>
      <w:tr>
        <w:tblPrEx>
          <w:tblCellMar>
            <w:top w:w="0" w:type="dxa"/>
            <w:left w:w="108" w:type="dxa"/>
            <w:bottom w:w="0" w:type="dxa"/>
            <w:right w:w="108" w:type="dxa"/>
          </w:tblCellMar>
        </w:tblPrEx>
        <w:trPr>
          <w:trHeight w:val="90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1</w:t>
            </w:r>
          </w:p>
        </w:tc>
        <w:tc>
          <w:tcPr>
            <w:tcW w:w="2657"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新疆宏正工程造价咨询有限责任事务所</w:t>
            </w:r>
          </w:p>
        </w:tc>
        <w:tc>
          <w:tcPr>
            <w:tcW w:w="3686"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实训楼建设项目造价咨询服务费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65,487.55 </w:t>
            </w:r>
          </w:p>
        </w:tc>
      </w:tr>
      <w:tr>
        <w:tblPrEx>
          <w:tblCellMar>
            <w:top w:w="0" w:type="dxa"/>
            <w:left w:w="108" w:type="dxa"/>
            <w:bottom w:w="0" w:type="dxa"/>
            <w:right w:w="108" w:type="dxa"/>
          </w:tblCellMar>
        </w:tblPrEx>
        <w:trPr>
          <w:trHeight w:val="90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2</w:t>
            </w:r>
          </w:p>
        </w:tc>
        <w:tc>
          <w:tcPr>
            <w:tcW w:w="2657"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新疆宏正工程造价咨询有限责任事务所</w:t>
            </w:r>
          </w:p>
        </w:tc>
        <w:tc>
          <w:tcPr>
            <w:tcW w:w="3686"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一期项目造价咨询服务费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76,622.87 </w:t>
            </w:r>
          </w:p>
        </w:tc>
      </w:tr>
      <w:tr>
        <w:tblPrEx>
          <w:tblCellMar>
            <w:top w:w="0" w:type="dxa"/>
            <w:left w:w="108" w:type="dxa"/>
            <w:bottom w:w="0" w:type="dxa"/>
            <w:right w:w="108" w:type="dxa"/>
          </w:tblCellMar>
        </w:tblPrEx>
        <w:trPr>
          <w:trHeight w:val="90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3</w:t>
            </w:r>
          </w:p>
        </w:tc>
        <w:tc>
          <w:tcPr>
            <w:tcW w:w="2657"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新疆宏正工程造价咨询有限责任事务所</w:t>
            </w:r>
          </w:p>
        </w:tc>
        <w:tc>
          <w:tcPr>
            <w:tcW w:w="3686"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配套设施建设项目（第一标段）（管网）造价咨询服务费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2,292.68 </w:t>
            </w:r>
          </w:p>
        </w:tc>
      </w:tr>
      <w:tr>
        <w:tblPrEx>
          <w:tblCellMar>
            <w:top w:w="0" w:type="dxa"/>
            <w:left w:w="108" w:type="dxa"/>
            <w:bottom w:w="0" w:type="dxa"/>
            <w:right w:w="108" w:type="dxa"/>
          </w:tblCellMar>
        </w:tblPrEx>
        <w:trPr>
          <w:trHeight w:val="90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4</w:t>
            </w:r>
          </w:p>
        </w:tc>
        <w:tc>
          <w:tcPr>
            <w:tcW w:w="2657"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新疆宏正工程造价咨询有限责任事务所</w:t>
            </w:r>
          </w:p>
        </w:tc>
        <w:tc>
          <w:tcPr>
            <w:tcW w:w="3686"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附属设施建设项目第一标段（土方）造价咨询服务费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22,485.43 </w:t>
            </w:r>
          </w:p>
        </w:tc>
      </w:tr>
      <w:tr>
        <w:tblPrEx>
          <w:tblCellMar>
            <w:top w:w="0" w:type="dxa"/>
            <w:left w:w="108" w:type="dxa"/>
            <w:bottom w:w="0" w:type="dxa"/>
            <w:right w:w="108" w:type="dxa"/>
          </w:tblCellMar>
        </w:tblPrEx>
        <w:trPr>
          <w:trHeight w:val="90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5</w:t>
            </w:r>
          </w:p>
        </w:tc>
        <w:tc>
          <w:tcPr>
            <w:tcW w:w="2657"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新疆宏正工程造价咨询有限责任事务所</w:t>
            </w:r>
          </w:p>
        </w:tc>
        <w:tc>
          <w:tcPr>
            <w:tcW w:w="3686"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附属设施建设项目标段二（绿化）造价咨询服务费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40,270.98 </w:t>
            </w:r>
          </w:p>
        </w:tc>
      </w:tr>
      <w:tr>
        <w:tblPrEx>
          <w:tblCellMar>
            <w:top w:w="0" w:type="dxa"/>
            <w:left w:w="108" w:type="dxa"/>
            <w:bottom w:w="0" w:type="dxa"/>
            <w:right w:w="108" w:type="dxa"/>
          </w:tblCellMar>
        </w:tblPrEx>
        <w:trPr>
          <w:trHeight w:val="90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6</w:t>
            </w:r>
          </w:p>
        </w:tc>
        <w:tc>
          <w:tcPr>
            <w:tcW w:w="2657"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新疆宏正工程造价咨询有限责任事务所</w:t>
            </w:r>
          </w:p>
        </w:tc>
        <w:tc>
          <w:tcPr>
            <w:tcW w:w="3686"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附属设施建设项目（主大门、围墙）造价咨询服务费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7,419.32 </w:t>
            </w:r>
          </w:p>
        </w:tc>
      </w:tr>
      <w:tr>
        <w:tblPrEx>
          <w:tblCellMar>
            <w:top w:w="0" w:type="dxa"/>
            <w:left w:w="108" w:type="dxa"/>
            <w:bottom w:w="0" w:type="dxa"/>
            <w:right w:w="108" w:type="dxa"/>
          </w:tblCellMar>
        </w:tblPrEx>
        <w:trPr>
          <w:trHeight w:val="90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7</w:t>
            </w:r>
          </w:p>
        </w:tc>
        <w:tc>
          <w:tcPr>
            <w:tcW w:w="2657"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新疆宏正工程造价咨询有限责任事务所</w:t>
            </w:r>
          </w:p>
        </w:tc>
        <w:tc>
          <w:tcPr>
            <w:tcW w:w="3686"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实训楼消防工程项目造价咨询服务费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2,648.13 </w:t>
            </w:r>
          </w:p>
        </w:tc>
      </w:tr>
      <w:tr>
        <w:tblPrEx>
          <w:tblCellMar>
            <w:top w:w="0" w:type="dxa"/>
            <w:left w:w="108" w:type="dxa"/>
            <w:bottom w:w="0" w:type="dxa"/>
            <w:right w:w="108" w:type="dxa"/>
          </w:tblCellMar>
        </w:tblPrEx>
        <w:trPr>
          <w:trHeight w:val="90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8</w:t>
            </w:r>
          </w:p>
        </w:tc>
        <w:tc>
          <w:tcPr>
            <w:tcW w:w="2657"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新疆宏正工程造价咨询有限责任事务所</w:t>
            </w:r>
          </w:p>
        </w:tc>
        <w:tc>
          <w:tcPr>
            <w:tcW w:w="3686"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配套设施建设项目（第二标段）造价咨询服务费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24,917.17 </w:t>
            </w:r>
          </w:p>
        </w:tc>
      </w:tr>
      <w:tr>
        <w:tblPrEx>
          <w:tblCellMar>
            <w:top w:w="0" w:type="dxa"/>
            <w:left w:w="108" w:type="dxa"/>
            <w:bottom w:w="0" w:type="dxa"/>
            <w:right w:w="108" w:type="dxa"/>
          </w:tblCellMar>
        </w:tblPrEx>
        <w:trPr>
          <w:trHeight w:val="90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9</w:t>
            </w:r>
          </w:p>
        </w:tc>
        <w:tc>
          <w:tcPr>
            <w:tcW w:w="2657"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乌鲁木齐达峰工程造价咨询有限公司</w:t>
            </w:r>
          </w:p>
        </w:tc>
        <w:tc>
          <w:tcPr>
            <w:tcW w:w="3686"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教学楼及1-3#宿舍楼项目造价咨询服务费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91,856.00 </w:t>
            </w:r>
          </w:p>
        </w:tc>
      </w:tr>
      <w:tr>
        <w:tblPrEx>
          <w:tblCellMar>
            <w:top w:w="0" w:type="dxa"/>
            <w:left w:w="108" w:type="dxa"/>
            <w:bottom w:w="0" w:type="dxa"/>
            <w:right w:w="108" w:type="dxa"/>
          </w:tblCellMar>
        </w:tblPrEx>
        <w:trPr>
          <w:trHeight w:val="900" w:hRule="atLeast"/>
        </w:trPr>
        <w:tc>
          <w:tcPr>
            <w:tcW w:w="582" w:type="dxa"/>
            <w:tcBorders>
              <w:top w:val="nil"/>
              <w:left w:val="single" w:color="auto" w:sz="4" w:space="0"/>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10</w:t>
            </w:r>
          </w:p>
        </w:tc>
        <w:tc>
          <w:tcPr>
            <w:tcW w:w="2657"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乌鲁木齐达峰工程造价咨询有限公司</w:t>
            </w:r>
          </w:p>
        </w:tc>
        <w:tc>
          <w:tcPr>
            <w:tcW w:w="3686"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教学楼消防工程项目造价咨询服务费</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4,779.00 </w:t>
            </w:r>
          </w:p>
        </w:tc>
      </w:tr>
      <w:tr>
        <w:tblPrEx>
          <w:tblCellMar>
            <w:top w:w="0" w:type="dxa"/>
            <w:left w:w="108" w:type="dxa"/>
            <w:bottom w:w="0" w:type="dxa"/>
            <w:right w:w="108" w:type="dxa"/>
          </w:tblCellMar>
        </w:tblPrEx>
        <w:trPr>
          <w:trHeight w:val="519" w:hRule="atLeast"/>
        </w:trPr>
        <w:tc>
          <w:tcPr>
            <w:tcW w:w="6925" w:type="dxa"/>
            <w:gridSpan w:val="3"/>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合计</w:t>
            </w:r>
          </w:p>
        </w:tc>
        <w:tc>
          <w:tcPr>
            <w:tcW w:w="1701" w:type="dxa"/>
            <w:tcBorders>
              <w:top w:val="nil"/>
              <w:left w:val="nil"/>
              <w:bottom w:val="single" w:color="auto" w:sz="4" w:space="0"/>
              <w:right w:val="single" w:color="auto" w:sz="4" w:space="0"/>
            </w:tcBorders>
            <w:shd w:val="clear" w:color="auto" w:fill="auto"/>
            <w:vAlign w:val="center"/>
          </w:tcPr>
          <w:p>
            <w:pPr>
              <w:widowControl/>
              <w:jc w:val="center"/>
              <w:rPr>
                <w:rFonts w:ascii="FangSong" w:hAnsi="FangSong" w:eastAsia="FangSong" w:cs="SimSun"/>
                <w:kern w:val="0"/>
                <w:sz w:val="24"/>
                <w:szCs w:val="24"/>
              </w:rPr>
            </w:pPr>
            <w:r>
              <w:rPr>
                <w:rFonts w:hint="eastAsia" w:ascii="FangSong" w:hAnsi="FangSong" w:eastAsia="FangSong" w:cs="SimSun"/>
                <w:kern w:val="0"/>
                <w:sz w:val="24"/>
                <w:szCs w:val="24"/>
              </w:rPr>
              <w:t xml:space="preserve">    338,779.13 </w:t>
            </w:r>
          </w:p>
        </w:tc>
      </w:tr>
    </w:tbl>
    <w:p>
      <w:pPr>
        <w:numPr>
          <w:ilvl w:val="0"/>
          <w:numId w:val="0"/>
        </w:numPr>
        <w:tabs>
          <w:tab w:val="left" w:pos="567"/>
        </w:tabs>
        <w:rPr>
          <w:rFonts w:hint="eastAsia" w:ascii="FangSong" w:hAnsi="FangSong" w:eastAsia="FangSong" w:cs="FangSong"/>
          <w:bCs/>
          <w:sz w:val="32"/>
          <w:szCs w:val="32"/>
        </w:rPr>
      </w:pPr>
      <w:r>
        <w:rPr>
          <w:rFonts w:hint="eastAsia" w:ascii="FangSong" w:hAnsi="FangSong" w:eastAsia="FangSong" w:cs="FangSong"/>
          <w:bCs/>
          <w:sz w:val="32"/>
          <w:szCs w:val="32"/>
          <w:lang w:val="en-US" w:eastAsia="zh-CN"/>
        </w:rPr>
        <w:t xml:space="preserve">  </w:t>
      </w:r>
      <w:r>
        <w:rPr>
          <w:rFonts w:hint="eastAsia" w:ascii="FangSong" w:hAnsi="FangSong" w:eastAsia="FangSong" w:cs="FangSong"/>
          <w:bCs/>
          <w:sz w:val="32"/>
          <w:szCs w:val="32"/>
          <w:lang w:eastAsia="zh-CN"/>
        </w:rPr>
        <w:t>（</w:t>
      </w:r>
      <w:r>
        <w:rPr>
          <w:rFonts w:hint="eastAsia" w:ascii="FangSong" w:hAnsi="FangSong" w:eastAsia="FangSong" w:cs="FangSong"/>
          <w:bCs/>
          <w:sz w:val="32"/>
          <w:szCs w:val="32"/>
          <w:lang w:val="en-US" w:eastAsia="zh-CN"/>
        </w:rPr>
        <w:t>2</w:t>
      </w:r>
      <w:r>
        <w:rPr>
          <w:rFonts w:hint="eastAsia" w:ascii="FangSong" w:hAnsi="FangSong" w:eastAsia="FangSong" w:cs="FangSong"/>
          <w:bCs/>
          <w:sz w:val="32"/>
          <w:szCs w:val="32"/>
          <w:lang w:eastAsia="zh-CN"/>
        </w:rPr>
        <w:t>）</w:t>
      </w:r>
      <w:r>
        <w:rPr>
          <w:rFonts w:hint="eastAsia" w:ascii="FangSong" w:hAnsi="FangSong" w:eastAsia="FangSong" w:cs="FangSong"/>
          <w:bCs/>
          <w:sz w:val="32"/>
          <w:szCs w:val="32"/>
        </w:rPr>
        <w:t>支付</w:t>
      </w:r>
      <w:r>
        <w:rPr>
          <w:rFonts w:hint="eastAsia" w:ascii="FangSong" w:hAnsi="FangSong" w:eastAsia="FangSong" w:cs="FangSong"/>
          <w:sz w:val="32"/>
          <w:szCs w:val="32"/>
        </w:rPr>
        <w:t>湖北中进建设工程有限公司</w:t>
      </w:r>
      <w:r>
        <w:rPr>
          <w:rFonts w:hint="eastAsia" w:ascii="FangSong" w:hAnsi="FangSong" w:eastAsia="FangSong" w:cs="FangSong"/>
          <w:bCs/>
          <w:sz w:val="32"/>
          <w:szCs w:val="32"/>
        </w:rPr>
        <w:t>教学楼及1-3#宿舍楼项目工程款2,248,135.89 元</w:t>
      </w:r>
      <w:r>
        <w:rPr>
          <w:rFonts w:hint="eastAsia" w:ascii="FangSong" w:hAnsi="FangSong" w:eastAsia="FangSong" w:cs="FangSong"/>
          <w:bCs/>
          <w:sz w:val="32"/>
          <w:szCs w:val="32"/>
          <w:lang w:eastAsia="zh-CN"/>
        </w:rPr>
        <w:t>。</w:t>
      </w:r>
    </w:p>
    <w:p>
      <w:pPr>
        <w:numPr>
          <w:ilvl w:val="0"/>
          <w:numId w:val="0"/>
        </w:numPr>
        <w:tabs>
          <w:tab w:val="left" w:pos="567"/>
        </w:tabs>
        <w:rPr>
          <w:rFonts w:ascii="FangSong" w:hAnsi="FangSong" w:eastAsia="FangSong" w:cs="FangSong"/>
          <w:bCs/>
          <w:sz w:val="32"/>
          <w:szCs w:val="32"/>
        </w:rPr>
      </w:pPr>
      <w:r>
        <w:rPr>
          <w:rFonts w:hint="eastAsia" w:ascii="FangSong" w:hAnsi="FangSong" w:eastAsia="FangSong" w:cs="FangSong"/>
          <w:bCs/>
          <w:sz w:val="32"/>
          <w:szCs w:val="32"/>
          <w:lang w:val="en-US" w:eastAsia="zh-CN"/>
        </w:rPr>
        <w:t xml:space="preserve">  （3）</w:t>
      </w:r>
      <w:r>
        <w:rPr>
          <w:rFonts w:hint="eastAsia" w:ascii="FangSong" w:hAnsi="FangSong" w:eastAsia="FangSong" w:cs="FangSong"/>
          <w:bCs/>
          <w:sz w:val="32"/>
          <w:szCs w:val="32"/>
        </w:rPr>
        <w:t>支付新疆昌吉市政建设（集团）有限公司配套设施建设项目一标段（管网）工程款947,167.22 元。</w:t>
      </w:r>
    </w:p>
    <w:p>
      <w:pPr>
        <w:rPr>
          <w:rFonts w:hint="eastAsia" w:ascii="FangSong" w:hAnsi="FangSong" w:eastAsia="FangSong" w:cs="FangSong"/>
          <w:bCs/>
          <w:sz w:val="32"/>
          <w:szCs w:val="32"/>
        </w:rPr>
      </w:pPr>
      <w:r>
        <w:rPr>
          <w:rFonts w:hint="eastAsia" w:ascii="FangSong" w:hAnsi="FangSong" w:eastAsia="FangSong" w:cs="FangSong"/>
          <w:bCs/>
          <w:sz w:val="32"/>
          <w:szCs w:val="32"/>
          <w:lang w:val="en-US" w:eastAsia="zh-CN"/>
        </w:rPr>
        <w:t xml:space="preserve">  （4）</w:t>
      </w:r>
      <w:r>
        <w:rPr>
          <w:rFonts w:hint="eastAsia" w:ascii="FangSong" w:hAnsi="FangSong" w:eastAsia="FangSong" w:cs="FangSong"/>
          <w:bCs/>
          <w:sz w:val="32"/>
          <w:szCs w:val="32"/>
        </w:rPr>
        <w:t>2022年第三期支付湖北中进建设工程有限公司办公图书会议楼及食堂后勤楼工程款1,253,066.43元</w:t>
      </w:r>
      <w:r>
        <w:rPr>
          <w:rFonts w:hint="eastAsia" w:ascii="FangSong" w:hAnsi="FangSong" w:eastAsia="FangSong" w:cs="FangSong"/>
          <w:bCs/>
          <w:sz w:val="32"/>
          <w:szCs w:val="32"/>
          <w:lang w:eastAsia="zh-CN"/>
        </w:rPr>
        <w:t>。</w:t>
      </w:r>
    </w:p>
    <w:p>
      <w:pPr>
        <w:numPr>
          <w:ilvl w:val="0"/>
          <w:numId w:val="0"/>
        </w:numPr>
        <w:rPr>
          <w:rFonts w:hint="eastAsia" w:ascii="FangSong" w:hAnsi="FangSong" w:eastAsia="FangSong" w:cs="FangSong"/>
          <w:bCs/>
          <w:sz w:val="32"/>
          <w:szCs w:val="32"/>
        </w:rPr>
      </w:pPr>
      <w:r>
        <w:rPr>
          <w:rFonts w:hint="eastAsia" w:ascii="FangSong" w:hAnsi="FangSong" w:eastAsia="FangSong" w:cs="FangSong"/>
          <w:bCs/>
          <w:sz w:val="32"/>
          <w:szCs w:val="32"/>
          <w:lang w:val="en-US" w:eastAsia="zh-CN"/>
        </w:rPr>
        <w:t xml:space="preserve">   （5）</w:t>
      </w:r>
      <w:r>
        <w:rPr>
          <w:rFonts w:hint="eastAsia" w:ascii="FangSong" w:hAnsi="FangSong" w:eastAsia="FangSong" w:cs="FangSong"/>
          <w:bCs/>
          <w:sz w:val="32"/>
          <w:szCs w:val="32"/>
        </w:rPr>
        <w:t>支付中建新疆建工（集团）有限公司实训楼项目工程款479,743.43元</w:t>
      </w:r>
      <w:r>
        <w:rPr>
          <w:rFonts w:hint="eastAsia" w:ascii="FangSong" w:hAnsi="FangSong" w:eastAsia="FangSong" w:cs="FangSong"/>
          <w:bCs/>
          <w:sz w:val="32"/>
          <w:szCs w:val="32"/>
          <w:lang w:eastAsia="zh-CN"/>
        </w:rPr>
        <w:t>。</w:t>
      </w:r>
    </w:p>
    <w:p>
      <w:pPr>
        <w:numPr>
          <w:ilvl w:val="0"/>
          <w:numId w:val="0"/>
        </w:numPr>
        <w:rPr>
          <w:rFonts w:ascii="Calibri" w:hAnsi="Calibri" w:cs="Times New Roman"/>
        </w:rPr>
      </w:pPr>
      <w:r>
        <w:rPr>
          <w:rFonts w:hint="eastAsia" w:ascii="FangSong" w:hAnsi="FangSong" w:eastAsia="FangSong" w:cs="FangSong"/>
          <w:bCs/>
          <w:sz w:val="32"/>
          <w:szCs w:val="32"/>
          <w:lang w:val="en-US" w:eastAsia="zh-CN"/>
        </w:rPr>
        <w:t xml:space="preserve">   （6）</w:t>
      </w:r>
      <w:r>
        <w:rPr>
          <w:rFonts w:hint="eastAsia" w:ascii="FangSong" w:hAnsi="FangSong" w:eastAsia="FangSong" w:cs="FangSong"/>
          <w:bCs/>
          <w:sz w:val="32"/>
          <w:szCs w:val="32"/>
        </w:rPr>
        <w:t>支付北京友安盛防火技术有限公司实训楼消防栓及火灾报警系统的修建安装项目工程款135,534.97元。</w:t>
      </w:r>
    </w:p>
    <w:p>
      <w:pPr>
        <w:widowControl w:val="0"/>
        <w:tabs>
          <w:tab w:val="left" w:pos="6372"/>
        </w:tabs>
        <w:adjustRightInd w:val="0"/>
        <w:snapToGrid w:val="0"/>
        <w:spacing w:line="579" w:lineRule="exact"/>
        <w:ind w:firstLine="480" w:firstLineChars="150"/>
        <w:jc w:val="both"/>
        <w:rPr>
          <w:rFonts w:ascii="仿宋_GB2312" w:hAnsi="Courier New" w:eastAsia="仿宋_GB2312" w:cs="Times New Roman"/>
          <w:kern w:val="2"/>
          <w:sz w:val="32"/>
          <w:szCs w:val="32"/>
          <w:lang w:val="en-US" w:eastAsia="zh-CN" w:bidi="ar-SA"/>
        </w:rPr>
      </w:pPr>
      <w:r>
        <w:rPr>
          <w:rFonts w:hint="eastAsia" w:ascii="仿宋_GB2312" w:hAnsi="Courier New" w:eastAsia="仿宋_GB2312" w:cs="Times New Roman"/>
          <w:kern w:val="2"/>
          <w:sz w:val="32"/>
          <w:szCs w:val="32"/>
          <w:lang w:val="en-US" w:eastAsia="zh-CN" w:bidi="ar-SA"/>
        </w:rPr>
        <w:t>自治区财政厅2022年2月拨付残疾人事业发展补助资金540.25万元，2022年截至12月底，</w:t>
      </w:r>
      <w:r>
        <w:rPr>
          <w:rFonts w:hint="eastAsia" w:ascii="仿宋_GB2312" w:hAnsi="仿宋_GB2312" w:eastAsia="仿宋_GB2312" w:cs="仿宋_GB2312"/>
          <w:kern w:val="2"/>
          <w:sz w:val="32"/>
          <w:szCs w:val="32"/>
          <w:lang w:val="en-US" w:eastAsia="zh-CN" w:bidi="ar-SA"/>
        </w:rPr>
        <w:t>该项目实际支付</w:t>
      </w:r>
      <w:r>
        <w:rPr>
          <w:rFonts w:hint="eastAsia" w:ascii="仿宋_GB2312" w:hAnsi="Courier New" w:eastAsia="仿宋_GB2312" w:cs="Times New Roman"/>
          <w:kern w:val="2"/>
          <w:sz w:val="32"/>
          <w:szCs w:val="32"/>
          <w:lang w:val="en-US" w:eastAsia="zh-CN" w:bidi="ar-SA"/>
        </w:rPr>
        <w:t>540.25</w:t>
      </w:r>
      <w:r>
        <w:rPr>
          <w:rFonts w:hint="eastAsia" w:ascii="仿宋_GB2312" w:hAnsi="仿宋_GB2312" w:eastAsia="仿宋_GB2312" w:cs="仿宋_GB2312"/>
          <w:kern w:val="2"/>
          <w:sz w:val="32"/>
          <w:szCs w:val="32"/>
          <w:lang w:val="en-US" w:eastAsia="zh-CN" w:bidi="ar-SA"/>
        </w:rPr>
        <w:t>万元，支付完成率100%。</w:t>
      </w:r>
    </w:p>
    <w:p>
      <w:pPr>
        <w:widowControl/>
        <w:numPr>
          <w:ilvl w:val="0"/>
          <w:numId w:val="1"/>
        </w:numPr>
        <w:shd w:val="clear" w:color="auto" w:fill="FFFFFF"/>
        <w:jc w:val="left"/>
        <w:rPr>
          <w:rStyle w:val="25"/>
          <w:rFonts w:hint="eastAsia" w:asciiTheme="minorEastAsia" w:hAnsiTheme="minorEastAsia" w:eastAsiaTheme="minorEastAsia"/>
          <w:spacing w:val="-4"/>
          <w:sz w:val="32"/>
          <w:szCs w:val="32"/>
        </w:rPr>
      </w:pPr>
      <w:r>
        <w:rPr>
          <w:rStyle w:val="25"/>
          <w:rFonts w:hint="eastAsia" w:asciiTheme="minorEastAsia" w:hAnsiTheme="minorEastAsia" w:eastAsiaTheme="minorEastAsia"/>
          <w:spacing w:val="-4"/>
          <w:sz w:val="32"/>
          <w:szCs w:val="32"/>
        </w:rPr>
        <w:t>项目绩效目标。</w:t>
      </w:r>
    </w:p>
    <w:p>
      <w:pPr>
        <w:pStyle w:val="20"/>
        <w:spacing w:line="600" w:lineRule="exact"/>
        <w:ind w:firstLine="640" w:firstLineChars="200"/>
        <w:jc w:val="both"/>
        <w:rPr>
          <w:rFonts w:hint="eastAsia" w:ascii="FangSong" w:hAnsi="FangSong" w:eastAsia="FangSong" w:cs="FangSong"/>
          <w:bCs/>
          <w:kern w:val="2"/>
          <w:sz w:val="32"/>
          <w:szCs w:val="32"/>
          <w:lang w:val="en-US" w:eastAsia="zh-CN" w:bidi="ar-SA"/>
        </w:rPr>
      </w:pPr>
      <w:r>
        <w:rPr>
          <w:rFonts w:hint="eastAsia" w:ascii="仿宋_GB2312" w:eastAsia="仿宋_GB2312"/>
          <w:sz w:val="32"/>
          <w:szCs w:val="32"/>
          <w:lang w:val="en-US" w:eastAsia="zh-CN"/>
        </w:rPr>
        <w:t>1.</w:t>
      </w:r>
      <w:r>
        <w:rPr>
          <w:rFonts w:hint="eastAsia" w:ascii="FangSong" w:hAnsi="FangSong" w:eastAsia="FangSong" w:cs="FangSong"/>
          <w:bCs/>
          <w:kern w:val="2"/>
          <w:sz w:val="32"/>
          <w:szCs w:val="32"/>
          <w:lang w:val="en-US" w:eastAsia="zh-CN" w:bidi="ar-SA"/>
        </w:rPr>
        <w:t>总体目标：加快发展以职业教育为主的残疾人教育，营造学校人文的校园环境及校园精神、继续改善特殊教育办学条件。</w:t>
      </w:r>
    </w:p>
    <w:p>
      <w:pPr>
        <w:pStyle w:val="20"/>
        <w:spacing w:line="600" w:lineRule="exact"/>
        <w:ind w:firstLine="640" w:firstLineChars="200"/>
        <w:jc w:val="both"/>
        <w:rPr>
          <w:rFonts w:ascii="仿宋_GB2312" w:eastAsia="仿宋_GB2312"/>
          <w:sz w:val="32"/>
          <w:szCs w:val="32"/>
          <w:highlight w:val="green"/>
        </w:rPr>
      </w:pPr>
      <w:r>
        <w:rPr>
          <w:rFonts w:hint="eastAsia" w:ascii="FangSong" w:hAnsi="FangSong" w:eastAsia="FangSong" w:cs="FangSong"/>
          <w:bCs/>
          <w:kern w:val="2"/>
          <w:sz w:val="32"/>
          <w:szCs w:val="32"/>
          <w:lang w:val="en-US" w:eastAsia="zh-CN" w:bidi="ar-SA"/>
        </w:rPr>
        <w:t>2.阶段性目标：加强残疾人中高等特殊教育职业院校建设，加强学校建设，提高教育教学质量，积极创造条件申办自治区残疾人高等职业教育学院。</w:t>
      </w:r>
    </w:p>
    <w:p>
      <w:pPr>
        <w:spacing w:line="540" w:lineRule="exact"/>
        <w:ind w:firstLine="640"/>
        <w:rPr>
          <w:rStyle w:val="25"/>
          <w:rFonts w:ascii="SimHei" w:hAnsi="SimHei" w:eastAsia="SimHei"/>
          <w:b w:val="0"/>
          <w:spacing w:val="-4"/>
          <w:sz w:val="32"/>
          <w:szCs w:val="32"/>
        </w:rPr>
      </w:pPr>
      <w:r>
        <w:rPr>
          <w:rStyle w:val="25"/>
          <w:rFonts w:hint="eastAsia" w:ascii="SimHei" w:hAnsi="SimHei" w:eastAsia="SimHei"/>
          <w:b w:val="0"/>
          <w:spacing w:val="-4"/>
          <w:sz w:val="32"/>
          <w:szCs w:val="32"/>
        </w:rPr>
        <w:t>二、</w:t>
      </w:r>
      <w:r>
        <w:rPr>
          <w:rStyle w:val="25"/>
          <w:rFonts w:hint="eastAsia"/>
          <w:spacing w:val="-4"/>
          <w:sz w:val="32"/>
          <w:szCs w:val="32"/>
        </w:rPr>
        <w:t>绩效评价工作开展情况</w:t>
      </w:r>
    </w:p>
    <w:p>
      <w:pPr>
        <w:spacing w:line="540" w:lineRule="exact"/>
        <w:ind w:firstLine="567" w:firstLineChars="181"/>
        <w:rPr>
          <w:rStyle w:val="25"/>
          <w:rFonts w:ascii="KaiTi" w:hAnsi="KaiTi" w:eastAsia="KaiTi"/>
          <w:spacing w:val="-4"/>
          <w:sz w:val="32"/>
          <w:szCs w:val="32"/>
        </w:rPr>
      </w:pPr>
      <w:r>
        <w:rPr>
          <w:rStyle w:val="25"/>
          <w:rFonts w:hint="eastAsia" w:ascii="KaiTi" w:hAnsi="KaiTi" w:eastAsia="KaiTi"/>
          <w:spacing w:val="-4"/>
          <w:sz w:val="32"/>
          <w:szCs w:val="32"/>
        </w:rPr>
        <w:t>（一）绩效评价目的、对象和范围。</w:t>
      </w:r>
    </w:p>
    <w:p>
      <w:pPr>
        <w:spacing w:line="540" w:lineRule="exact"/>
        <w:ind w:firstLine="579" w:firstLineChars="181"/>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1.绩效评价目的：以绩效目标为依据，从决策、产出、管理、效果四个维度，对新疆残疾人职业中专学校残疾人事业发展补助资金项目经费使用的经济性、效率性、效益性进行综合评定，提高财政资金配置效率和使用效益。通过绩效评价总结项目在决策、执行等方面的经验，查找存在的不足，深入分析原因，为项目在以后年度的开展提供可行性参考建议。</w:t>
      </w:r>
    </w:p>
    <w:p>
      <w:pPr>
        <w:spacing w:line="540" w:lineRule="exact"/>
        <w:ind w:firstLine="579" w:firstLineChars="181"/>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2.评价对象：新疆残疾人职业中专学校2022年自治区残疾人事业发展补助资金540.25万元的使用情况。</w:t>
      </w:r>
    </w:p>
    <w:p>
      <w:pPr>
        <w:spacing w:line="540" w:lineRule="exact"/>
        <w:ind w:firstLine="579" w:firstLineChars="181"/>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3.评价范围：2022年自治区残疾人事业发展补助资金项目的预算编制及执行情况、财务管理状况以及为加强管理制定的相关制度、采取的措施等方面进行分析，全面了解项目资金的使用效率和效果，项目管理的过程是否规范、是否实现了预期绩效目标。</w:t>
      </w:r>
    </w:p>
    <w:p>
      <w:pPr>
        <w:pStyle w:val="13"/>
        <w:ind w:firstLine="640"/>
        <w:rPr>
          <w:rFonts w:hint="eastAsia" w:ascii="FangSong" w:hAnsi="FangSong" w:eastAsia="FangSong" w:cs="FangSong"/>
          <w:sz w:val="32"/>
          <w:szCs w:val="32"/>
        </w:rPr>
      </w:pPr>
      <w:r>
        <w:rPr>
          <w:rFonts w:hint="eastAsia" w:ascii="FangSong" w:hAnsi="FangSong" w:eastAsia="FangSong" w:cs="FangSong"/>
          <w:sz w:val="32"/>
          <w:szCs w:val="32"/>
        </w:rPr>
        <w:t>（二）绩效评价原则、评价指标体系（附表说明）、评价方法、评价标准等。</w:t>
      </w:r>
    </w:p>
    <w:p>
      <w:pPr>
        <w:pStyle w:val="13"/>
        <w:ind w:firstLine="640"/>
        <w:rPr>
          <w:rFonts w:ascii="FangSong" w:hAnsi="FangSong" w:eastAsia="FangSong" w:cs="FangSong"/>
          <w:sz w:val="32"/>
          <w:szCs w:val="32"/>
          <w:highlight w:val="none"/>
        </w:rPr>
      </w:pPr>
      <w:r>
        <w:rPr>
          <w:rFonts w:hint="eastAsia" w:ascii="FangSong" w:hAnsi="FangSong" w:eastAsia="FangSong" w:cs="FangSong"/>
          <w:sz w:val="32"/>
          <w:szCs w:val="32"/>
        </w:rPr>
        <w:t>1.绩效评价原则：</w:t>
      </w:r>
      <w:r>
        <w:rPr>
          <w:rFonts w:hint="eastAsia" w:ascii="FangSong" w:hAnsi="FangSong" w:eastAsia="FangSong" w:cs="FangSong"/>
          <w:sz w:val="32"/>
          <w:szCs w:val="32"/>
          <w:highlight w:val="none"/>
        </w:rPr>
        <w:t>科学公正、统筹兼顾、激励约束、公开透明。</w:t>
      </w:r>
    </w:p>
    <w:p>
      <w:pPr>
        <w:pStyle w:val="13"/>
        <w:ind w:firstLine="640"/>
        <w:rPr>
          <w:rFonts w:ascii="FangSong" w:hAnsi="FangSong" w:eastAsia="FangSong" w:cs="FangSong"/>
          <w:sz w:val="32"/>
          <w:szCs w:val="32"/>
          <w:highlight w:val="none"/>
        </w:rPr>
      </w:pPr>
      <w:r>
        <w:rPr>
          <w:rFonts w:hint="eastAsia" w:ascii="FangSong" w:hAnsi="FangSong" w:eastAsia="FangSong" w:cs="FangSong"/>
          <w:sz w:val="32"/>
          <w:szCs w:val="32"/>
        </w:rPr>
        <w:t>2.评价指标体系：</w:t>
      </w:r>
      <w:r>
        <w:rPr>
          <w:rFonts w:hint="eastAsia" w:ascii="FangSong" w:hAnsi="FangSong" w:eastAsia="FangSong" w:cs="FangSong"/>
          <w:sz w:val="32"/>
          <w:szCs w:val="32"/>
          <w:highlight w:val="none"/>
        </w:rPr>
        <w:t>本次评价指标体系主要依据《财政部关于项目支出绩效评价管理办法的通知》（财预﹝2020﹞10号），</w:t>
      </w:r>
      <w:r>
        <w:rPr>
          <w:rFonts w:hint="eastAsia" w:ascii="FangSong" w:hAnsi="FangSong" w:eastAsia="FangSong" w:cs="FangSong"/>
          <w:color w:val="000000" w:themeColor="text1"/>
          <w:sz w:val="32"/>
          <w:szCs w:val="32"/>
          <w:highlight w:val="none"/>
          <w14:textFill>
            <w14:solidFill>
              <w14:schemeClr w14:val="tx1"/>
            </w14:solidFill>
          </w14:textFill>
        </w:rPr>
        <w:t>该通知整体框架下设决策与过程</w:t>
      </w:r>
      <w:r>
        <w:rPr>
          <w:rFonts w:hint="eastAsia" w:ascii="FangSong" w:hAnsi="FangSong" w:eastAsia="FangSong" w:cs="FangSong"/>
          <w:color w:val="000000" w:themeColor="text1"/>
          <w:sz w:val="32"/>
          <w:szCs w:val="32"/>
          <w:highlight w:val="none"/>
          <w:lang w:val="en-US" w:eastAsia="zh-CN"/>
          <w14:textFill>
            <w14:solidFill>
              <w14:schemeClr w14:val="tx1"/>
            </w14:solidFill>
          </w14:textFill>
        </w:rPr>
        <w:t>3</w:t>
      </w:r>
      <w:r>
        <w:rPr>
          <w:rFonts w:hint="eastAsia" w:ascii="FangSong" w:hAnsi="FangSong" w:eastAsia="FangSong" w:cs="FangSong"/>
          <w:color w:val="000000" w:themeColor="text1"/>
          <w:sz w:val="32"/>
          <w:szCs w:val="32"/>
          <w:highlight w:val="none"/>
          <w14:textFill>
            <w14:solidFill>
              <w14:schemeClr w14:val="tx1"/>
            </w14:solidFill>
          </w14:textFill>
        </w:rPr>
        <w:t>个一级指标，其中项目决策下设项目立项、绩效目标、资金投入3个二级指标；过程下设资金管理和组织实施2个二级指标。</w:t>
      </w:r>
      <w:r>
        <w:rPr>
          <w:rFonts w:hint="eastAsia" w:ascii="FangSong" w:hAnsi="FangSong" w:eastAsia="FangSong" w:cs="FangSong"/>
          <w:sz w:val="32"/>
          <w:szCs w:val="32"/>
          <w:highlight w:val="none"/>
        </w:rPr>
        <w:t>个性指标下设产出</w:t>
      </w:r>
      <w:r>
        <w:rPr>
          <w:rFonts w:hint="eastAsia" w:ascii="FangSong" w:hAnsi="FangSong" w:eastAsia="FangSong" w:cs="FangSong"/>
          <w:sz w:val="32"/>
          <w:szCs w:val="32"/>
          <w:highlight w:val="none"/>
          <w:lang w:eastAsia="zh-CN"/>
        </w:rPr>
        <w:t>、</w:t>
      </w:r>
      <w:r>
        <w:rPr>
          <w:rFonts w:hint="eastAsia" w:ascii="FangSong" w:hAnsi="FangSong" w:eastAsia="FangSong" w:cs="FangSong"/>
          <w:sz w:val="32"/>
          <w:szCs w:val="32"/>
          <w:highlight w:val="none"/>
        </w:rPr>
        <w:t>效益</w:t>
      </w:r>
      <w:r>
        <w:rPr>
          <w:rFonts w:hint="eastAsia" w:ascii="FangSong" w:hAnsi="FangSong" w:eastAsia="FangSong" w:cs="FangSong"/>
          <w:sz w:val="32"/>
          <w:szCs w:val="32"/>
          <w:highlight w:val="none"/>
          <w:lang w:eastAsia="zh-CN"/>
        </w:rPr>
        <w:t>和满意度</w:t>
      </w:r>
      <w:r>
        <w:rPr>
          <w:rFonts w:hint="eastAsia" w:ascii="FangSong" w:hAnsi="FangSong" w:eastAsia="FangSong" w:cs="FangSong"/>
          <w:sz w:val="32"/>
          <w:szCs w:val="32"/>
          <w:highlight w:val="none"/>
          <w:lang w:val="en-US" w:eastAsia="zh-CN"/>
        </w:rPr>
        <w:t>3</w:t>
      </w:r>
      <w:r>
        <w:rPr>
          <w:rFonts w:hint="eastAsia" w:ascii="FangSong" w:hAnsi="FangSong" w:eastAsia="FangSong" w:cs="FangSong"/>
          <w:sz w:val="32"/>
          <w:szCs w:val="32"/>
          <w:highlight w:val="none"/>
        </w:rPr>
        <w:t>个一级指标，其中产出下设产出数量、产出质量、产出时效、产出成本4个二级指标，效益下设项目效益</w:t>
      </w:r>
      <w:r>
        <w:rPr>
          <w:rFonts w:hint="eastAsia" w:ascii="FangSong" w:hAnsi="FangSong" w:eastAsia="FangSong" w:cs="FangSong"/>
          <w:sz w:val="32"/>
          <w:szCs w:val="32"/>
          <w:highlight w:val="none"/>
          <w:lang w:eastAsia="zh-CN"/>
        </w:rPr>
        <w:t>和可持续影响</w:t>
      </w:r>
      <w:r>
        <w:rPr>
          <w:rFonts w:hint="eastAsia" w:ascii="FangSong" w:hAnsi="FangSong" w:eastAsia="FangSong" w:cs="FangSong"/>
          <w:sz w:val="32"/>
          <w:szCs w:val="32"/>
          <w:highlight w:val="none"/>
          <w:lang w:val="en-US" w:eastAsia="zh-CN"/>
        </w:rPr>
        <w:t>2</w:t>
      </w:r>
      <w:r>
        <w:rPr>
          <w:rFonts w:hint="eastAsia" w:ascii="FangSong" w:hAnsi="FangSong" w:eastAsia="FangSong" w:cs="FangSong"/>
          <w:sz w:val="32"/>
          <w:szCs w:val="32"/>
          <w:highlight w:val="none"/>
        </w:rPr>
        <w:t>个二级指标</w:t>
      </w:r>
      <w:r>
        <w:rPr>
          <w:rFonts w:hint="eastAsia" w:ascii="FangSong" w:hAnsi="FangSong" w:eastAsia="FangSong" w:cs="FangSong"/>
          <w:sz w:val="32"/>
          <w:szCs w:val="32"/>
          <w:highlight w:val="none"/>
          <w:lang w:eastAsia="zh-CN"/>
        </w:rPr>
        <w:t>，满意度下设</w:t>
      </w:r>
      <w:r>
        <w:rPr>
          <w:rFonts w:hint="eastAsia" w:ascii="FangSong" w:hAnsi="FangSong" w:eastAsia="FangSong" w:cs="FangSong"/>
          <w:sz w:val="32"/>
          <w:szCs w:val="32"/>
          <w:highlight w:val="none"/>
          <w:lang w:val="en-US" w:eastAsia="zh-CN"/>
        </w:rPr>
        <w:t>1个二级指标</w:t>
      </w:r>
      <w:r>
        <w:rPr>
          <w:rFonts w:hint="eastAsia" w:ascii="FangSong" w:hAnsi="FangSong" w:eastAsia="FangSong" w:cs="FangSong"/>
          <w:sz w:val="32"/>
          <w:szCs w:val="32"/>
          <w:highlight w:val="none"/>
        </w:rPr>
        <w:t>。项目绩效评价指标体系详见下表：</w:t>
      </w:r>
    </w:p>
    <w:p>
      <w:pPr>
        <w:pStyle w:val="13"/>
        <w:ind w:firstLine="640"/>
        <w:rPr>
          <w:rFonts w:ascii="FangSong" w:hAnsi="FangSong" w:eastAsia="FangSong" w:cs="FangSong"/>
          <w:sz w:val="32"/>
          <w:szCs w:val="32"/>
        </w:rPr>
      </w:pPr>
      <w:r>
        <w:rPr>
          <w:rFonts w:hint="eastAsia" w:ascii="FangSong" w:hAnsi="FangSong" w:eastAsia="FangSong" w:cs="FangSong"/>
          <w:sz w:val="32"/>
          <w:szCs w:val="32"/>
        </w:rPr>
        <w:t>3.评价方法：绩效评价方法主要包括成本效益分析法、比较法、因素分析法、最低成本法、公众评判法、标杆管理法等。针对本项目，在评价过程中，主要采用了因素分析法、成本效益分析法等。</w:t>
      </w:r>
    </w:p>
    <w:p>
      <w:pPr>
        <w:pStyle w:val="13"/>
        <w:ind w:firstLine="640"/>
        <w:rPr>
          <w:rFonts w:ascii="FangSong" w:hAnsi="FangSong" w:eastAsia="FangSong" w:cs="FangSong"/>
          <w:sz w:val="32"/>
          <w:szCs w:val="32"/>
        </w:rPr>
      </w:pPr>
      <w:r>
        <w:rPr>
          <w:rFonts w:hint="eastAsia" w:ascii="FangSong" w:hAnsi="FangSong" w:eastAsia="FangSong" w:cs="FangSong"/>
          <w:sz w:val="32"/>
          <w:szCs w:val="32"/>
        </w:rPr>
        <w:t>4.评价标准：绩效评价标准通常包括计划标准、行业标准、历史标准等，用于对绩效指标完成情况进行比较。本次评价主要采用了计划标准和行业标准。</w:t>
      </w:r>
    </w:p>
    <w:tbl>
      <w:tblPr>
        <w:tblStyle w:val="23"/>
        <w:tblW w:w="8827"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373"/>
        <w:gridCol w:w="1011"/>
        <w:gridCol w:w="1344"/>
        <w:gridCol w:w="4184"/>
        <w:gridCol w:w="91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1373"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一级指标</w:t>
            </w:r>
          </w:p>
        </w:tc>
        <w:tc>
          <w:tcPr>
            <w:tcW w:w="1011"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二级指标</w:t>
            </w:r>
          </w:p>
        </w:tc>
        <w:tc>
          <w:tcPr>
            <w:tcW w:w="1344"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三级指标</w:t>
            </w:r>
          </w:p>
        </w:tc>
        <w:tc>
          <w:tcPr>
            <w:tcW w:w="4184" w:type="dxa"/>
            <w:tcBorders>
              <w:tl2br w:val="nil"/>
              <w:tr2bl w:val="nil"/>
            </w:tcBorders>
            <w:shd w:val="clear" w:color="auto" w:fill="FFFFFF"/>
            <w:tcMar>
              <w:top w:w="10" w:type="dxa"/>
              <w:left w:w="10" w:type="dxa"/>
              <w:right w:w="10" w:type="dxa"/>
            </w:tcMar>
            <w:vAlign w:val="center"/>
          </w:tcPr>
          <w:p>
            <w:pPr>
              <w:spacing w:line="560" w:lineRule="exact"/>
              <w:ind w:firstLine="464" w:firstLineChars="200"/>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指标解释</w:t>
            </w:r>
          </w:p>
        </w:tc>
        <w:tc>
          <w:tcPr>
            <w:tcW w:w="915" w:type="dxa"/>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分值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restart"/>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决策</w:t>
            </w:r>
          </w:p>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（20分）</w:t>
            </w:r>
          </w:p>
        </w:tc>
        <w:tc>
          <w:tcPr>
            <w:tcW w:w="1011"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项目立项（10分）　</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立项依据充分性</w:t>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项目立项是否符合法律法规、相关政策、发展规划以及部门职责，用以反映和考核项目立项依据情况。</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立项程序规范性</w:t>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项目申请、设立过程是否符合相关要求，用以反映和考核项目立项的规范情况。</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绩效目标</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（5分）　　</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绩效目标合理性</w:t>
            </w:r>
            <w:r>
              <w:rPr>
                <w:rFonts w:hint="eastAsia" w:ascii="仿宋_GB2312" w:hAnsi="仿宋_GB2312" w:eastAsia="仿宋_GB2312" w:cs="仿宋_GB2312"/>
                <w:spacing w:val="-4"/>
                <w:sz w:val="24"/>
              </w:rPr>
              <w:br w:type="textWrapping"/>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项目所设定的绩效目标是否依据充分，是否符合客观实际，用以反映和考核项目绩效目标与项目实施的相符情况。</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绩效指标明确性</w:t>
            </w:r>
            <w:r>
              <w:rPr>
                <w:rFonts w:hint="eastAsia" w:ascii="仿宋_GB2312" w:hAnsi="仿宋_GB2312" w:eastAsia="仿宋_GB2312" w:cs="仿宋_GB2312"/>
                <w:spacing w:val="-4"/>
                <w:sz w:val="24"/>
              </w:rPr>
              <w:br w:type="textWrapping"/>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依据绩效目标设定的绩效指标是否清晰、细化、可衡量等，用以反映和考核项目绩效目标的明细化情况。</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资金投入</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（5分）　　</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预算编制科学性</w:t>
            </w:r>
            <w:r>
              <w:rPr>
                <w:rFonts w:hint="eastAsia" w:ascii="仿宋_GB2312" w:hAnsi="仿宋_GB2312" w:eastAsia="仿宋_GB2312" w:cs="仿宋_GB2312"/>
                <w:spacing w:val="-4"/>
                <w:sz w:val="24"/>
              </w:rPr>
              <w:br w:type="textWrapping"/>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项目预算编制是否经过科学论证、有明确标准，资金额度与年度目标是否相适应，用以反映和考核项目预算编制的科学性、合理性情况。</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资金分配合理性</w:t>
            </w:r>
            <w:r>
              <w:rPr>
                <w:rFonts w:hint="eastAsia" w:ascii="仿宋_GB2312" w:hAnsi="仿宋_GB2312" w:eastAsia="仿宋_GB2312" w:cs="仿宋_GB2312"/>
                <w:spacing w:val="-4"/>
                <w:sz w:val="24"/>
              </w:rPr>
              <w:br w:type="textWrapping"/>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项目预算资金分配是否有测算依据，与补助单位或地方实际是否相适应，用以反映和考核项目预算资金分配的科学性、合理性情况。</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641"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34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rPr>
                <w:rFonts w:ascii="仿宋_GB2312" w:hAnsi="仿宋_GB2312" w:eastAsia="仿宋_GB2312" w:cs="仿宋_GB2312"/>
                <w:spacing w:val="-4"/>
                <w:sz w:val="24"/>
              </w:rPr>
            </w:pPr>
          </w:p>
          <w:p>
            <w:pPr>
              <w:spacing w:line="560" w:lineRule="exact"/>
              <w:ind w:firstLine="464" w:firstLineChars="200"/>
              <w:rPr>
                <w:rFonts w:ascii="仿宋_GB2312" w:hAnsi="仿宋_GB2312" w:eastAsia="仿宋_GB2312" w:cs="仿宋_GB2312"/>
                <w:spacing w:val="-4"/>
                <w:sz w:val="24"/>
              </w:rPr>
            </w:pPr>
            <w:r>
              <w:rPr>
                <w:rFonts w:hint="eastAsia" w:ascii="仿宋_GB2312" w:hAnsi="仿宋_GB2312" w:eastAsia="仿宋_GB2312" w:cs="仿宋_GB2312"/>
                <w:spacing w:val="-4"/>
                <w:sz w:val="24"/>
              </w:rPr>
              <w:t>过程</w:t>
            </w:r>
          </w:p>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（20分）</w:t>
            </w:r>
          </w:p>
        </w:tc>
        <w:tc>
          <w:tcPr>
            <w:tcW w:w="1011"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p>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资金管理（8分）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资金到位率</w:t>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实际到位资金与预算资金的比率，用以反映和考核资金落实情况对项目实施的总体保障程度。</w:t>
            </w:r>
          </w:p>
          <w:p>
            <w:pPr>
              <w:pStyle w:val="20"/>
            </w:pP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p>
          <w:p>
            <w:pPr>
              <w:spacing w:line="56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预算执行率</w:t>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项目预算资金是否按照计划执行，用以反映或考核项目预算执行情况。</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资金管理（4分）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资金使用合规性</w:t>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项目资金使用是否符合相关的财务管理制度规定，用以反映和考核项目资金的规范运行情况。</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组织实施</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（8分）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管理制度健全性</w:t>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项目实施单位的财务和业务管理制度是否健全，用以反映和考核财务和业务管理制度对项目顺利实施的保障情况。</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制度执行有效性</w:t>
            </w:r>
          </w:p>
        </w:tc>
        <w:tc>
          <w:tcPr>
            <w:tcW w:w="418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项目实施是否符合相关管理规定，用以反映和考核相关管理制度的有效执行情况。</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restart"/>
            <w:tcBorders>
              <w:tl2br w:val="nil"/>
              <w:tr2bl w:val="nil"/>
            </w:tcBorders>
            <w:shd w:val="clear" w:color="auto" w:fill="FFFFFF"/>
            <w:tcMar>
              <w:top w:w="10" w:type="dxa"/>
              <w:left w:w="10" w:type="dxa"/>
              <w:right w:w="10" w:type="dxa"/>
            </w:tcMar>
            <w:vAlign w:val="center"/>
          </w:tcPr>
          <w:p>
            <w:pPr>
              <w:spacing w:line="560" w:lineRule="exact"/>
              <w:ind w:left="239" w:leftChars="114"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w:t>
            </w:r>
          </w:p>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（40分）</w:t>
            </w:r>
          </w:p>
        </w:tc>
        <w:tc>
          <w:tcPr>
            <w:tcW w:w="1011"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产出数量（10分）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实际完成率</w:t>
            </w:r>
            <w:r>
              <w:rPr>
                <w:rFonts w:hint="eastAsia" w:ascii="仿宋_GB2312" w:hAnsi="仿宋_GB2312" w:eastAsia="仿宋_GB2312" w:cs="仿宋_GB2312"/>
                <w:spacing w:val="-4"/>
                <w:sz w:val="24"/>
              </w:rPr>
              <w:br w:type="textWrapping"/>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项目实施的实际产出数与计划产出数的比率，用以反映和考核项目产出数量目标的实现程度。</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产出质量（10分）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质量达标率</w:t>
            </w:r>
            <w:r>
              <w:rPr>
                <w:rFonts w:hint="eastAsia" w:ascii="仿宋_GB2312" w:hAnsi="仿宋_GB2312" w:eastAsia="仿宋_GB2312" w:cs="仿宋_GB2312"/>
                <w:spacing w:val="-4"/>
                <w:sz w:val="24"/>
              </w:rPr>
              <w:br w:type="textWrapping"/>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项目完成的质量达标产出数与实际产出数的比率，用以反映和考核项目产出质量目标的实现程度。</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产出时效（10分）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完成及时性</w:t>
            </w:r>
            <w:r>
              <w:rPr>
                <w:rFonts w:hint="eastAsia" w:ascii="仿宋_GB2312" w:hAnsi="仿宋_GB2312" w:eastAsia="仿宋_GB2312" w:cs="仿宋_GB2312"/>
                <w:spacing w:val="-4"/>
                <w:sz w:val="24"/>
              </w:rPr>
              <w:br w:type="textWrapping"/>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项目实际完成时间与计划完成时间的比较，用以反映和考核项目产出时效目标的实现程度。</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产出成本（10分）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成本节约率</w:t>
            </w:r>
            <w:r>
              <w:rPr>
                <w:rFonts w:hint="eastAsia" w:ascii="仿宋_GB2312" w:hAnsi="仿宋_GB2312" w:eastAsia="仿宋_GB2312" w:cs="仿宋_GB2312"/>
                <w:spacing w:val="-4"/>
                <w:sz w:val="24"/>
              </w:rPr>
              <w:br w:type="textWrapping"/>
            </w:r>
          </w:p>
        </w:tc>
        <w:tc>
          <w:tcPr>
            <w:tcW w:w="4184"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完成项目计划工作目标的实际节约成本与计划成本的比率，用以反映和考核项目的成本节约程度。</w:t>
            </w:r>
          </w:p>
        </w:tc>
        <w:tc>
          <w:tcPr>
            <w:tcW w:w="91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10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418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91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5" w:hRule="atLeast"/>
        </w:trPr>
        <w:tc>
          <w:tcPr>
            <w:tcW w:w="1373"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效益（20分）</w:t>
            </w:r>
          </w:p>
        </w:tc>
        <w:tc>
          <w:tcPr>
            <w:tcW w:w="1011"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项目效益　</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（20分）</w:t>
            </w:r>
          </w:p>
        </w:tc>
        <w:tc>
          <w:tcPr>
            <w:tcW w:w="134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实施效益</w:t>
            </w:r>
          </w:p>
        </w:tc>
        <w:tc>
          <w:tcPr>
            <w:tcW w:w="418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项目实施所产生的效益。</w:t>
            </w:r>
          </w:p>
        </w:tc>
        <w:tc>
          <w:tcPr>
            <w:tcW w:w="915" w:type="dxa"/>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15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5" w:hRule="atLeast"/>
        </w:trPr>
        <w:tc>
          <w:tcPr>
            <w:tcW w:w="1373"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011"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满意度</w:t>
            </w:r>
            <w:r>
              <w:rPr>
                <w:rFonts w:hint="eastAsia" w:ascii="仿宋_GB2312" w:hAnsi="仿宋_GB2312" w:eastAsia="仿宋_GB2312" w:cs="仿宋_GB2312"/>
                <w:spacing w:val="-4"/>
                <w:sz w:val="24"/>
              </w:rPr>
              <w:br w:type="textWrapping"/>
            </w:r>
          </w:p>
        </w:tc>
        <w:tc>
          <w:tcPr>
            <w:tcW w:w="418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社会公众或服务对象对项目实施效果的满意程度。</w:t>
            </w:r>
          </w:p>
        </w:tc>
        <w:tc>
          <w:tcPr>
            <w:tcW w:w="915" w:type="dxa"/>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5</w:t>
            </w:r>
          </w:p>
        </w:tc>
      </w:tr>
    </w:tbl>
    <w:p>
      <w:pPr>
        <w:pStyle w:val="13"/>
        <w:ind w:firstLine="640"/>
        <w:rPr>
          <w:rFonts w:ascii="FangSong" w:hAnsi="FangSong" w:eastAsia="FangSong" w:cs="FangSong"/>
          <w:sz w:val="32"/>
          <w:szCs w:val="32"/>
        </w:rPr>
      </w:pPr>
      <w:r>
        <w:rPr>
          <w:rFonts w:hint="eastAsia" w:ascii="FangSong" w:hAnsi="FangSong" w:eastAsia="FangSong" w:cs="FangSong"/>
          <w:sz w:val="32"/>
          <w:szCs w:val="32"/>
        </w:rPr>
        <w:t>3.评价方法：绩效评价方法主要包括成本效益分析法、比较法、因素分析法、最低成本法、公众评判法、标杆管理法等。针对本项目，在评价过程中，主要采用了因素分析法、成本效益分析法等。</w:t>
      </w:r>
    </w:p>
    <w:p>
      <w:pPr>
        <w:pStyle w:val="13"/>
        <w:ind w:firstLine="640"/>
        <w:rPr>
          <w:rFonts w:ascii="FangSong" w:hAnsi="FangSong" w:eastAsia="FangSong" w:cs="FangSong"/>
          <w:sz w:val="32"/>
          <w:szCs w:val="32"/>
        </w:rPr>
      </w:pPr>
      <w:r>
        <w:rPr>
          <w:rFonts w:hint="eastAsia" w:ascii="FangSong" w:hAnsi="FangSong" w:eastAsia="FangSong" w:cs="FangSong"/>
          <w:sz w:val="32"/>
          <w:szCs w:val="32"/>
        </w:rPr>
        <w:t>4.评价标准：绩效评价标准通常包括计划标准、行业标准、历史标准等，用于对绩效指标完成情况进行比较。本次评价主要采用了计划标准和行业标准。</w:t>
      </w:r>
    </w:p>
    <w:p>
      <w:pPr>
        <w:pStyle w:val="13"/>
        <w:ind w:firstLine="640"/>
        <w:rPr>
          <w:rFonts w:ascii="FangSong" w:hAnsi="FangSong" w:eastAsia="FangSong" w:cs="FangSong"/>
          <w:sz w:val="32"/>
          <w:szCs w:val="32"/>
        </w:rPr>
      </w:pPr>
      <w:r>
        <w:rPr>
          <w:rFonts w:hint="eastAsia" w:ascii="FangSong" w:hAnsi="FangSong" w:eastAsia="FangSong" w:cs="FangSong"/>
          <w:sz w:val="32"/>
          <w:szCs w:val="32"/>
        </w:rPr>
        <w:t>（三）绩效评价工作过程。</w:t>
      </w:r>
    </w:p>
    <w:p>
      <w:pPr>
        <w:pStyle w:val="13"/>
        <w:ind w:firstLine="640"/>
        <w:rPr>
          <w:rFonts w:ascii="FangSong" w:hAnsi="FangSong" w:eastAsia="FangSong" w:cs="FangSong"/>
          <w:sz w:val="32"/>
          <w:szCs w:val="32"/>
        </w:rPr>
      </w:pPr>
      <w:r>
        <w:rPr>
          <w:rFonts w:hint="eastAsia" w:ascii="FangSong" w:hAnsi="FangSong" w:eastAsia="FangSong" w:cs="FangSong"/>
          <w:sz w:val="32"/>
          <w:szCs w:val="32"/>
        </w:rPr>
        <w:t>1.前期准备：在项目正式实施前期，收集、整理、熟悉项目相关资料，了解项目资金的大致使用情况。通过分析讨论，确定绩效评价关注的重点，制定出了本次绩效评价实施方案。从项目内容出发，结合项目预期目标，制定了本次绩效评价的指标体系。</w:t>
      </w:r>
    </w:p>
    <w:p>
      <w:pPr>
        <w:pStyle w:val="13"/>
        <w:ind w:firstLine="640"/>
        <w:rPr>
          <w:rFonts w:ascii="FangSong" w:hAnsi="FangSong" w:eastAsia="FangSong" w:cs="FangSong"/>
          <w:sz w:val="32"/>
          <w:szCs w:val="32"/>
        </w:rPr>
      </w:pPr>
      <w:r>
        <w:rPr>
          <w:rFonts w:hint="eastAsia" w:ascii="FangSong" w:hAnsi="FangSong" w:eastAsia="FangSong" w:cs="FangSong"/>
          <w:sz w:val="32"/>
          <w:szCs w:val="32"/>
        </w:rPr>
        <w:t>2.数据采集分析及撰写报告：收集该项目相关文件、实施方案、相关管理办法，对资金涉及项目的实施情况以及资金情况进行审计。根据考察、考评的结果进行整理分析，撰写绩效评价报告初稿，并与相关部门交换意见，形成最终的绩效评价报告。</w:t>
      </w:r>
    </w:p>
    <w:p>
      <w:pPr>
        <w:pStyle w:val="13"/>
        <w:ind w:firstLine="643"/>
        <w:rPr>
          <w:rFonts w:ascii="FangSong" w:hAnsi="FangSong" w:eastAsia="FangSong" w:cs="FangSong"/>
          <w:sz w:val="32"/>
          <w:szCs w:val="32"/>
        </w:rPr>
      </w:pPr>
      <w:r>
        <w:rPr>
          <w:rFonts w:hint="eastAsia"/>
          <w:b/>
          <w:bCs/>
          <w:sz w:val="32"/>
          <w:szCs w:val="32"/>
        </w:rPr>
        <w:t>三、综合评价情况及评价结论</w:t>
      </w:r>
      <w:r>
        <w:rPr>
          <w:rFonts w:hint="eastAsia" w:ascii="FangSong" w:hAnsi="FangSong" w:eastAsia="FangSong" w:cs="FangSong"/>
          <w:sz w:val="32"/>
          <w:szCs w:val="32"/>
        </w:rPr>
        <w:t>（附相关评分表）</w:t>
      </w:r>
    </w:p>
    <w:p>
      <w:pPr>
        <w:spacing w:line="560" w:lineRule="exact"/>
        <w:ind w:firstLine="640" w:firstLineChars="200"/>
        <w:rPr>
          <w:highlight w:val="none"/>
        </w:rPr>
      </w:pPr>
      <w:bookmarkStart w:id="0" w:name="_GoBack"/>
      <w:r>
        <w:rPr>
          <w:rFonts w:hint="eastAsia" w:ascii="FangSong" w:hAnsi="FangSong" w:eastAsia="FangSong" w:cs="FangSong"/>
          <w:sz w:val="32"/>
          <w:szCs w:val="32"/>
          <w:highlight w:val="none"/>
        </w:rPr>
        <w:t>此次残疾人事业发展补助资金项目，评价综合得分96分。其中，项目决策得分19分，项目过程19分，项目产出38分，项目效益20分，评价等级为优。</w:t>
      </w:r>
    </w:p>
    <w:p>
      <w:pPr>
        <w:spacing w:line="560" w:lineRule="exact"/>
        <w:ind w:firstLine="640" w:firstLineChars="200"/>
        <w:rPr>
          <w:rFonts w:ascii="FangSong" w:hAnsi="FangSong" w:eastAsia="FangSong" w:cs="FangSong"/>
          <w:sz w:val="32"/>
          <w:szCs w:val="32"/>
        </w:rPr>
      </w:pPr>
      <w:r>
        <w:rPr>
          <w:rFonts w:hint="eastAsia" w:ascii="FangSong" w:hAnsi="FangSong" w:eastAsia="FangSong" w:cs="FangSong"/>
          <w:sz w:val="32"/>
          <w:szCs w:val="32"/>
          <w:highlight w:val="none"/>
        </w:rPr>
        <w:t>按照财政部《项目支出绩效评价</w:t>
      </w:r>
      <w:bookmarkEnd w:id="0"/>
      <w:r>
        <w:rPr>
          <w:rFonts w:hint="eastAsia" w:ascii="FangSong" w:hAnsi="FangSong" w:eastAsia="FangSong" w:cs="FangSong"/>
          <w:sz w:val="32"/>
          <w:szCs w:val="32"/>
        </w:rPr>
        <w:t>管理办法》（财预〔2020〕10号）规定，单位自评标准是：</w:t>
      </w:r>
      <w:r>
        <w:rPr>
          <w:rFonts w:hint="eastAsia" w:ascii="FangSong" w:hAnsi="FangSong" w:eastAsia="FangSong" w:cs="FangSong"/>
          <w:sz w:val="32"/>
          <w:szCs w:val="32"/>
          <w:highlight w:val="none"/>
        </w:rPr>
        <w:t>预算执行10分、产</w:t>
      </w:r>
      <w:r>
        <w:rPr>
          <w:rFonts w:hint="eastAsia" w:ascii="FangSong" w:hAnsi="FangSong" w:eastAsia="FangSong" w:cs="FangSong"/>
          <w:sz w:val="32"/>
          <w:szCs w:val="32"/>
        </w:rPr>
        <w:t>出指标50分、效益指标30分、服务对象满意度指标10分，</w:t>
      </w:r>
      <w:r>
        <w:rPr>
          <w:rFonts w:hint="eastAsia" w:ascii="仿宋_GB2312" w:eastAsia="仿宋_GB2312"/>
          <w:sz w:val="32"/>
          <w:szCs w:val="32"/>
        </w:rPr>
        <w:t>经自评，202</w:t>
      </w:r>
      <w:r>
        <w:rPr>
          <w:rFonts w:hint="eastAsia" w:ascii="仿宋_GB2312" w:eastAsia="仿宋_GB2312"/>
          <w:sz w:val="32"/>
          <w:szCs w:val="32"/>
          <w:lang w:val="en-US" w:eastAsia="zh-CN"/>
        </w:rPr>
        <w:t>2</w:t>
      </w:r>
      <w:r>
        <w:rPr>
          <w:rFonts w:hint="eastAsia" w:ascii="仿宋_GB2312" w:eastAsia="仿宋_GB2312"/>
          <w:sz w:val="32"/>
          <w:szCs w:val="32"/>
        </w:rPr>
        <w:t>年残疾人事业发展补助资金得分为</w:t>
      </w:r>
      <w:r>
        <w:rPr>
          <w:rFonts w:hint="eastAsia" w:ascii="仿宋_GB2312" w:eastAsia="仿宋_GB2312"/>
          <w:sz w:val="32"/>
          <w:szCs w:val="32"/>
          <w:lang w:val="en-US" w:eastAsia="zh-CN"/>
        </w:rPr>
        <w:t>90</w:t>
      </w:r>
      <w:r>
        <w:rPr>
          <w:rFonts w:hint="eastAsia" w:ascii="仿宋_GB2312" w:eastAsia="仿宋_GB2312"/>
          <w:sz w:val="32"/>
          <w:szCs w:val="32"/>
        </w:rPr>
        <w:t>分，其中</w:t>
      </w:r>
      <w:r>
        <w:rPr>
          <w:rFonts w:hint="eastAsia" w:ascii="仿宋_GB2312" w:eastAsia="仿宋_GB2312"/>
          <w:sz w:val="32"/>
          <w:szCs w:val="32"/>
          <w:highlight w:val="none"/>
        </w:rPr>
        <w:t>：预算执行10分、</w:t>
      </w:r>
      <w:r>
        <w:rPr>
          <w:rFonts w:hint="eastAsia" w:ascii="仿宋_GB2312" w:eastAsia="仿宋_GB2312"/>
          <w:sz w:val="32"/>
          <w:szCs w:val="32"/>
        </w:rPr>
        <w:t>产出指标</w:t>
      </w:r>
      <w:r>
        <w:rPr>
          <w:rFonts w:hint="eastAsia" w:ascii="仿宋_GB2312" w:eastAsia="仿宋_GB2312"/>
          <w:sz w:val="32"/>
          <w:szCs w:val="32"/>
          <w:lang w:val="en-US" w:eastAsia="zh-CN"/>
        </w:rPr>
        <w:t>60</w:t>
      </w:r>
      <w:r>
        <w:rPr>
          <w:rFonts w:hint="eastAsia" w:ascii="仿宋_GB2312" w:eastAsia="仿宋_GB2312"/>
          <w:sz w:val="32"/>
          <w:szCs w:val="32"/>
        </w:rPr>
        <w:t>分、效益指标</w:t>
      </w:r>
      <w:r>
        <w:rPr>
          <w:rFonts w:hint="eastAsia" w:ascii="仿宋_GB2312" w:eastAsia="仿宋_GB2312"/>
          <w:sz w:val="32"/>
          <w:szCs w:val="32"/>
          <w:lang w:val="en-US" w:eastAsia="zh-CN"/>
        </w:rPr>
        <w:t>20</w:t>
      </w:r>
      <w:r>
        <w:rPr>
          <w:rFonts w:hint="eastAsia" w:ascii="仿宋_GB2312" w:eastAsia="仿宋_GB2312"/>
          <w:sz w:val="32"/>
          <w:szCs w:val="32"/>
        </w:rPr>
        <w:t>分、服务对象满意度指标10分，自评结果为“优”。</w:t>
      </w:r>
    </w:p>
    <w:p>
      <w:pPr>
        <w:spacing w:line="560" w:lineRule="exact"/>
        <w:ind w:firstLine="640" w:firstLineChars="200"/>
        <w:jc w:val="left"/>
        <w:rPr>
          <w:rFonts w:ascii="仿宋_GB2312" w:hAnsi="FangSong" w:eastAsia="仿宋_GB2312" w:cs="SimSun"/>
          <w:sz w:val="32"/>
          <w:szCs w:val="32"/>
          <w:lang w:bidi="ar"/>
        </w:rPr>
      </w:pPr>
      <w:r>
        <w:rPr>
          <w:rFonts w:hint="eastAsia" w:ascii="FangSong" w:hAnsi="FangSong" w:eastAsia="FangSong" w:cs="FangSong"/>
          <w:sz w:val="32"/>
          <w:szCs w:val="32"/>
        </w:rPr>
        <w:t>残疾人事业发展补助资金</w:t>
      </w:r>
      <w:r>
        <w:rPr>
          <w:rFonts w:hint="eastAsia" w:ascii="仿宋_GB2312" w:hAnsi="FangSong" w:eastAsia="仿宋_GB2312" w:cs="SimSun"/>
          <w:sz w:val="32"/>
          <w:szCs w:val="32"/>
          <w:lang w:bidi="ar"/>
        </w:rPr>
        <w:t>项目得分情况表：</w:t>
      </w:r>
    </w:p>
    <w:p>
      <w:pPr>
        <w:pStyle w:val="13"/>
        <w:ind w:firstLine="0" w:firstLineChars="0"/>
        <w:rPr>
          <w:rFonts w:ascii="FangSong" w:hAnsi="FangSong" w:eastAsia="FangSong" w:cs="FangSong"/>
          <w:color w:val="FF0000"/>
          <w:sz w:val="32"/>
          <w:szCs w:val="32"/>
        </w:rPr>
      </w:pPr>
    </w:p>
    <w:tbl>
      <w:tblPr>
        <w:tblStyle w:val="23"/>
        <w:tblW w:w="8336" w:type="dxa"/>
        <w:tblInd w:w="0" w:type="dxa"/>
        <w:tblLayout w:type="fixed"/>
        <w:tblCellMar>
          <w:top w:w="15" w:type="dxa"/>
          <w:left w:w="15" w:type="dxa"/>
          <w:bottom w:w="15" w:type="dxa"/>
          <w:right w:w="15" w:type="dxa"/>
        </w:tblCellMar>
      </w:tblPr>
      <w:tblGrid>
        <w:gridCol w:w="299"/>
        <w:gridCol w:w="567"/>
        <w:gridCol w:w="142"/>
        <w:gridCol w:w="425"/>
        <w:gridCol w:w="567"/>
        <w:gridCol w:w="709"/>
        <w:gridCol w:w="567"/>
        <w:gridCol w:w="992"/>
        <w:gridCol w:w="1276"/>
        <w:gridCol w:w="708"/>
        <w:gridCol w:w="94"/>
        <w:gridCol w:w="757"/>
        <w:gridCol w:w="469"/>
        <w:gridCol w:w="764"/>
      </w:tblGrid>
      <w:tr>
        <w:tblPrEx>
          <w:tblCellMar>
            <w:top w:w="15" w:type="dxa"/>
            <w:left w:w="15" w:type="dxa"/>
            <w:bottom w:w="15" w:type="dxa"/>
            <w:right w:w="15" w:type="dxa"/>
          </w:tblCellMar>
        </w:tblPrEx>
        <w:trPr>
          <w:trHeight w:val="405" w:hRule="atLeast"/>
        </w:trPr>
        <w:tc>
          <w:tcPr>
            <w:tcW w:w="8336" w:type="dxa"/>
            <w:gridSpan w:val="14"/>
            <w:shd w:val="clear" w:color="auto" w:fill="auto"/>
            <w:vAlign w:val="center"/>
          </w:tcPr>
          <w:p>
            <w:pPr>
              <w:widowControl/>
              <w:jc w:val="center"/>
              <w:textAlignment w:val="center"/>
              <w:rPr>
                <w:rFonts w:ascii="SimSun" w:hAnsi="SimSun" w:cs="SimSun"/>
                <w:b/>
                <w:sz w:val="32"/>
                <w:szCs w:val="32"/>
              </w:rPr>
            </w:pPr>
            <w:r>
              <w:rPr>
                <w:rFonts w:hint="eastAsia" w:ascii="SimSun" w:hAnsi="SimSun" w:cs="SimSun"/>
                <w:b/>
                <w:kern w:val="0"/>
                <w:sz w:val="32"/>
                <w:szCs w:val="32"/>
                <w:lang w:bidi="ar"/>
              </w:rPr>
              <w:t>项目支出绩效自评表</w:t>
            </w:r>
          </w:p>
        </w:tc>
      </w:tr>
      <w:tr>
        <w:tblPrEx>
          <w:tblCellMar>
            <w:top w:w="15" w:type="dxa"/>
            <w:left w:w="15" w:type="dxa"/>
            <w:bottom w:w="15" w:type="dxa"/>
            <w:right w:w="15" w:type="dxa"/>
          </w:tblCellMar>
        </w:tblPrEx>
        <w:trPr>
          <w:trHeight w:val="316" w:hRule="atLeast"/>
        </w:trPr>
        <w:tc>
          <w:tcPr>
            <w:tcW w:w="8336" w:type="dxa"/>
            <w:gridSpan w:val="14"/>
            <w:shd w:val="clear" w:color="auto" w:fill="auto"/>
          </w:tcPr>
          <w:p>
            <w:pPr>
              <w:widowControl/>
              <w:jc w:val="center"/>
              <w:textAlignment w:val="top"/>
              <w:rPr>
                <w:rFonts w:ascii="SimSun" w:hAnsi="SimSun" w:cs="SimSun"/>
                <w:sz w:val="22"/>
                <w:szCs w:val="22"/>
              </w:rPr>
            </w:pPr>
            <w:r>
              <w:rPr>
                <w:rFonts w:hint="eastAsia" w:ascii="SimSun" w:hAnsi="SimSun" w:cs="SimSun"/>
                <w:kern w:val="0"/>
                <w:sz w:val="22"/>
                <w:szCs w:val="22"/>
                <w:lang w:bidi="ar"/>
              </w:rPr>
              <w:t>（ 202</w:t>
            </w:r>
            <w:r>
              <w:rPr>
                <w:rFonts w:hint="eastAsia" w:ascii="SimSun" w:hAnsi="SimSun" w:cs="SimSun"/>
                <w:kern w:val="0"/>
                <w:sz w:val="22"/>
                <w:szCs w:val="22"/>
                <w:lang w:val="en-US" w:eastAsia="zh-CN" w:bidi="ar"/>
              </w:rPr>
              <w:t>2</w:t>
            </w:r>
            <w:r>
              <w:rPr>
                <w:rFonts w:hint="eastAsia" w:ascii="SimSun" w:hAnsi="SimSun" w:cs="SimSun"/>
                <w:kern w:val="0"/>
                <w:sz w:val="22"/>
                <w:szCs w:val="22"/>
                <w:lang w:bidi="ar"/>
              </w:rPr>
              <w:t>年度）</w:t>
            </w:r>
          </w:p>
        </w:tc>
      </w:tr>
      <w:tr>
        <w:tblPrEx>
          <w:tblCellMar>
            <w:top w:w="15" w:type="dxa"/>
            <w:left w:w="15" w:type="dxa"/>
            <w:bottom w:w="15" w:type="dxa"/>
            <w:right w:w="15" w:type="dxa"/>
          </w:tblCellMar>
        </w:tblPrEx>
        <w:trPr>
          <w:trHeight w:val="316" w:hRule="atLeast"/>
        </w:trPr>
        <w:tc>
          <w:tcPr>
            <w:tcW w:w="1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项目名称</w:t>
            </w:r>
          </w:p>
        </w:tc>
        <w:tc>
          <w:tcPr>
            <w:tcW w:w="7328"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eastAsia="zh-CN" w:bidi="ar"/>
              </w:rPr>
              <w:t>自治区</w:t>
            </w:r>
            <w:r>
              <w:rPr>
                <w:rFonts w:hint="eastAsia" w:ascii="SimSun" w:hAnsi="SimSun" w:cs="SimSun"/>
                <w:kern w:val="0"/>
                <w:sz w:val="18"/>
                <w:szCs w:val="18"/>
                <w:lang w:bidi="ar"/>
              </w:rPr>
              <w:t>残疾人事业发展补助资金</w:t>
            </w:r>
          </w:p>
        </w:tc>
      </w:tr>
      <w:tr>
        <w:tblPrEx>
          <w:tblCellMar>
            <w:top w:w="15" w:type="dxa"/>
            <w:left w:w="15" w:type="dxa"/>
            <w:bottom w:w="15" w:type="dxa"/>
            <w:right w:w="15" w:type="dxa"/>
          </w:tblCellMar>
        </w:tblPrEx>
        <w:trPr>
          <w:trHeight w:val="316" w:hRule="atLeast"/>
        </w:trPr>
        <w:tc>
          <w:tcPr>
            <w:tcW w:w="1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主管部门</w:t>
            </w:r>
          </w:p>
        </w:tc>
        <w:tc>
          <w:tcPr>
            <w:tcW w:w="3260"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sz w:val="18"/>
                <w:szCs w:val="18"/>
              </w:rPr>
              <w:t>新疆维吾尔自治区残疾人联合会</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实施单位</w:t>
            </w:r>
          </w:p>
        </w:tc>
        <w:tc>
          <w:tcPr>
            <w:tcW w:w="279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新疆残疾人职业中专学校</w:t>
            </w:r>
          </w:p>
        </w:tc>
      </w:tr>
      <w:tr>
        <w:tblPrEx>
          <w:tblCellMar>
            <w:top w:w="15" w:type="dxa"/>
            <w:left w:w="15" w:type="dxa"/>
            <w:bottom w:w="15" w:type="dxa"/>
            <w:right w:w="15" w:type="dxa"/>
          </w:tblCellMar>
        </w:tblPrEx>
        <w:trPr>
          <w:trHeight w:val="615" w:hRule="atLeast"/>
        </w:trPr>
        <w:tc>
          <w:tcPr>
            <w:tcW w:w="1008" w:type="dxa"/>
            <w:gridSpan w:val="3"/>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项目资金</w:t>
            </w:r>
          </w:p>
          <w:p>
            <w:pPr>
              <w:jc w:val="center"/>
              <w:textAlignment w:val="center"/>
              <w:rPr>
                <w:rFonts w:ascii="SimSun" w:hAnsi="SimSun" w:cs="SimSun"/>
                <w:sz w:val="18"/>
                <w:szCs w:val="18"/>
              </w:rPr>
            </w:pPr>
            <w:r>
              <w:rPr>
                <w:rFonts w:hint="eastAsia" w:ascii="SimSun" w:hAnsi="SimSun" w:cs="SimSun"/>
                <w:kern w:val="0"/>
                <w:sz w:val="18"/>
                <w:szCs w:val="18"/>
                <w:lang w:bidi="ar"/>
              </w:rPr>
              <w:t>（万元）</w:t>
            </w:r>
          </w:p>
        </w:tc>
        <w:tc>
          <w:tcPr>
            <w:tcW w:w="9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年初预算数</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全年预算数</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全年执行数</w:t>
            </w:r>
          </w:p>
        </w:tc>
        <w:tc>
          <w:tcPr>
            <w:tcW w:w="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分值</w:t>
            </w: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执行率</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得分</w:t>
            </w:r>
          </w:p>
        </w:tc>
      </w:tr>
      <w:tr>
        <w:tblPrEx>
          <w:tblCellMar>
            <w:top w:w="15" w:type="dxa"/>
            <w:left w:w="15" w:type="dxa"/>
            <w:bottom w:w="15" w:type="dxa"/>
            <w:right w:w="15" w:type="dxa"/>
          </w:tblCellMar>
        </w:tblPrEx>
        <w:trPr>
          <w:trHeight w:val="316" w:hRule="atLeast"/>
        </w:trPr>
        <w:tc>
          <w:tcPr>
            <w:tcW w:w="1008" w:type="dxa"/>
            <w:gridSpan w:val="3"/>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p>
        </w:tc>
        <w:tc>
          <w:tcPr>
            <w:tcW w:w="9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textAlignment w:val="center"/>
              <w:rPr>
                <w:rFonts w:ascii="SimSun" w:hAnsi="SimSun" w:cs="SimSun"/>
                <w:sz w:val="18"/>
                <w:szCs w:val="18"/>
              </w:rPr>
            </w:pPr>
            <w:r>
              <w:rPr>
                <w:rFonts w:hint="eastAsia" w:ascii="SimSun" w:hAnsi="SimSun" w:cs="SimSun"/>
                <w:kern w:val="0"/>
                <w:sz w:val="18"/>
                <w:szCs w:val="18"/>
                <w:lang w:bidi="ar"/>
              </w:rPr>
              <w:t>年度资金总额</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SimSun" w:hAnsi="SimSun" w:eastAsia="SimSun" w:cs="SimSun"/>
                <w:sz w:val="18"/>
                <w:szCs w:val="18"/>
                <w:lang w:eastAsia="zh-CN"/>
              </w:rPr>
            </w:pPr>
            <w:r>
              <w:rPr>
                <w:rFonts w:hint="eastAsia" w:ascii="SimSun" w:hAnsi="SimSun" w:cs="SimSun"/>
                <w:kern w:val="0"/>
                <w:sz w:val="18"/>
                <w:szCs w:val="18"/>
                <w:lang w:val="en-US" w:eastAsia="zh-CN" w:bidi="ar"/>
              </w:rPr>
              <w:t>540.25</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val="en-US" w:eastAsia="zh-CN" w:bidi="ar"/>
              </w:rPr>
              <w:t>540.25</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val="en-US" w:eastAsia="zh-CN" w:bidi="ar"/>
              </w:rPr>
              <w:t>540.25</w:t>
            </w:r>
          </w:p>
        </w:tc>
        <w:tc>
          <w:tcPr>
            <w:tcW w:w="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10</w:t>
            </w: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100%</w:t>
            </w: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10</w:t>
            </w:r>
          </w:p>
        </w:tc>
      </w:tr>
      <w:tr>
        <w:tblPrEx>
          <w:tblCellMar>
            <w:top w:w="15" w:type="dxa"/>
            <w:left w:w="15" w:type="dxa"/>
            <w:bottom w:w="15" w:type="dxa"/>
            <w:right w:w="15" w:type="dxa"/>
          </w:tblCellMar>
        </w:tblPrEx>
        <w:trPr>
          <w:trHeight w:val="375" w:hRule="atLeast"/>
        </w:trPr>
        <w:tc>
          <w:tcPr>
            <w:tcW w:w="1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SimSun" w:hAnsi="SimSun" w:cs="SimSun"/>
                <w:sz w:val="24"/>
              </w:rPr>
            </w:pPr>
          </w:p>
        </w:tc>
        <w:tc>
          <w:tcPr>
            <w:tcW w:w="9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其中：当年财政拨款</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val="en-US" w:eastAsia="zh-CN" w:bidi="ar"/>
              </w:rPr>
              <w:t>540.25</w:t>
            </w: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val="en-US" w:eastAsia="zh-CN" w:bidi="ar"/>
              </w:rPr>
              <w:t>540.25</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val="en-US" w:eastAsia="zh-CN" w:bidi="ar"/>
              </w:rPr>
              <w:t>540.25</w:t>
            </w:r>
          </w:p>
        </w:tc>
        <w:tc>
          <w:tcPr>
            <w:tcW w:w="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w:t>
            </w: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w:t>
            </w:r>
          </w:p>
        </w:tc>
      </w:tr>
      <w:tr>
        <w:tblPrEx>
          <w:tblCellMar>
            <w:top w:w="15" w:type="dxa"/>
            <w:left w:w="15" w:type="dxa"/>
            <w:bottom w:w="15" w:type="dxa"/>
            <w:right w:w="15" w:type="dxa"/>
          </w:tblCellMar>
        </w:tblPrEx>
        <w:trPr>
          <w:trHeight w:val="316" w:hRule="atLeast"/>
        </w:trPr>
        <w:tc>
          <w:tcPr>
            <w:tcW w:w="1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SimSun" w:hAnsi="SimSun" w:cs="SimSun"/>
                <w:sz w:val="24"/>
              </w:rPr>
            </w:pPr>
          </w:p>
        </w:tc>
        <w:tc>
          <w:tcPr>
            <w:tcW w:w="9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上年结转资金</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w:t>
            </w: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w:t>
            </w:r>
          </w:p>
        </w:tc>
      </w:tr>
      <w:tr>
        <w:tblPrEx>
          <w:tblCellMar>
            <w:top w:w="15" w:type="dxa"/>
            <w:left w:w="15" w:type="dxa"/>
            <w:bottom w:w="15" w:type="dxa"/>
            <w:right w:w="15" w:type="dxa"/>
          </w:tblCellMar>
        </w:tblPrEx>
        <w:trPr>
          <w:trHeight w:val="316" w:hRule="atLeast"/>
        </w:trPr>
        <w:tc>
          <w:tcPr>
            <w:tcW w:w="1008"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SimSun" w:hAnsi="SimSun" w:cs="SimSun"/>
                <w:sz w:val="24"/>
              </w:rPr>
            </w:pPr>
          </w:p>
        </w:tc>
        <w:tc>
          <w:tcPr>
            <w:tcW w:w="99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 xml:space="preserve">  其他资金</w:t>
            </w:r>
          </w:p>
        </w:tc>
        <w:tc>
          <w:tcPr>
            <w:tcW w:w="709"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15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802"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w:t>
            </w:r>
          </w:p>
        </w:tc>
        <w:tc>
          <w:tcPr>
            <w:tcW w:w="122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7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w:t>
            </w:r>
          </w:p>
        </w:tc>
      </w:tr>
      <w:tr>
        <w:tblPrEx>
          <w:tblCellMar>
            <w:top w:w="15" w:type="dxa"/>
            <w:left w:w="15" w:type="dxa"/>
            <w:bottom w:w="15" w:type="dxa"/>
            <w:right w:w="15" w:type="dxa"/>
          </w:tblCellMar>
        </w:tblPrEx>
        <w:trPr>
          <w:trHeight w:val="259" w:hRule="atLeast"/>
        </w:trPr>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年度总体目标</w:t>
            </w:r>
          </w:p>
        </w:tc>
        <w:tc>
          <w:tcPr>
            <w:tcW w:w="396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预期目标</w:t>
            </w:r>
          </w:p>
        </w:tc>
        <w:tc>
          <w:tcPr>
            <w:tcW w:w="40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实际完成情况</w:t>
            </w:r>
          </w:p>
        </w:tc>
      </w:tr>
      <w:tr>
        <w:tblPrEx>
          <w:tblCellMar>
            <w:top w:w="15" w:type="dxa"/>
            <w:left w:w="15" w:type="dxa"/>
            <w:bottom w:w="15" w:type="dxa"/>
            <w:right w:w="15" w:type="dxa"/>
          </w:tblCellMar>
        </w:tblPrEx>
        <w:trPr>
          <w:trHeight w:val="2636" w:hRule="atLeast"/>
        </w:trPr>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3969" w:type="dxa"/>
            <w:gridSpan w:val="7"/>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SimSun" w:hAnsi="SimSun" w:cs="SimSun"/>
                <w:sz w:val="18"/>
                <w:szCs w:val="18"/>
              </w:rPr>
            </w:pPr>
            <w:r>
              <w:rPr>
                <w:rFonts w:hint="eastAsia" w:ascii="SimSun" w:hAnsi="SimSun" w:cs="SimSun"/>
                <w:sz w:val="18"/>
                <w:szCs w:val="18"/>
              </w:rPr>
              <w:t>通过项目实施，加强残疾人中高等特殊教育职业院校建设，改善校园环境及办学条件。</w:t>
            </w:r>
          </w:p>
        </w:tc>
        <w:tc>
          <w:tcPr>
            <w:tcW w:w="4068"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SimSun" w:hAnsi="SimSun" w:cs="SimSun"/>
                <w:sz w:val="18"/>
                <w:szCs w:val="18"/>
              </w:rPr>
            </w:pPr>
            <w:r>
              <w:rPr>
                <w:rFonts w:hint="eastAsia" w:ascii="SimSun" w:hAnsi="SimSun" w:cs="SimSun"/>
                <w:sz w:val="18"/>
                <w:szCs w:val="18"/>
              </w:rPr>
              <w:t>通过项目实施，加强残疾人中高等特殊教育职业院校建设，改善校园环境及办学条件。</w:t>
            </w:r>
          </w:p>
        </w:tc>
      </w:tr>
      <w:tr>
        <w:tblPrEx>
          <w:tblCellMar>
            <w:top w:w="15" w:type="dxa"/>
            <w:left w:w="15" w:type="dxa"/>
            <w:bottom w:w="15" w:type="dxa"/>
            <w:right w:w="15" w:type="dxa"/>
          </w:tblCellMar>
        </w:tblPrEx>
        <w:trPr>
          <w:trHeight w:val="1248" w:hRule="atLeast"/>
        </w:trPr>
        <w:tc>
          <w:tcPr>
            <w:tcW w:w="299"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绩效指标</w:t>
            </w: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一级指标</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二级指标</w:t>
            </w:r>
          </w:p>
        </w:tc>
        <w:tc>
          <w:tcPr>
            <w:tcW w:w="1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三级指标</w:t>
            </w:r>
          </w:p>
        </w:tc>
        <w:tc>
          <w:tcPr>
            <w:tcW w:w="992"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年度</w:t>
            </w:r>
          </w:p>
          <w:p>
            <w:pPr>
              <w:jc w:val="center"/>
              <w:textAlignment w:val="center"/>
              <w:rPr>
                <w:rFonts w:ascii="SimSun" w:hAnsi="SimSun" w:cs="SimSun"/>
                <w:sz w:val="18"/>
                <w:szCs w:val="18"/>
              </w:rPr>
            </w:pPr>
            <w:r>
              <w:rPr>
                <w:rFonts w:hint="eastAsia" w:ascii="SimSun" w:hAnsi="SimSun" w:cs="SimSun"/>
                <w:kern w:val="0"/>
                <w:sz w:val="18"/>
                <w:szCs w:val="18"/>
                <w:lang w:bidi="ar"/>
              </w:rPr>
              <w:t>指标值</w:t>
            </w:r>
          </w:p>
        </w:tc>
        <w:tc>
          <w:tcPr>
            <w:tcW w:w="1276" w:type="dxa"/>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实际</w:t>
            </w:r>
          </w:p>
          <w:p>
            <w:pPr>
              <w:jc w:val="center"/>
              <w:textAlignment w:val="center"/>
              <w:rPr>
                <w:rFonts w:ascii="SimSun" w:hAnsi="SimSun" w:cs="SimSun"/>
                <w:sz w:val="18"/>
                <w:szCs w:val="18"/>
              </w:rPr>
            </w:pPr>
            <w:r>
              <w:rPr>
                <w:rFonts w:hint="eastAsia" w:ascii="SimSun" w:hAnsi="SimSun" w:cs="SimSun"/>
                <w:kern w:val="0"/>
                <w:sz w:val="18"/>
                <w:szCs w:val="18"/>
                <w:lang w:bidi="ar"/>
              </w:rPr>
              <w:t>完成值</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分值</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得分</w:t>
            </w:r>
          </w:p>
        </w:tc>
        <w:tc>
          <w:tcPr>
            <w:tcW w:w="1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偏差原因分析及改进措施</w:t>
            </w:r>
          </w:p>
        </w:tc>
      </w:tr>
      <w:tr>
        <w:tblPrEx>
          <w:tblCellMar>
            <w:top w:w="15" w:type="dxa"/>
            <w:left w:w="15" w:type="dxa"/>
            <w:bottom w:w="15" w:type="dxa"/>
            <w:right w:w="15" w:type="dxa"/>
          </w:tblCellMar>
        </w:tblPrEx>
        <w:trPr>
          <w:trHeight w:val="495" w:hRule="atLeast"/>
        </w:trPr>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56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产出指标</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数量指标</w:t>
            </w:r>
          </w:p>
        </w:tc>
        <w:tc>
          <w:tcPr>
            <w:tcW w:w="1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SimSun" w:hAnsi="SimSun" w:cs="SimSun"/>
                <w:sz w:val="18"/>
                <w:szCs w:val="18"/>
              </w:rPr>
            </w:pPr>
            <w:r>
              <w:rPr>
                <w:rFonts w:hint="eastAsia"/>
                <w:sz w:val="18"/>
                <w:szCs w:val="18"/>
              </w:rPr>
              <w:t>涉及工程单位个数</w:t>
            </w:r>
          </w:p>
        </w:tc>
        <w:tc>
          <w:tcPr>
            <w:tcW w:w="992" w:type="dxa"/>
            <w:tcBorders>
              <w:top w:val="single" w:color="000000" w:sz="4" w:space="0"/>
              <w:left w:val="single" w:color="000000" w:sz="4" w:space="0"/>
              <w:bottom w:val="single" w:color="000000" w:sz="4" w:space="0"/>
              <w:right w:val="single" w:color="000000" w:sz="4" w:space="0"/>
            </w:tcBorders>
            <w:shd w:val="clear" w:color="auto" w:fill="auto"/>
          </w:tcPr>
          <w:p>
            <w:r>
              <w:rPr>
                <w:rFonts w:hint="eastAsia"/>
              </w:rPr>
              <w:t>&gt;=10个</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SimSun" w:hAnsi="SimSun" w:eastAsia="SimSun" w:cs="SimSun"/>
                <w:sz w:val="18"/>
                <w:szCs w:val="18"/>
                <w:lang w:eastAsia="zh-CN"/>
              </w:rPr>
            </w:pPr>
            <w:r>
              <w:rPr>
                <w:rFonts w:hint="eastAsia" w:ascii="SimSun" w:hAnsi="SimSun" w:cs="SimSun"/>
                <w:kern w:val="0"/>
                <w:sz w:val="18"/>
                <w:szCs w:val="18"/>
                <w:lang w:val="en-US" w:eastAsia="zh-CN" w:bidi="ar"/>
              </w:rPr>
              <w:t>10</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SimSun" w:hAnsi="SimSun" w:eastAsia="SimSun" w:cs="SimSun"/>
                <w:sz w:val="18"/>
                <w:szCs w:val="18"/>
                <w:lang w:eastAsia="zh-CN"/>
              </w:rPr>
            </w:pPr>
            <w:r>
              <w:rPr>
                <w:rFonts w:hint="eastAsia" w:ascii="SimSun" w:hAnsi="SimSun" w:cs="SimSun"/>
                <w:kern w:val="0"/>
                <w:sz w:val="18"/>
                <w:szCs w:val="18"/>
                <w:lang w:val="en-US" w:eastAsia="zh-CN" w:bidi="ar"/>
              </w:rPr>
              <w:t>10</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SimSun" w:hAnsi="SimSun" w:eastAsia="SimSun" w:cs="SimSun"/>
                <w:sz w:val="18"/>
                <w:szCs w:val="18"/>
                <w:lang w:eastAsia="zh-CN"/>
              </w:rPr>
            </w:pPr>
            <w:r>
              <w:rPr>
                <w:rFonts w:hint="eastAsia" w:ascii="SimSun" w:hAnsi="SimSun" w:cs="SimSun"/>
                <w:kern w:val="0"/>
                <w:sz w:val="18"/>
                <w:szCs w:val="18"/>
                <w:lang w:val="en-US" w:eastAsia="zh-CN" w:bidi="ar"/>
              </w:rPr>
              <w:t>10</w:t>
            </w:r>
          </w:p>
        </w:tc>
        <w:tc>
          <w:tcPr>
            <w:tcW w:w="1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r>
      <w:tr>
        <w:tblPrEx>
          <w:tblCellMar>
            <w:top w:w="15" w:type="dxa"/>
            <w:left w:w="15" w:type="dxa"/>
            <w:bottom w:w="15" w:type="dxa"/>
            <w:right w:w="15" w:type="dxa"/>
          </w:tblCellMar>
        </w:tblPrEx>
        <w:trPr>
          <w:trHeight w:val="495" w:hRule="atLeast"/>
        </w:trPr>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质量指标</w:t>
            </w:r>
          </w:p>
        </w:tc>
        <w:tc>
          <w:tcPr>
            <w:tcW w:w="1843" w:type="dxa"/>
            <w:gridSpan w:val="3"/>
            <w:tcBorders>
              <w:top w:val="single" w:color="000000" w:sz="4" w:space="0"/>
              <w:left w:val="single" w:color="000000" w:sz="4" w:space="0"/>
              <w:bottom w:val="single" w:color="000000" w:sz="4" w:space="0"/>
              <w:right w:val="single" w:color="000000" w:sz="4" w:space="0"/>
            </w:tcBorders>
            <w:shd w:val="clear" w:color="auto" w:fill="auto"/>
          </w:tcPr>
          <w:p>
            <w:pPr>
              <w:widowControl/>
              <w:jc w:val="center"/>
              <w:textAlignment w:val="center"/>
              <w:rPr>
                <w:rFonts w:ascii="SimSun" w:hAnsi="SimSun" w:cs="SimSun"/>
                <w:kern w:val="0"/>
                <w:sz w:val="18"/>
                <w:szCs w:val="18"/>
                <w:lang w:bidi="ar"/>
              </w:rPr>
            </w:pPr>
            <w:r>
              <w:rPr>
                <w:rFonts w:hint="eastAsia" w:ascii="SimSun" w:hAnsi="SimSun" w:cs="SimSun"/>
                <w:kern w:val="0"/>
                <w:sz w:val="18"/>
                <w:szCs w:val="18"/>
                <w:lang w:bidi="ar"/>
              </w:rPr>
              <w:t>资金支付完成率</w:t>
            </w:r>
          </w:p>
        </w:tc>
        <w:tc>
          <w:tcPr>
            <w:tcW w:w="992" w:type="dxa"/>
            <w:tcBorders>
              <w:top w:val="single" w:color="000000" w:sz="4" w:space="0"/>
              <w:left w:val="single" w:color="000000" w:sz="4" w:space="0"/>
              <w:bottom w:val="single" w:color="000000" w:sz="4" w:space="0"/>
            </w:tcBorders>
            <w:shd w:val="clear" w:color="auto" w:fill="auto"/>
          </w:tcPr>
          <w:p>
            <w:pPr>
              <w:widowControl/>
              <w:jc w:val="center"/>
              <w:textAlignment w:val="center"/>
              <w:rPr>
                <w:rFonts w:ascii="SimSun" w:hAnsi="SimSun" w:cs="SimSun"/>
                <w:kern w:val="0"/>
                <w:sz w:val="18"/>
                <w:szCs w:val="18"/>
                <w:lang w:bidi="ar"/>
              </w:rPr>
            </w:pPr>
            <w:r>
              <w:rPr>
                <w:rFonts w:hint="eastAsia" w:ascii="SimSun" w:hAnsi="SimSun" w:cs="SimSun"/>
                <w:kern w:val="0"/>
                <w:sz w:val="18"/>
                <w:szCs w:val="18"/>
                <w:lang w:val="en-US" w:eastAsia="zh-CN" w:bidi="ar"/>
              </w:rPr>
              <w:t>=100</w:t>
            </w:r>
            <w:r>
              <w:rPr>
                <w:rFonts w:hint="eastAsia" w:ascii="SimSun" w:hAnsi="SimSun" w:cs="SimSun"/>
                <w:kern w:val="0"/>
                <w:sz w:val="18"/>
                <w:szCs w:val="18"/>
                <w:lang w:bidi="ar"/>
              </w:rPr>
              <w:t>%</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val="en-US" w:eastAsia="zh-CN" w:bidi="ar"/>
              </w:rPr>
              <w:t>100</w:t>
            </w:r>
            <w:r>
              <w:rPr>
                <w:rFonts w:hint="eastAsia" w:ascii="SimSun" w:hAnsi="SimSun" w:cs="SimSun"/>
                <w:kern w:val="0"/>
                <w:sz w:val="18"/>
                <w:szCs w:val="18"/>
                <w:lang w:bidi="ar"/>
              </w:rPr>
              <w:t>%</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SimSun" w:hAnsi="SimSun" w:eastAsia="SimSun" w:cs="SimSun"/>
                <w:sz w:val="18"/>
                <w:szCs w:val="18"/>
                <w:lang w:eastAsia="zh-CN"/>
              </w:rPr>
            </w:pPr>
            <w:r>
              <w:rPr>
                <w:rFonts w:hint="eastAsia" w:ascii="SimSun" w:hAnsi="SimSun" w:cs="SimSun"/>
                <w:kern w:val="0"/>
                <w:sz w:val="18"/>
                <w:szCs w:val="18"/>
                <w:lang w:val="en-US" w:eastAsia="zh-CN" w:bidi="ar"/>
              </w:rPr>
              <w:t>15</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SimSun" w:hAnsi="SimSun" w:eastAsia="SimSun" w:cs="SimSun"/>
                <w:sz w:val="18"/>
                <w:szCs w:val="18"/>
                <w:lang w:eastAsia="zh-CN"/>
              </w:rPr>
            </w:pPr>
            <w:r>
              <w:rPr>
                <w:rFonts w:hint="eastAsia" w:ascii="SimSun" w:hAnsi="SimSun" w:cs="SimSun"/>
                <w:kern w:val="0"/>
                <w:sz w:val="18"/>
                <w:szCs w:val="18"/>
                <w:lang w:val="en-US" w:eastAsia="zh-CN" w:bidi="ar"/>
              </w:rPr>
              <w:t>15</w:t>
            </w:r>
          </w:p>
        </w:tc>
        <w:tc>
          <w:tcPr>
            <w:tcW w:w="1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r>
      <w:tr>
        <w:tblPrEx>
          <w:tblCellMar>
            <w:top w:w="15" w:type="dxa"/>
            <w:left w:w="15" w:type="dxa"/>
            <w:bottom w:w="15" w:type="dxa"/>
            <w:right w:w="15" w:type="dxa"/>
          </w:tblCellMar>
        </w:tblPrEx>
        <w:trPr>
          <w:trHeight w:val="401" w:hRule="atLeast"/>
        </w:trPr>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时效指标</w:t>
            </w:r>
          </w:p>
        </w:tc>
        <w:tc>
          <w:tcPr>
            <w:tcW w:w="1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SimSun" w:hAnsi="SimSun" w:eastAsia="SimSun" w:cs="SimSun"/>
                <w:sz w:val="18"/>
                <w:szCs w:val="18"/>
                <w:lang w:val="en-US" w:eastAsia="zh-CN"/>
              </w:rPr>
            </w:pPr>
            <w:r>
              <w:rPr>
                <w:rFonts w:hint="eastAsia" w:ascii="SimSun" w:hAnsi="SimSun" w:cs="SimSun"/>
                <w:sz w:val="18"/>
                <w:szCs w:val="18"/>
                <w:lang w:val="en-US" w:eastAsia="zh-CN"/>
              </w:rPr>
              <w:t>项目资金支付及时率</w:t>
            </w:r>
          </w:p>
        </w:tc>
        <w:tc>
          <w:tcPr>
            <w:tcW w:w="9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rPr>
              <w:t>≥90%</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val="en-US" w:eastAsia="zh-CN" w:bidi="ar"/>
              </w:rPr>
              <w:t>100</w:t>
            </w:r>
            <w:r>
              <w:rPr>
                <w:rFonts w:hint="eastAsia" w:ascii="SimSun" w:hAnsi="SimSun" w:cs="SimSun"/>
                <w:kern w:val="0"/>
                <w:sz w:val="18"/>
                <w:szCs w:val="18"/>
                <w:lang w:bidi="ar"/>
              </w:rPr>
              <w:t>%</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sz w:val="18"/>
                <w:szCs w:val="18"/>
                <w:lang w:val="en-US" w:eastAsia="zh-CN"/>
              </w:rPr>
            </w:pPr>
            <w:r>
              <w:rPr>
                <w:rFonts w:hint="eastAsia" w:ascii="SimSun" w:hAnsi="SimSun" w:cs="SimSun"/>
                <w:kern w:val="0"/>
                <w:sz w:val="18"/>
                <w:szCs w:val="18"/>
                <w:lang w:val="en-US" w:eastAsia="zh-CN" w:bidi="ar"/>
              </w:rPr>
              <w:t>15</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sz w:val="18"/>
                <w:szCs w:val="18"/>
                <w:lang w:val="en-US" w:eastAsia="zh-CN"/>
              </w:rPr>
            </w:pPr>
            <w:r>
              <w:rPr>
                <w:rFonts w:hint="eastAsia" w:ascii="SimSun" w:hAnsi="SimSun" w:cs="SimSun"/>
                <w:kern w:val="0"/>
                <w:sz w:val="18"/>
                <w:szCs w:val="18"/>
                <w:lang w:val="en-US" w:eastAsia="zh-CN" w:bidi="ar"/>
              </w:rPr>
              <w:t>15</w:t>
            </w:r>
          </w:p>
        </w:tc>
        <w:tc>
          <w:tcPr>
            <w:tcW w:w="1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r>
      <w:tr>
        <w:tblPrEx>
          <w:tblCellMar>
            <w:top w:w="15" w:type="dxa"/>
            <w:left w:w="15" w:type="dxa"/>
            <w:bottom w:w="15" w:type="dxa"/>
            <w:right w:w="15" w:type="dxa"/>
          </w:tblCellMar>
        </w:tblPrEx>
        <w:trPr>
          <w:trHeight w:val="495" w:hRule="atLeast"/>
        </w:trPr>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56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成本指标</w:t>
            </w:r>
          </w:p>
        </w:tc>
        <w:tc>
          <w:tcPr>
            <w:tcW w:w="1843" w:type="dxa"/>
            <w:gridSpan w:val="3"/>
            <w:tcBorders>
              <w:top w:val="single" w:color="000000" w:sz="4" w:space="0"/>
              <w:left w:val="single" w:color="000000" w:sz="4" w:space="0"/>
              <w:bottom w:val="single" w:color="000000" w:sz="4" w:space="0"/>
              <w:right w:val="single" w:color="000000" w:sz="4" w:space="0"/>
            </w:tcBorders>
            <w:shd w:val="clear" w:color="auto" w:fill="auto"/>
          </w:tcPr>
          <w:p>
            <w:pPr>
              <w:rPr>
                <w:rFonts w:hint="default" w:eastAsia="SimSun"/>
                <w:lang w:val="en-US" w:eastAsia="zh-CN"/>
              </w:rPr>
            </w:pPr>
            <w:r>
              <w:rPr>
                <w:rFonts w:hint="eastAsia"/>
                <w:lang w:val="en-US" w:eastAsia="zh-CN"/>
              </w:rPr>
              <w:t>项目预算控制率</w:t>
            </w:r>
          </w:p>
        </w:tc>
        <w:tc>
          <w:tcPr>
            <w:tcW w:w="992" w:type="dxa"/>
            <w:tcBorders>
              <w:top w:val="single" w:color="000000" w:sz="4" w:space="0"/>
              <w:left w:val="single" w:color="000000" w:sz="4" w:space="0"/>
              <w:bottom w:val="single" w:color="000000" w:sz="4" w:space="0"/>
            </w:tcBorders>
            <w:shd w:val="clear" w:color="auto" w:fill="auto"/>
          </w:tcPr>
          <w:p>
            <w:r>
              <w:rPr>
                <w:rFonts w:hint="eastAsia" w:ascii="SimSun" w:hAnsi="SimSun" w:cs="SimSun"/>
                <w:kern w:val="0"/>
                <w:sz w:val="18"/>
                <w:szCs w:val="18"/>
                <w:lang w:val="en-US" w:eastAsia="zh-CN" w:bidi="ar"/>
              </w:rPr>
              <w:t>=100</w:t>
            </w:r>
            <w:r>
              <w:rPr>
                <w:rFonts w:hint="eastAsia" w:ascii="SimSun" w:hAnsi="SimSun" w:cs="SimSun"/>
                <w:kern w:val="0"/>
                <w:sz w:val="18"/>
                <w:szCs w:val="18"/>
                <w:lang w:bidi="ar"/>
              </w:rPr>
              <w:t>%</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val="en-US" w:eastAsia="zh-CN" w:bidi="ar"/>
              </w:rPr>
              <w:t>100</w:t>
            </w:r>
            <w:r>
              <w:rPr>
                <w:rFonts w:hint="eastAsia" w:ascii="SimSun" w:hAnsi="SimSun" w:cs="SimSun"/>
                <w:kern w:val="0"/>
                <w:sz w:val="18"/>
                <w:szCs w:val="18"/>
                <w:lang w:bidi="ar"/>
              </w:rPr>
              <w:t>%</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sz w:val="18"/>
                <w:szCs w:val="18"/>
                <w:lang w:val="en-US" w:eastAsia="zh-CN"/>
              </w:rPr>
            </w:pPr>
            <w:r>
              <w:rPr>
                <w:rFonts w:hint="eastAsia" w:ascii="SimSun" w:hAnsi="SimSun" w:cs="SimSun"/>
                <w:kern w:val="0"/>
                <w:sz w:val="18"/>
                <w:szCs w:val="18"/>
                <w:lang w:val="en-US" w:eastAsia="zh-CN" w:bidi="ar"/>
              </w:rPr>
              <w:t>20</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sz w:val="18"/>
                <w:szCs w:val="18"/>
                <w:lang w:val="en-US" w:eastAsia="zh-CN"/>
              </w:rPr>
            </w:pPr>
            <w:r>
              <w:rPr>
                <w:rFonts w:hint="eastAsia" w:ascii="SimSun" w:hAnsi="SimSun" w:cs="SimSun"/>
                <w:kern w:val="0"/>
                <w:sz w:val="18"/>
                <w:szCs w:val="18"/>
                <w:lang w:val="en-US" w:eastAsia="zh-CN" w:bidi="ar"/>
              </w:rPr>
              <w:t>20</w:t>
            </w:r>
          </w:p>
        </w:tc>
        <w:tc>
          <w:tcPr>
            <w:tcW w:w="1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r>
      <w:tr>
        <w:tblPrEx>
          <w:tblCellMar>
            <w:top w:w="15" w:type="dxa"/>
            <w:left w:w="15" w:type="dxa"/>
            <w:bottom w:w="15" w:type="dxa"/>
            <w:right w:w="15" w:type="dxa"/>
          </w:tblCellMar>
        </w:tblPrEx>
        <w:trPr>
          <w:trHeight w:val="675" w:hRule="atLeast"/>
        </w:trPr>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567" w:type="dxa"/>
            <w:vMerge w:val="restart"/>
            <w:tcBorders>
              <w:top w:val="single" w:color="000000" w:sz="4" w:space="0"/>
              <w:left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效益指标</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sz w:val="18"/>
                <w:szCs w:val="18"/>
                <w:lang w:val="en-US" w:eastAsia="zh-CN"/>
              </w:rPr>
            </w:pPr>
            <w:r>
              <w:rPr>
                <w:rFonts w:hint="eastAsia" w:ascii="SimSun" w:hAnsi="SimSun" w:cs="SimSun"/>
                <w:kern w:val="0"/>
                <w:sz w:val="18"/>
                <w:szCs w:val="18"/>
                <w:lang w:val="en-US" w:eastAsia="zh-CN" w:bidi="ar"/>
              </w:rPr>
              <w:t>经济效益指标</w:t>
            </w:r>
          </w:p>
        </w:tc>
        <w:tc>
          <w:tcPr>
            <w:tcW w:w="1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SimSun" w:hAnsi="SimSun" w:cs="SimSun"/>
                <w:sz w:val="18"/>
                <w:szCs w:val="18"/>
              </w:rPr>
            </w:pPr>
          </w:p>
        </w:tc>
        <w:tc>
          <w:tcPr>
            <w:tcW w:w="992" w:type="dxa"/>
            <w:tcBorders>
              <w:top w:val="single" w:color="000000" w:sz="4" w:space="0"/>
              <w:left w:val="single" w:color="000000" w:sz="4" w:space="0"/>
              <w:bottom w:val="single" w:color="000000" w:sz="4" w:space="0"/>
            </w:tcBorders>
            <w:shd w:val="clear" w:color="auto" w:fill="auto"/>
            <w:vAlign w:val="center"/>
          </w:tcPr>
          <w:p>
            <w:pPr>
              <w:widowControl/>
              <w:jc w:val="center"/>
              <w:textAlignment w:val="center"/>
              <w:rPr>
                <w:rFonts w:ascii="SimSun" w:hAnsi="SimSun" w:cs="SimSun"/>
                <w:sz w:val="18"/>
                <w:szCs w:val="18"/>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p>
        </w:tc>
        <w:tc>
          <w:tcPr>
            <w:tcW w:w="1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r>
      <w:tr>
        <w:tblPrEx>
          <w:tblCellMar>
            <w:top w:w="15" w:type="dxa"/>
            <w:left w:w="15" w:type="dxa"/>
            <w:bottom w:w="15" w:type="dxa"/>
            <w:right w:w="15" w:type="dxa"/>
          </w:tblCellMar>
        </w:tblPrEx>
        <w:trPr>
          <w:trHeight w:val="675" w:hRule="atLeast"/>
        </w:trPr>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567" w:type="dxa"/>
            <w:vMerge w:val="continue"/>
            <w:tcBorders>
              <w:left w:val="single" w:color="000000" w:sz="4" w:space="0"/>
              <w:right w:val="single" w:color="000000" w:sz="4" w:space="0"/>
            </w:tcBorders>
            <w:shd w:val="clear" w:color="auto" w:fill="auto"/>
            <w:vAlign w:val="center"/>
          </w:tcPr>
          <w:p>
            <w:pPr>
              <w:widowControl/>
              <w:jc w:val="center"/>
              <w:textAlignment w:val="center"/>
              <w:rPr>
                <w:rFonts w:ascii="SimSun" w:hAnsi="SimSun" w:cs="SimSun"/>
                <w:kern w:val="0"/>
                <w:sz w:val="18"/>
                <w:szCs w:val="18"/>
                <w:lang w:bidi="ar"/>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SimSun" w:hAnsi="SimSun" w:cs="SimSun"/>
                <w:kern w:val="0"/>
                <w:sz w:val="18"/>
                <w:szCs w:val="18"/>
                <w:lang w:bidi="ar"/>
              </w:rPr>
            </w:pPr>
            <w:r>
              <w:rPr>
                <w:rFonts w:hint="eastAsia" w:ascii="SimSun" w:hAnsi="SimSun" w:cs="SimSun"/>
                <w:kern w:val="0"/>
                <w:sz w:val="18"/>
                <w:szCs w:val="18"/>
                <w:lang w:bidi="ar"/>
              </w:rPr>
              <w:t>社会效益</w:t>
            </w:r>
            <w:r>
              <w:rPr>
                <w:rFonts w:hint="eastAsia" w:ascii="SimSun" w:hAnsi="SimSun" w:cs="SimSun"/>
                <w:kern w:val="0"/>
                <w:sz w:val="18"/>
                <w:szCs w:val="18"/>
                <w:lang w:bidi="ar"/>
              </w:rPr>
              <w:br w:type="textWrapping"/>
            </w:r>
            <w:r>
              <w:rPr>
                <w:rFonts w:hint="eastAsia" w:ascii="SimSun" w:hAnsi="SimSun" w:cs="SimSun"/>
                <w:kern w:val="0"/>
                <w:sz w:val="18"/>
                <w:szCs w:val="18"/>
                <w:lang w:bidi="ar"/>
              </w:rPr>
              <w:t>指标</w:t>
            </w:r>
          </w:p>
        </w:tc>
        <w:tc>
          <w:tcPr>
            <w:tcW w:w="1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eastAsia="SimSun"/>
                <w:sz w:val="18"/>
                <w:szCs w:val="18"/>
                <w:lang w:val="en-US" w:eastAsia="zh-CN"/>
              </w:rPr>
            </w:pPr>
            <w:r>
              <w:rPr>
                <w:rFonts w:hint="eastAsia"/>
                <w:sz w:val="18"/>
                <w:szCs w:val="18"/>
                <w:lang w:val="en-US" w:eastAsia="zh-CN"/>
              </w:rPr>
              <w:t>改善校园基础设施建设</w:t>
            </w:r>
          </w:p>
        </w:tc>
        <w:tc>
          <w:tcPr>
            <w:tcW w:w="992" w:type="dxa"/>
            <w:tcBorders>
              <w:top w:val="single" w:color="000000" w:sz="4" w:space="0"/>
              <w:left w:val="single" w:color="000000" w:sz="4" w:space="0"/>
              <w:bottom w:val="single" w:color="000000" w:sz="4" w:space="0"/>
            </w:tcBorders>
            <w:shd w:val="clear" w:color="auto" w:fill="auto"/>
            <w:vAlign w:val="center"/>
          </w:tcPr>
          <w:p>
            <w:pPr>
              <w:jc w:val="center"/>
              <w:rPr>
                <w:rFonts w:hint="default" w:eastAsia="SimSun"/>
                <w:color w:val="000000"/>
                <w:szCs w:val="21"/>
                <w:lang w:val="en-US" w:eastAsia="zh-CN"/>
              </w:rPr>
            </w:pPr>
            <w:r>
              <w:rPr>
                <w:rFonts w:hint="eastAsia"/>
                <w:color w:val="000000"/>
                <w:szCs w:val="21"/>
                <w:lang w:val="en-US" w:eastAsia="zh-CN"/>
              </w:rPr>
              <w:t>有效改善</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color w:val="000000"/>
                <w:szCs w:val="21"/>
              </w:rPr>
            </w:pPr>
            <w:r>
              <w:rPr>
                <w:rFonts w:hint="eastAsia"/>
                <w:color w:val="000000"/>
                <w:szCs w:val="21"/>
                <w:lang w:val="en-US" w:eastAsia="zh-CN"/>
              </w:rPr>
              <w:t>有效改善</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kern w:val="0"/>
                <w:sz w:val="18"/>
                <w:szCs w:val="18"/>
                <w:lang w:val="en-US" w:eastAsia="zh-CN" w:bidi="ar"/>
              </w:rPr>
            </w:pPr>
            <w:r>
              <w:rPr>
                <w:rFonts w:hint="eastAsia" w:ascii="SimSun" w:hAnsi="SimSun" w:cs="SimSun"/>
                <w:kern w:val="0"/>
                <w:sz w:val="18"/>
                <w:szCs w:val="18"/>
                <w:lang w:val="en-US" w:eastAsia="zh-CN" w:bidi="ar"/>
              </w:rPr>
              <w:t>10</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kern w:val="0"/>
                <w:sz w:val="18"/>
                <w:szCs w:val="18"/>
                <w:lang w:val="en-US" w:eastAsia="zh-CN" w:bidi="ar"/>
              </w:rPr>
            </w:pPr>
            <w:r>
              <w:rPr>
                <w:rFonts w:hint="eastAsia" w:ascii="SimSun" w:hAnsi="SimSun" w:cs="SimSun"/>
                <w:kern w:val="0"/>
                <w:sz w:val="18"/>
                <w:szCs w:val="18"/>
                <w:lang w:val="en-US" w:eastAsia="zh-CN" w:bidi="ar"/>
              </w:rPr>
              <w:t>10</w:t>
            </w:r>
          </w:p>
        </w:tc>
        <w:tc>
          <w:tcPr>
            <w:tcW w:w="1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r>
      <w:tr>
        <w:tblPrEx>
          <w:tblCellMar>
            <w:top w:w="15" w:type="dxa"/>
            <w:left w:w="15" w:type="dxa"/>
            <w:bottom w:w="15" w:type="dxa"/>
            <w:right w:w="15" w:type="dxa"/>
          </w:tblCellMar>
        </w:tblPrEx>
        <w:trPr>
          <w:trHeight w:val="675" w:hRule="atLeast"/>
        </w:trPr>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567" w:type="dxa"/>
            <w:vMerge w:val="continue"/>
            <w:tcBorders>
              <w:left w:val="single" w:color="000000" w:sz="4" w:space="0"/>
              <w:right w:val="single" w:color="000000" w:sz="4" w:space="0"/>
            </w:tcBorders>
            <w:shd w:val="clear" w:color="auto" w:fill="auto"/>
            <w:vAlign w:val="center"/>
          </w:tcPr>
          <w:p>
            <w:pPr>
              <w:widowControl/>
              <w:jc w:val="center"/>
              <w:textAlignment w:val="center"/>
              <w:rPr>
                <w:rFonts w:ascii="SimSun" w:hAnsi="SimSun" w:cs="SimSun"/>
                <w:kern w:val="0"/>
                <w:sz w:val="18"/>
                <w:szCs w:val="18"/>
                <w:lang w:bidi="ar"/>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kern w:val="0"/>
                <w:sz w:val="18"/>
                <w:szCs w:val="18"/>
                <w:lang w:bidi="ar"/>
              </w:rPr>
            </w:pPr>
            <w:r>
              <w:rPr>
                <w:rFonts w:hint="eastAsia" w:ascii="SimSun" w:hAnsi="SimSun" w:cs="SimSun"/>
                <w:kern w:val="0"/>
                <w:sz w:val="18"/>
                <w:szCs w:val="18"/>
                <w:lang w:bidi="ar"/>
              </w:rPr>
              <w:t>生态效益指标</w:t>
            </w:r>
          </w:p>
        </w:tc>
        <w:tc>
          <w:tcPr>
            <w:tcW w:w="1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SimSun" w:hAnsi="SimSun" w:cs="SimSun"/>
                <w:sz w:val="18"/>
                <w:szCs w:val="18"/>
              </w:rPr>
            </w:pPr>
          </w:p>
        </w:tc>
        <w:tc>
          <w:tcPr>
            <w:tcW w:w="992" w:type="dxa"/>
            <w:tcBorders>
              <w:top w:val="single" w:color="000000" w:sz="4" w:space="0"/>
              <w:left w:val="single" w:color="000000" w:sz="4" w:space="0"/>
              <w:bottom w:val="single" w:color="000000" w:sz="4" w:space="0"/>
            </w:tcBorders>
            <w:shd w:val="clear" w:color="auto" w:fill="auto"/>
            <w:vAlign w:val="center"/>
          </w:tcPr>
          <w:p>
            <w:pPr>
              <w:jc w:val="center"/>
              <w:rPr>
                <w:rFonts w:cs="SimSun"/>
                <w:color w:val="000000"/>
                <w:szCs w:val="21"/>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cs="SimSun"/>
                <w:color w:val="000000"/>
                <w:szCs w:val="21"/>
              </w:rPr>
            </w:pP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p>
        </w:tc>
        <w:tc>
          <w:tcPr>
            <w:tcW w:w="1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r>
      <w:tr>
        <w:tblPrEx>
          <w:tblCellMar>
            <w:top w:w="15" w:type="dxa"/>
            <w:left w:w="15" w:type="dxa"/>
            <w:bottom w:w="15" w:type="dxa"/>
            <w:right w:w="15" w:type="dxa"/>
          </w:tblCellMar>
        </w:tblPrEx>
        <w:trPr>
          <w:trHeight w:val="675" w:hRule="atLeast"/>
        </w:trPr>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567" w:type="dxa"/>
            <w:vMerge w:val="continue"/>
            <w:tcBorders>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kern w:val="0"/>
                <w:sz w:val="18"/>
                <w:szCs w:val="18"/>
                <w:lang w:bidi="ar"/>
              </w:rPr>
            </w:pP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kern w:val="0"/>
                <w:sz w:val="18"/>
                <w:szCs w:val="18"/>
                <w:lang w:bidi="ar"/>
              </w:rPr>
            </w:pPr>
            <w:r>
              <w:rPr>
                <w:rFonts w:hint="eastAsia" w:ascii="SimSun" w:hAnsi="SimSun" w:cs="SimSun"/>
                <w:kern w:val="0"/>
                <w:sz w:val="18"/>
                <w:szCs w:val="18"/>
                <w:lang w:bidi="ar"/>
              </w:rPr>
              <w:t>可持续影响指标</w:t>
            </w:r>
          </w:p>
        </w:tc>
        <w:tc>
          <w:tcPr>
            <w:tcW w:w="1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hint="default" w:ascii="SimSun" w:hAnsi="SimSun" w:eastAsia="SimSun" w:cs="SimSun"/>
                <w:sz w:val="18"/>
                <w:szCs w:val="18"/>
                <w:lang w:val="en-US" w:eastAsia="zh-CN"/>
              </w:rPr>
            </w:pPr>
            <w:r>
              <w:rPr>
                <w:rFonts w:hint="eastAsia"/>
                <w:sz w:val="18"/>
                <w:szCs w:val="18"/>
                <w:lang w:val="en-US" w:eastAsia="zh-CN"/>
              </w:rPr>
              <w:t>促进工程企业发展</w:t>
            </w:r>
          </w:p>
        </w:tc>
        <w:tc>
          <w:tcPr>
            <w:tcW w:w="992" w:type="dxa"/>
            <w:tcBorders>
              <w:top w:val="single" w:color="000000" w:sz="4" w:space="0"/>
              <w:left w:val="single" w:color="000000" w:sz="4" w:space="0"/>
              <w:bottom w:val="single" w:color="000000" w:sz="4" w:space="0"/>
            </w:tcBorders>
            <w:shd w:val="clear" w:color="auto" w:fill="auto"/>
            <w:vAlign w:val="center"/>
          </w:tcPr>
          <w:p>
            <w:pPr>
              <w:jc w:val="center"/>
              <w:rPr>
                <w:rFonts w:hint="default" w:eastAsia="SimSun" w:cs="SimSun"/>
                <w:color w:val="000000"/>
                <w:szCs w:val="21"/>
                <w:lang w:val="en-US" w:eastAsia="zh-CN"/>
              </w:rPr>
            </w:pPr>
            <w:r>
              <w:rPr>
                <w:rFonts w:hint="eastAsia"/>
                <w:color w:val="000000"/>
                <w:szCs w:val="21"/>
                <w:lang w:val="en-US" w:eastAsia="zh-CN"/>
              </w:rPr>
              <w:t>有效促进</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cs="SimSun"/>
                <w:color w:val="000000"/>
                <w:szCs w:val="21"/>
              </w:rPr>
            </w:pPr>
            <w:r>
              <w:rPr>
                <w:rFonts w:hint="eastAsia"/>
                <w:color w:val="000000"/>
                <w:szCs w:val="21"/>
                <w:lang w:val="en-US" w:eastAsia="zh-CN"/>
              </w:rPr>
              <w:t>有效促进</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sz w:val="18"/>
                <w:szCs w:val="18"/>
                <w:lang w:val="en-US" w:eastAsia="zh-CN"/>
              </w:rPr>
            </w:pPr>
            <w:r>
              <w:rPr>
                <w:rFonts w:hint="eastAsia" w:ascii="SimSun" w:hAnsi="SimSun" w:cs="SimSun"/>
                <w:kern w:val="0"/>
                <w:sz w:val="18"/>
                <w:szCs w:val="18"/>
                <w:lang w:val="en-US" w:eastAsia="zh-CN" w:bidi="ar"/>
              </w:rPr>
              <w:t>10</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sz w:val="18"/>
                <w:szCs w:val="18"/>
                <w:lang w:val="en-US" w:eastAsia="zh-CN"/>
              </w:rPr>
            </w:pPr>
            <w:r>
              <w:rPr>
                <w:rFonts w:hint="eastAsia" w:ascii="SimSun" w:hAnsi="SimSun" w:cs="SimSun"/>
                <w:kern w:val="0"/>
                <w:sz w:val="18"/>
                <w:szCs w:val="18"/>
                <w:lang w:val="en-US" w:eastAsia="zh-CN" w:bidi="ar"/>
              </w:rPr>
              <w:t>10</w:t>
            </w:r>
          </w:p>
        </w:tc>
        <w:tc>
          <w:tcPr>
            <w:tcW w:w="1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r>
      <w:tr>
        <w:tblPrEx>
          <w:tblCellMar>
            <w:top w:w="15" w:type="dxa"/>
            <w:left w:w="15" w:type="dxa"/>
            <w:bottom w:w="15" w:type="dxa"/>
            <w:right w:w="15" w:type="dxa"/>
          </w:tblCellMar>
        </w:tblPrEx>
        <w:trPr>
          <w:trHeight w:val="720" w:hRule="atLeast"/>
        </w:trPr>
        <w:tc>
          <w:tcPr>
            <w:tcW w:w="299"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c>
          <w:tcPr>
            <w:tcW w:w="567"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满意度</w:t>
            </w:r>
          </w:p>
        </w:tc>
        <w:tc>
          <w:tcPr>
            <w:tcW w:w="567"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服务对象满意度指标</w:t>
            </w:r>
          </w:p>
        </w:tc>
        <w:tc>
          <w:tcPr>
            <w:tcW w:w="1843"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default" w:ascii="SimSun" w:hAnsi="SimSun" w:eastAsia="SimSun" w:cs="SimSun"/>
                <w:sz w:val="18"/>
                <w:szCs w:val="18"/>
                <w:lang w:val="en-US" w:eastAsia="zh-CN"/>
              </w:rPr>
            </w:pPr>
            <w:r>
              <w:rPr>
                <w:rFonts w:hint="eastAsia" w:ascii="SimSun" w:hAnsi="SimSun" w:cs="SimSun"/>
                <w:kern w:val="0"/>
                <w:sz w:val="18"/>
                <w:szCs w:val="18"/>
                <w:lang w:val="en-US" w:eastAsia="zh-CN" w:bidi="ar"/>
              </w:rPr>
              <w:t>企业满意度</w:t>
            </w:r>
          </w:p>
        </w:tc>
        <w:tc>
          <w:tcPr>
            <w:tcW w:w="992" w:type="dxa"/>
            <w:tcBorders>
              <w:top w:val="single" w:color="000000" w:sz="4" w:space="0"/>
              <w:bottom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w:t>
            </w:r>
            <w:r>
              <w:rPr>
                <w:rFonts w:hint="eastAsia" w:ascii="SimSun" w:hAnsi="SimSun" w:cs="SimSun"/>
                <w:kern w:val="0"/>
                <w:sz w:val="18"/>
                <w:szCs w:val="18"/>
                <w:lang w:val="en-US" w:eastAsia="zh-CN" w:bidi="ar"/>
              </w:rPr>
              <w:t>90</w:t>
            </w:r>
            <w:r>
              <w:rPr>
                <w:rFonts w:hint="eastAsia" w:ascii="SimSun" w:hAnsi="SimSun" w:cs="SimSun"/>
                <w:kern w:val="0"/>
                <w:sz w:val="18"/>
                <w:szCs w:val="18"/>
                <w:lang w:bidi="ar"/>
              </w:rPr>
              <w:t>%</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val="en-US" w:eastAsia="zh-CN" w:bidi="ar"/>
              </w:rPr>
              <w:t>100</w:t>
            </w:r>
            <w:r>
              <w:rPr>
                <w:rFonts w:hint="eastAsia" w:ascii="SimSun" w:hAnsi="SimSun" w:cs="SimSun"/>
                <w:kern w:val="0"/>
                <w:sz w:val="18"/>
                <w:szCs w:val="18"/>
                <w:lang w:bidi="ar"/>
              </w:rPr>
              <w:t>%</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sz w:val="18"/>
                <w:szCs w:val="18"/>
                <w:lang w:val="en-US" w:eastAsia="zh-CN"/>
              </w:rPr>
            </w:pPr>
            <w:r>
              <w:rPr>
                <w:rFonts w:hint="eastAsia" w:ascii="SimSun" w:hAnsi="SimSun" w:cs="SimSun"/>
                <w:kern w:val="0"/>
                <w:sz w:val="18"/>
                <w:szCs w:val="18"/>
                <w:lang w:val="en-US" w:eastAsia="zh-CN" w:bidi="ar"/>
              </w:rPr>
              <w:t>10</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sz w:val="18"/>
                <w:szCs w:val="18"/>
                <w:lang w:val="en-US" w:eastAsia="zh-CN"/>
              </w:rPr>
            </w:pPr>
            <w:r>
              <w:rPr>
                <w:rFonts w:hint="eastAsia" w:ascii="SimSun" w:hAnsi="SimSun" w:cs="SimSun"/>
                <w:kern w:val="0"/>
                <w:sz w:val="18"/>
                <w:szCs w:val="18"/>
                <w:lang w:val="en-US" w:eastAsia="zh-CN" w:bidi="ar"/>
              </w:rPr>
              <w:t>10</w:t>
            </w:r>
          </w:p>
        </w:tc>
        <w:tc>
          <w:tcPr>
            <w:tcW w:w="1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18"/>
                <w:szCs w:val="18"/>
              </w:rPr>
            </w:pPr>
          </w:p>
        </w:tc>
      </w:tr>
      <w:tr>
        <w:tblPrEx>
          <w:tblCellMar>
            <w:top w:w="15" w:type="dxa"/>
            <w:left w:w="15" w:type="dxa"/>
            <w:bottom w:w="15" w:type="dxa"/>
            <w:right w:w="15" w:type="dxa"/>
          </w:tblCellMar>
        </w:tblPrEx>
        <w:trPr>
          <w:trHeight w:val="316" w:hRule="atLeast"/>
        </w:trPr>
        <w:tc>
          <w:tcPr>
            <w:tcW w:w="554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合计</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90</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sz w:val="18"/>
                <w:szCs w:val="18"/>
                <w:lang w:val="en-US" w:eastAsia="zh-CN"/>
              </w:rPr>
            </w:pPr>
            <w:r>
              <w:rPr>
                <w:rFonts w:hint="eastAsia" w:ascii="SimSun" w:hAnsi="SimSun" w:cs="SimSun"/>
                <w:kern w:val="0"/>
                <w:sz w:val="18"/>
                <w:szCs w:val="18"/>
                <w:lang w:val="en-US" w:eastAsia="zh-CN" w:bidi="ar"/>
              </w:rPr>
              <w:t>90</w:t>
            </w:r>
          </w:p>
        </w:tc>
        <w:tc>
          <w:tcPr>
            <w:tcW w:w="1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rPr>
                <w:rFonts w:ascii="SimSun" w:hAnsi="SimSun" w:cs="SimSun"/>
                <w:sz w:val="24"/>
              </w:rPr>
            </w:pPr>
          </w:p>
        </w:tc>
      </w:tr>
      <w:tr>
        <w:tblPrEx>
          <w:tblCellMar>
            <w:top w:w="15" w:type="dxa"/>
            <w:left w:w="15" w:type="dxa"/>
            <w:bottom w:w="15" w:type="dxa"/>
            <w:right w:w="15" w:type="dxa"/>
          </w:tblCellMar>
        </w:tblPrEx>
        <w:trPr>
          <w:trHeight w:val="286" w:hRule="atLeast"/>
        </w:trPr>
        <w:tc>
          <w:tcPr>
            <w:tcW w:w="5544" w:type="dxa"/>
            <w:gridSpan w:val="9"/>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总分</w:t>
            </w:r>
          </w:p>
        </w:tc>
        <w:tc>
          <w:tcPr>
            <w:tcW w:w="70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SimSun" w:hAnsi="SimSun" w:cs="SimSun"/>
                <w:sz w:val="18"/>
                <w:szCs w:val="18"/>
              </w:rPr>
            </w:pPr>
            <w:r>
              <w:rPr>
                <w:rFonts w:hint="eastAsia" w:ascii="SimSun" w:hAnsi="SimSun" w:cs="SimSun"/>
                <w:kern w:val="0"/>
                <w:sz w:val="18"/>
                <w:szCs w:val="18"/>
                <w:lang w:bidi="ar"/>
              </w:rPr>
              <w:t>100</w:t>
            </w:r>
          </w:p>
        </w:tc>
        <w:tc>
          <w:tcPr>
            <w:tcW w:w="851"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SimSun" w:hAnsi="SimSun" w:eastAsia="SimSun" w:cs="SimSun"/>
                <w:sz w:val="18"/>
                <w:szCs w:val="18"/>
                <w:lang w:val="en-US" w:eastAsia="zh-CN"/>
              </w:rPr>
            </w:pPr>
            <w:r>
              <w:rPr>
                <w:rFonts w:hint="eastAsia" w:ascii="SimSun" w:hAnsi="SimSun" w:cs="SimSun"/>
                <w:kern w:val="0"/>
                <w:sz w:val="18"/>
                <w:szCs w:val="18"/>
                <w:lang w:val="en-US" w:eastAsia="zh-CN" w:bidi="ar"/>
              </w:rPr>
              <w:t>100</w:t>
            </w:r>
          </w:p>
        </w:tc>
        <w:tc>
          <w:tcPr>
            <w:tcW w:w="1233"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SimSun" w:hAnsi="SimSun" w:cs="SimSun"/>
                <w:sz w:val="24"/>
              </w:rPr>
            </w:pPr>
          </w:p>
        </w:tc>
      </w:tr>
    </w:tbl>
    <w:p>
      <w:pPr>
        <w:pStyle w:val="13"/>
        <w:ind w:firstLine="0" w:firstLineChars="0"/>
        <w:rPr>
          <w:rFonts w:ascii="FangSong" w:hAnsi="FangSong" w:eastAsia="FangSong" w:cs="FangSong"/>
          <w:sz w:val="32"/>
          <w:szCs w:val="32"/>
        </w:rPr>
      </w:pPr>
    </w:p>
    <w:p>
      <w:pPr>
        <w:pStyle w:val="13"/>
        <w:numPr>
          <w:ilvl w:val="0"/>
          <w:numId w:val="2"/>
        </w:numPr>
        <w:ind w:firstLine="643"/>
        <w:rPr>
          <w:rFonts w:hint="eastAsia"/>
          <w:b/>
          <w:bCs/>
          <w:sz w:val="32"/>
          <w:szCs w:val="32"/>
        </w:rPr>
      </w:pPr>
      <w:r>
        <w:rPr>
          <w:rFonts w:hint="eastAsia"/>
          <w:b/>
          <w:bCs/>
          <w:sz w:val="32"/>
          <w:szCs w:val="32"/>
        </w:rPr>
        <w:t>绩效评价指标分析</w:t>
      </w:r>
    </w:p>
    <w:p>
      <w:pPr>
        <w:pStyle w:val="13"/>
        <w:ind w:firstLine="640"/>
        <w:rPr>
          <w:rFonts w:hint="eastAsia" w:ascii="FangSong" w:hAnsi="FangSong" w:eastAsia="FangSong" w:cs="FangSong"/>
          <w:sz w:val="32"/>
          <w:szCs w:val="32"/>
          <w:lang w:eastAsia="zh-CN"/>
        </w:rPr>
      </w:pPr>
      <w:r>
        <w:rPr>
          <w:rFonts w:hint="eastAsia" w:ascii="FangSong" w:hAnsi="FangSong" w:eastAsia="FangSong" w:cs="FangSong"/>
          <w:sz w:val="32"/>
          <w:szCs w:val="32"/>
        </w:rPr>
        <w:t>（一）项目决策情况</w:t>
      </w:r>
    </w:p>
    <w:p>
      <w:pPr>
        <w:pStyle w:val="13"/>
        <w:ind w:firstLine="640"/>
        <w:rPr>
          <w:rFonts w:hint="eastAsia" w:ascii="FangSong" w:hAnsi="FangSong" w:eastAsia="FangSong" w:cs="FangSong"/>
          <w:sz w:val="32"/>
          <w:szCs w:val="32"/>
        </w:rPr>
      </w:pPr>
      <w:r>
        <w:rPr>
          <w:rFonts w:hint="eastAsia" w:ascii="FangSong" w:hAnsi="FangSong" w:eastAsia="FangSong" w:cs="FangSong"/>
          <w:sz w:val="32"/>
          <w:szCs w:val="32"/>
        </w:rPr>
        <w:t>我校规定拨付资金，立项依据充分，立项程序规范，绩效目标与实际工作内容相关性高，与项目的实施相符。项目绩效目标细化分解为具体的绩效指标，通过清晰可量化的指标值予以体现，预算内容和项目内容匹配。</w:t>
      </w:r>
    </w:p>
    <w:p>
      <w:pPr>
        <w:pStyle w:val="13"/>
        <w:numPr>
          <w:ilvl w:val="0"/>
          <w:numId w:val="3"/>
        </w:numPr>
        <w:ind w:firstLine="640"/>
        <w:rPr>
          <w:rFonts w:ascii="FangSong" w:hAnsi="FangSong" w:eastAsia="FangSong" w:cs="FangSong"/>
          <w:sz w:val="32"/>
          <w:szCs w:val="32"/>
        </w:rPr>
      </w:pPr>
      <w:r>
        <w:rPr>
          <w:rFonts w:hint="eastAsia" w:ascii="FangSong" w:hAnsi="FangSong" w:eastAsia="FangSong" w:cs="FangSong"/>
          <w:sz w:val="32"/>
          <w:szCs w:val="32"/>
        </w:rPr>
        <w:t>项目过程情况</w:t>
      </w:r>
    </w:p>
    <w:p>
      <w:pPr>
        <w:pStyle w:val="13"/>
        <w:numPr>
          <w:ilvl w:val="0"/>
          <w:numId w:val="4"/>
        </w:numPr>
        <w:ind w:firstLine="640"/>
        <w:rPr>
          <w:rFonts w:hint="eastAsia" w:ascii="FangSong" w:hAnsi="FangSong" w:eastAsia="FangSong" w:cs="FangSong"/>
          <w:sz w:val="32"/>
          <w:szCs w:val="32"/>
          <w:lang w:eastAsia="zh-CN"/>
        </w:rPr>
      </w:pPr>
      <w:r>
        <w:rPr>
          <w:rFonts w:hint="eastAsia" w:ascii="FangSong" w:hAnsi="FangSong" w:eastAsia="FangSong" w:cs="FangSong"/>
          <w:sz w:val="32"/>
          <w:szCs w:val="32"/>
        </w:rPr>
        <w:t>资金到位率：</w:t>
      </w:r>
    </w:p>
    <w:p>
      <w:pPr>
        <w:pStyle w:val="13"/>
        <w:numPr>
          <w:ilvl w:val="0"/>
          <w:numId w:val="0"/>
        </w:numPr>
        <w:rPr>
          <w:rFonts w:hint="eastAsia" w:ascii="FangSong" w:hAnsi="FangSong" w:eastAsia="FangSong" w:cs="FangSong"/>
          <w:bCs/>
          <w:kern w:val="2"/>
          <w:sz w:val="32"/>
          <w:szCs w:val="32"/>
          <w:lang w:val="en-US" w:eastAsia="zh-CN" w:bidi="ar-SA"/>
        </w:rPr>
      </w:pPr>
      <w:r>
        <w:rPr>
          <w:rFonts w:hint="eastAsia" w:ascii="FangSong" w:hAnsi="FangSong" w:eastAsia="FangSong" w:cs="FangSong"/>
          <w:sz w:val="32"/>
          <w:szCs w:val="32"/>
          <w:lang w:val="en-US" w:eastAsia="zh-CN"/>
        </w:rPr>
        <w:t xml:space="preserve">    </w:t>
      </w:r>
      <w:r>
        <w:rPr>
          <w:rFonts w:hint="eastAsia" w:ascii="FangSong" w:hAnsi="FangSong" w:eastAsia="FangSong" w:cs="FangSong"/>
          <w:bCs/>
          <w:kern w:val="2"/>
          <w:sz w:val="32"/>
          <w:szCs w:val="32"/>
          <w:lang w:val="en-US" w:eastAsia="zh-CN" w:bidi="ar-SA"/>
        </w:rPr>
        <w:t>自治区残疾人事业发展补助资金列入2022年预算，自治区财政厅2022年3月拨付残疾人事业发展补助资金</w:t>
      </w:r>
      <w:r>
        <w:rPr>
          <w:rFonts w:hint="eastAsia" w:ascii="FangSong" w:hAnsi="FangSong" w:eastAsia="FangSong" w:cs="FangSong"/>
          <w:bCs/>
          <w:sz w:val="32"/>
          <w:szCs w:val="32"/>
        </w:rPr>
        <w:t>5402427.07</w:t>
      </w:r>
      <w:r>
        <w:rPr>
          <w:rFonts w:hint="eastAsia" w:ascii="FangSong" w:hAnsi="FangSong" w:eastAsia="FangSong" w:cs="FangSong"/>
          <w:bCs/>
          <w:kern w:val="2"/>
          <w:sz w:val="32"/>
          <w:szCs w:val="32"/>
          <w:lang w:val="en-US" w:eastAsia="zh-CN" w:bidi="ar-SA"/>
        </w:rPr>
        <w:t>元，资金到位率100%。</w:t>
      </w:r>
    </w:p>
    <w:p>
      <w:pPr>
        <w:pStyle w:val="13"/>
        <w:numPr>
          <w:ilvl w:val="0"/>
          <w:numId w:val="4"/>
        </w:numPr>
        <w:ind w:firstLine="640" w:firstLineChars="200"/>
        <w:rPr>
          <w:rFonts w:hint="eastAsia" w:ascii="FangSong" w:hAnsi="FangSong" w:eastAsia="FangSong" w:cs="FangSong"/>
          <w:sz w:val="32"/>
          <w:szCs w:val="32"/>
          <w:lang w:eastAsia="zh-CN"/>
        </w:rPr>
      </w:pPr>
      <w:r>
        <w:rPr>
          <w:rFonts w:hint="eastAsia" w:ascii="FangSong" w:hAnsi="FangSong" w:eastAsia="FangSong" w:cs="FangSong"/>
          <w:sz w:val="32"/>
          <w:szCs w:val="32"/>
        </w:rPr>
        <w:t>预算执行率：</w:t>
      </w:r>
    </w:p>
    <w:p>
      <w:pPr>
        <w:pStyle w:val="13"/>
        <w:numPr>
          <w:ilvl w:val="0"/>
          <w:numId w:val="0"/>
        </w:numPr>
        <w:rPr>
          <w:rFonts w:ascii="FangSong" w:hAnsi="FangSong" w:eastAsia="FangSong" w:cs="FangSong"/>
          <w:sz w:val="32"/>
          <w:szCs w:val="32"/>
        </w:rPr>
      </w:pPr>
      <w:r>
        <w:rPr>
          <w:rFonts w:hint="eastAsia" w:ascii="FangSong" w:hAnsi="FangSong" w:eastAsia="FangSong" w:cs="FangSong"/>
          <w:sz w:val="32"/>
          <w:szCs w:val="32"/>
          <w:lang w:val="en-US" w:eastAsia="zh-CN"/>
        </w:rPr>
        <w:t xml:space="preserve">     </w:t>
      </w:r>
      <w:r>
        <w:rPr>
          <w:rFonts w:hint="eastAsia" w:ascii="FangSong" w:hAnsi="FangSong" w:eastAsia="FangSong" w:cs="FangSong"/>
          <w:bCs/>
          <w:kern w:val="2"/>
          <w:sz w:val="32"/>
          <w:szCs w:val="32"/>
          <w:lang w:val="en-US" w:eastAsia="zh-CN" w:bidi="ar-SA"/>
        </w:rPr>
        <w:t>2022年残疾人事业发展补助资金到位5402427.07元，实际支出5402427.07元，预算执行率100%。</w:t>
      </w:r>
    </w:p>
    <w:p>
      <w:pPr>
        <w:pStyle w:val="13"/>
        <w:numPr>
          <w:ilvl w:val="0"/>
          <w:numId w:val="4"/>
        </w:numPr>
        <w:ind w:firstLine="640" w:firstLineChars="200"/>
        <w:rPr>
          <w:rFonts w:hint="eastAsia" w:ascii="FangSong" w:hAnsi="FangSong" w:eastAsia="FangSong" w:cs="FangSong"/>
          <w:sz w:val="32"/>
          <w:szCs w:val="32"/>
          <w:lang w:eastAsia="zh-CN"/>
        </w:rPr>
      </w:pPr>
      <w:r>
        <w:rPr>
          <w:rFonts w:hint="eastAsia" w:ascii="FangSong" w:hAnsi="FangSong" w:eastAsia="FangSong" w:cs="FangSong"/>
          <w:sz w:val="32"/>
          <w:szCs w:val="32"/>
        </w:rPr>
        <w:t>资金使用合规性：</w:t>
      </w:r>
    </w:p>
    <w:p>
      <w:pPr>
        <w:pStyle w:val="13"/>
        <w:ind w:firstLine="640"/>
        <w:rPr>
          <w:rFonts w:ascii="FangSong" w:hAnsi="FangSong" w:eastAsia="FangSong" w:cs="FangSong"/>
          <w:sz w:val="32"/>
          <w:szCs w:val="32"/>
        </w:rPr>
      </w:pPr>
      <w:r>
        <w:rPr>
          <w:rFonts w:hint="eastAsia" w:ascii="FangSong" w:hAnsi="FangSong" w:eastAsia="FangSong" w:cs="FangSong"/>
          <w:bCs/>
          <w:kern w:val="2"/>
          <w:sz w:val="32"/>
          <w:szCs w:val="32"/>
          <w:lang w:val="en-US" w:eastAsia="zh-CN" w:bidi="ar-SA"/>
        </w:rPr>
        <w:t>项目使用资金符合相关的财务管理制度，资金的拨付有完整的审批程序和手续，不存在截留、挤占、挪用等情况。</w:t>
      </w:r>
    </w:p>
    <w:p>
      <w:pPr>
        <w:pStyle w:val="13"/>
        <w:numPr>
          <w:ilvl w:val="0"/>
          <w:numId w:val="4"/>
        </w:numPr>
        <w:ind w:firstLine="640" w:firstLineChars="200"/>
        <w:rPr>
          <w:rFonts w:hint="eastAsia" w:ascii="FangSong" w:hAnsi="FangSong" w:eastAsia="FangSong" w:cs="FangSong"/>
          <w:sz w:val="32"/>
          <w:szCs w:val="32"/>
          <w:lang w:eastAsia="zh-CN"/>
        </w:rPr>
      </w:pPr>
      <w:r>
        <w:rPr>
          <w:rFonts w:hint="eastAsia" w:ascii="FangSong" w:hAnsi="FangSong" w:eastAsia="FangSong" w:cs="FangSong"/>
          <w:sz w:val="32"/>
          <w:szCs w:val="32"/>
        </w:rPr>
        <w:t>管理制度健全性：</w:t>
      </w:r>
    </w:p>
    <w:p>
      <w:pPr>
        <w:pStyle w:val="13"/>
        <w:ind w:firstLine="640"/>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根据我校实际业务需求申请残疾人事业发展补助资金，并参考相关法规政策。</w:t>
      </w:r>
    </w:p>
    <w:p>
      <w:pPr>
        <w:pStyle w:val="13"/>
        <w:numPr>
          <w:ilvl w:val="0"/>
          <w:numId w:val="4"/>
        </w:numPr>
        <w:ind w:firstLine="624" w:firstLineChars="200"/>
        <w:rPr>
          <w:rFonts w:hint="eastAsia" w:ascii="FangSong" w:hAnsi="FangSong" w:eastAsia="FangSong" w:cs="FangSong"/>
          <w:sz w:val="32"/>
          <w:szCs w:val="32"/>
          <w:lang w:eastAsia="zh-CN"/>
        </w:rPr>
      </w:pPr>
      <w:r>
        <w:rPr>
          <w:rStyle w:val="25"/>
          <w:rFonts w:hint="eastAsia" w:ascii="FangSong" w:hAnsi="FangSong" w:eastAsia="FangSong"/>
          <w:b w:val="0"/>
          <w:spacing w:val="-4"/>
          <w:sz w:val="32"/>
          <w:szCs w:val="32"/>
        </w:rPr>
        <w:t>制度执行有效性：</w:t>
      </w:r>
    </w:p>
    <w:p>
      <w:pPr>
        <w:pStyle w:val="13"/>
        <w:numPr>
          <w:ilvl w:val="0"/>
          <w:numId w:val="0"/>
        </w:numPr>
        <w:ind w:firstLine="640" w:firstLineChars="200"/>
        <w:rPr>
          <w:rStyle w:val="25"/>
          <w:rFonts w:ascii="FangSong" w:hAnsi="FangSong" w:eastAsia="FangSong"/>
          <w:b w:val="0"/>
          <w:spacing w:val="-4"/>
          <w:sz w:val="32"/>
          <w:szCs w:val="32"/>
          <w:highlight w:val="green"/>
        </w:rPr>
      </w:pPr>
      <w:r>
        <w:rPr>
          <w:rFonts w:hint="eastAsia" w:ascii="FangSong" w:hAnsi="FangSong" w:eastAsia="FangSong" w:cs="FangSong"/>
          <w:bCs/>
          <w:kern w:val="2"/>
          <w:sz w:val="32"/>
          <w:szCs w:val="32"/>
          <w:lang w:val="en-US" w:eastAsia="zh-CN" w:bidi="ar-SA"/>
        </w:rPr>
        <w:t>项目的实施能够遵守已制定的财务和业务等相关制度。</w:t>
      </w:r>
    </w:p>
    <w:p>
      <w:pPr>
        <w:pStyle w:val="13"/>
        <w:ind w:firstLine="640"/>
        <w:rPr>
          <w:rFonts w:ascii="FangSong" w:hAnsi="FangSong" w:eastAsia="FangSong" w:cs="FangSong"/>
          <w:sz w:val="32"/>
          <w:szCs w:val="32"/>
        </w:rPr>
      </w:pPr>
      <w:r>
        <w:rPr>
          <w:rFonts w:hint="eastAsia" w:ascii="FangSong" w:hAnsi="FangSong" w:eastAsia="FangSong" w:cs="FangSong"/>
          <w:sz w:val="32"/>
          <w:szCs w:val="32"/>
        </w:rPr>
        <w:t>（三）项目产出情况</w:t>
      </w:r>
    </w:p>
    <w:p>
      <w:pPr>
        <w:pStyle w:val="13"/>
        <w:ind w:firstLine="640"/>
        <w:rPr>
          <w:rFonts w:ascii="FangSong" w:hAnsi="FangSong" w:eastAsia="FangSong" w:cs="FangSong"/>
          <w:sz w:val="32"/>
          <w:szCs w:val="32"/>
        </w:rPr>
      </w:pPr>
      <w:r>
        <w:rPr>
          <w:rFonts w:hint="eastAsia" w:ascii="FangSong" w:hAnsi="FangSong" w:eastAsia="FangSong" w:cs="FangSong"/>
          <w:sz w:val="32"/>
          <w:szCs w:val="32"/>
        </w:rPr>
        <w:t>1.项目完成数量</w:t>
      </w:r>
    </w:p>
    <w:p>
      <w:pPr>
        <w:pStyle w:val="21"/>
        <w:widowControl/>
        <w:spacing w:before="40" w:beforeAutospacing="0" w:after="0" w:afterAutospacing="0" w:line="520" w:lineRule="atLeast"/>
        <w:ind w:firstLine="640"/>
        <w:jc w:val="both"/>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指标1. 涉及工程单位10家，完成率100%。</w:t>
      </w:r>
    </w:p>
    <w:p>
      <w:pPr>
        <w:pStyle w:val="2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2.项目完成质量   </w:t>
      </w:r>
    </w:p>
    <w:p>
      <w:pPr>
        <w:pStyle w:val="21"/>
        <w:widowControl/>
        <w:spacing w:before="40" w:beforeAutospacing="0" w:after="0" w:afterAutospacing="0" w:line="520" w:lineRule="atLeast"/>
        <w:ind w:firstLine="640"/>
        <w:jc w:val="both"/>
        <w:rPr>
          <w:rFonts w:hint="eastAsia" w:ascii="FangSong" w:hAnsi="FangSong" w:eastAsia="FangSong" w:cs="FangSong"/>
          <w:bCs/>
          <w:kern w:val="2"/>
          <w:sz w:val="32"/>
          <w:szCs w:val="32"/>
          <w:lang w:val="en-US" w:eastAsia="zh-CN" w:bidi="ar-SA"/>
        </w:rPr>
      </w:pPr>
      <w:r>
        <w:rPr>
          <w:rFonts w:hint="eastAsia" w:ascii="FangSong" w:hAnsi="FangSong" w:eastAsia="FangSong" w:cs="FangSong"/>
          <w:bCs/>
          <w:kern w:val="2"/>
          <w:sz w:val="32"/>
          <w:szCs w:val="32"/>
          <w:lang w:val="en-US" w:eastAsia="zh-CN" w:bidi="ar-SA"/>
        </w:rPr>
        <w:t>指标1. 资金支付完成率100%</w:t>
      </w:r>
    </w:p>
    <w:p>
      <w:pPr>
        <w:pStyle w:val="2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3.项目完成时效</w:t>
      </w:r>
    </w:p>
    <w:p>
      <w:pPr>
        <w:pStyle w:val="21"/>
        <w:widowControl/>
        <w:spacing w:before="40" w:beforeAutospacing="0" w:after="0" w:afterAutospacing="0" w:line="520" w:lineRule="atLeast"/>
        <w:ind w:firstLine="640"/>
        <w:jc w:val="both"/>
        <w:rPr>
          <w:rFonts w:hint="eastAsia" w:ascii="FangSong" w:hAnsi="FangSong" w:eastAsia="FangSong" w:cs="FangSong"/>
          <w:bCs/>
          <w:sz w:val="32"/>
          <w:szCs w:val="32"/>
        </w:rPr>
      </w:pPr>
      <w:r>
        <w:rPr>
          <w:rFonts w:hint="eastAsia" w:ascii="FangSong" w:hAnsi="FangSong" w:eastAsia="FangSong" w:cs="FangSong"/>
          <w:bCs/>
          <w:sz w:val="32"/>
          <w:szCs w:val="32"/>
        </w:rPr>
        <w:t>指标1.项目资金支付及时率100%。</w:t>
      </w:r>
    </w:p>
    <w:p>
      <w:pPr>
        <w:pStyle w:val="2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4.项目完成成本</w:t>
      </w:r>
    </w:p>
    <w:p>
      <w:pPr>
        <w:pStyle w:val="21"/>
        <w:widowControl/>
        <w:spacing w:before="40" w:beforeAutospacing="0" w:after="0" w:afterAutospacing="0" w:line="520" w:lineRule="atLeast"/>
        <w:ind w:firstLine="640" w:firstLineChars="200"/>
        <w:jc w:val="both"/>
        <w:rPr>
          <w:rFonts w:hint="eastAsia" w:eastAsia="SimSun"/>
          <w:highlight w:val="green"/>
          <w:lang w:val="en-US" w:eastAsia="zh-CN"/>
        </w:rPr>
      </w:pPr>
      <w:r>
        <w:rPr>
          <w:rFonts w:hint="eastAsia" w:ascii="仿宋_GB2312" w:hAnsi="仿宋_GB2312" w:eastAsia="仿宋_GB2312" w:cs="仿宋_GB2312"/>
          <w:sz w:val="32"/>
          <w:szCs w:val="32"/>
        </w:rPr>
        <w:t>指标1. 项目预算控制率，完成率100%。</w:t>
      </w:r>
    </w:p>
    <w:p>
      <w:pPr>
        <w:pStyle w:val="21"/>
        <w:widowControl/>
        <w:spacing w:before="40" w:beforeAutospacing="0" w:after="0" w:afterAutospacing="0" w:line="520" w:lineRule="atLeas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（四）项目效益情况</w:t>
      </w:r>
    </w:p>
    <w:p>
      <w:pPr>
        <w:pStyle w:val="21"/>
        <w:widowControl/>
        <w:spacing w:before="40" w:beforeAutospacing="0" w:after="0" w:afterAutospacing="0" w:line="520" w:lineRule="atLeas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1.项目实施的社会效益</w:t>
      </w:r>
    </w:p>
    <w:p>
      <w:pPr>
        <w:pStyle w:val="21"/>
        <w:widowControl/>
        <w:spacing w:before="40" w:beforeAutospacing="0" w:after="0" w:afterAutospacing="0" w:line="520" w:lineRule="atLeas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指标1.有效改善</w:t>
      </w:r>
      <w:r>
        <w:rPr>
          <w:rFonts w:hint="eastAsia" w:ascii="仿宋_GB2312" w:hAnsi="仿宋_GB2312" w:eastAsia="仿宋_GB2312" w:cs="仿宋_GB2312"/>
          <w:sz w:val="32"/>
          <w:szCs w:val="32"/>
          <w:lang w:val="en-US" w:eastAsia="zh-CN"/>
        </w:rPr>
        <w:t>校园基础设施建设</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给在校学生营造良好的学习氛围。</w:t>
      </w:r>
    </w:p>
    <w:p>
      <w:pPr>
        <w:pStyle w:val="21"/>
        <w:widowControl/>
        <w:spacing w:before="40" w:beforeAutospacing="0" w:after="0" w:afterAutospacing="0" w:line="520" w:lineRule="atLeast"/>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.项目实施的可持续影响</w:t>
      </w:r>
    </w:p>
    <w:p>
      <w:pPr>
        <w:pStyle w:val="21"/>
        <w:widowControl/>
        <w:spacing w:before="40" w:beforeAutospacing="0" w:after="0" w:afterAutospacing="0" w:line="520" w:lineRule="atLeast"/>
        <w:ind w:firstLine="640" w:firstLineChars="200"/>
        <w:jc w:val="both"/>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指标1.有效</w:t>
      </w:r>
      <w:r>
        <w:rPr>
          <w:rFonts w:hint="eastAsia" w:ascii="仿宋_GB2312" w:hAnsi="仿宋_GB2312" w:eastAsia="仿宋_GB2312" w:cs="仿宋_GB2312"/>
          <w:sz w:val="32"/>
          <w:szCs w:val="32"/>
          <w:lang w:val="en-US" w:eastAsia="zh-CN"/>
        </w:rPr>
        <w:t>促进工程企业发展，为学校后续建设树立良好形象。</w:t>
      </w:r>
    </w:p>
    <w:p>
      <w:pPr>
        <w:pStyle w:val="21"/>
        <w:widowControl/>
        <w:spacing w:before="40" w:beforeAutospacing="0" w:after="0" w:afterAutospacing="0" w:line="520" w:lineRule="atLeast"/>
        <w:ind w:firstLine="640" w:firstLineChars="200"/>
        <w:jc w:val="both"/>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（五）满意度指标完成情况</w:t>
      </w:r>
    </w:p>
    <w:p>
      <w:pPr>
        <w:pStyle w:val="21"/>
        <w:widowControl/>
        <w:spacing w:before="40" w:beforeAutospacing="0" w:after="0" w:afterAutospacing="0" w:line="520" w:lineRule="atLeast"/>
        <w:ind w:firstLine="640"/>
        <w:jc w:val="both"/>
        <w:rPr>
          <w:rFonts w:hint="eastAsia"/>
          <w:b/>
          <w:bCs/>
          <w:sz w:val="32"/>
          <w:szCs w:val="32"/>
        </w:rPr>
      </w:pPr>
      <w:r>
        <w:rPr>
          <w:rFonts w:hint="eastAsia" w:ascii="仿宋_GB2312" w:hAnsi="仿宋_GB2312" w:eastAsia="仿宋_GB2312" w:cs="仿宋_GB2312"/>
          <w:kern w:val="2"/>
          <w:sz w:val="32"/>
          <w:szCs w:val="32"/>
          <w:lang w:val="en-US" w:eastAsia="zh-CN" w:bidi="ar-SA"/>
        </w:rPr>
        <w:t>指标1.企业满意度，指标值≥85%，完成值87%，指标完成率100%。</w:t>
      </w:r>
    </w:p>
    <w:p>
      <w:pPr>
        <w:pStyle w:val="13"/>
        <w:ind w:firstLine="643"/>
        <w:rPr>
          <w:b/>
          <w:bCs/>
          <w:color w:val="FF0000"/>
          <w:sz w:val="32"/>
          <w:szCs w:val="32"/>
        </w:rPr>
      </w:pPr>
      <w:r>
        <w:rPr>
          <w:rFonts w:hint="eastAsia"/>
          <w:b/>
          <w:bCs/>
          <w:sz w:val="32"/>
          <w:szCs w:val="32"/>
        </w:rPr>
        <w:t>五、主要经验及做法、存在的问题及原因分析</w:t>
      </w:r>
    </w:p>
    <w:p>
      <w:pPr>
        <w:pStyle w:val="13"/>
        <w:ind w:firstLine="64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（一）主要经验及做法</w:t>
      </w:r>
    </w:p>
    <w:p>
      <w:pPr>
        <w:pStyle w:val="13"/>
        <w:ind w:firstLine="640"/>
        <w:rPr>
          <w:rFonts w:hint="default"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领导重视；精心组织项目前期规划有力；后期执行有力。</w:t>
      </w:r>
    </w:p>
    <w:p>
      <w:pPr>
        <w:spacing w:line="540" w:lineRule="exact"/>
        <w:ind w:firstLine="640" w:firstLineChars="20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（二）存在的问题</w:t>
      </w:r>
    </w:p>
    <w:p>
      <w:pPr>
        <w:pStyle w:val="20"/>
        <w:rPr>
          <w:rFonts w:hint="eastAsia" w:ascii="仿宋_GB2312" w:hAnsi="仿宋_GB2312" w:eastAsia="仿宋_GB2312" w:cs="仿宋_GB2312"/>
          <w:kern w:val="2"/>
          <w:sz w:val="32"/>
          <w:szCs w:val="32"/>
          <w:lang w:val="en-US" w:eastAsia="zh-CN" w:bidi="ar-SA"/>
        </w:rPr>
      </w:pPr>
      <w:r>
        <w:rPr>
          <w:rFonts w:hint="eastAsia" w:ascii="SimSun" w:hAnsi="SimSun" w:cs="SimSun"/>
          <w:color w:val="C00000"/>
          <w:sz w:val="24"/>
          <w:szCs w:val="24"/>
          <w:lang w:val="en-US" w:eastAsia="zh-CN"/>
        </w:rPr>
        <w:t xml:space="preserve">   </w:t>
      </w:r>
      <w:r>
        <w:rPr>
          <w:rFonts w:hint="eastAsia" w:ascii="仿宋_GB2312" w:hAnsi="仿宋_GB2312" w:eastAsia="仿宋_GB2312" w:cs="仿宋_GB2312"/>
          <w:kern w:val="2"/>
          <w:sz w:val="32"/>
          <w:szCs w:val="32"/>
          <w:lang w:val="en-US" w:eastAsia="zh-CN" w:bidi="ar-SA"/>
        </w:rPr>
        <w:t xml:space="preserve"> 存在的问题是项目前期工作不全面，没有深入细致科学规划地做好各项前期工作。</w:t>
      </w:r>
    </w:p>
    <w:p>
      <w:pPr>
        <w:pStyle w:val="20"/>
        <w:rPr>
          <w:rFonts w:hint="eastAsia" w:ascii="仿宋_GB2312" w:hAnsi="仿宋_GB2312" w:eastAsia="仿宋_GB2312" w:cs="仿宋_GB2312"/>
          <w:kern w:val="2"/>
          <w:sz w:val="32"/>
          <w:szCs w:val="32"/>
          <w:lang w:val="en-US" w:eastAsia="zh-CN" w:bidi="ar-SA"/>
        </w:rPr>
      </w:pPr>
      <w:r>
        <w:rPr>
          <w:rFonts w:hint="eastAsia" w:ascii="仿宋_GB2312" w:hAnsi="仿宋_GB2312" w:eastAsia="仿宋_GB2312" w:cs="仿宋_GB2312"/>
          <w:kern w:val="2"/>
          <w:sz w:val="32"/>
          <w:szCs w:val="32"/>
          <w:lang w:val="en-US" w:eastAsia="zh-CN" w:bidi="ar-SA"/>
        </w:rPr>
        <w:t xml:space="preserve">    （三）原因分析</w:t>
      </w:r>
    </w:p>
    <w:p>
      <w:pPr>
        <w:pStyle w:val="20"/>
        <w:rPr>
          <w:rFonts w:hint="eastAsia" w:ascii="FangSong" w:hAnsi="FangSong" w:eastAsia="FangSong" w:cs="FangSong"/>
          <w:sz w:val="32"/>
          <w:szCs w:val="32"/>
          <w:highlight w:val="green"/>
          <w:lang w:val="en-US" w:eastAsia="zh-CN"/>
        </w:rPr>
      </w:pPr>
      <w:r>
        <w:rPr>
          <w:rFonts w:hint="eastAsia" w:ascii="仿宋_GB2312" w:hAnsi="仿宋_GB2312" w:eastAsia="仿宋_GB2312" w:cs="仿宋_GB2312"/>
          <w:kern w:val="2"/>
          <w:sz w:val="32"/>
          <w:szCs w:val="32"/>
          <w:lang w:val="en-US" w:eastAsia="zh-CN" w:bidi="ar-SA"/>
        </w:rPr>
        <w:t xml:space="preserve">    项目实施前期已根据项目建设内容设置绩效目标，但项目绩效目标级绩效指标设置过于笼统，不够细化，绩效目标的设置应符合量化、细化的要求。目前校内各科室、各类别数据还没全部整合到到该平台中，集成性还有待加强。</w:t>
      </w:r>
    </w:p>
    <w:p>
      <w:pPr>
        <w:pStyle w:val="13"/>
        <w:ind w:firstLine="643"/>
        <w:rPr>
          <w:b/>
          <w:bCs/>
          <w:sz w:val="32"/>
          <w:szCs w:val="32"/>
        </w:rPr>
      </w:pPr>
      <w:r>
        <w:rPr>
          <w:rFonts w:hint="eastAsia"/>
          <w:b/>
          <w:bCs/>
          <w:sz w:val="32"/>
          <w:szCs w:val="32"/>
        </w:rPr>
        <w:t>六、有关建议</w:t>
      </w:r>
    </w:p>
    <w:p>
      <w:pPr>
        <w:pStyle w:val="13"/>
        <w:ind w:firstLine="643"/>
        <w:rPr>
          <w:rFonts w:hint="eastAsia" w:ascii="FangSong" w:hAnsi="FangSong" w:eastAsia="FangSong" w:cs="FangSong"/>
          <w:sz w:val="32"/>
          <w:szCs w:val="32"/>
          <w:lang w:eastAsia="zh-CN"/>
        </w:rPr>
      </w:pPr>
      <w:r>
        <w:rPr>
          <w:rFonts w:hint="eastAsia" w:ascii="FangSong" w:hAnsi="FangSong" w:eastAsia="FangSong" w:cs="FangSong"/>
          <w:sz w:val="32"/>
          <w:szCs w:val="32"/>
          <w:lang w:eastAsia="zh-CN"/>
        </w:rPr>
        <w:t>无。</w:t>
      </w:r>
    </w:p>
    <w:p>
      <w:pPr>
        <w:pStyle w:val="13"/>
        <w:ind w:firstLine="643"/>
        <w:rPr>
          <w:b/>
          <w:bCs/>
          <w:sz w:val="32"/>
          <w:szCs w:val="32"/>
        </w:rPr>
      </w:pPr>
      <w:r>
        <w:rPr>
          <w:rFonts w:hint="eastAsia"/>
          <w:b/>
          <w:bCs/>
          <w:sz w:val="32"/>
          <w:szCs w:val="32"/>
        </w:rPr>
        <w:t>七、其他需要说明的问题</w:t>
      </w:r>
    </w:p>
    <w:p>
      <w:pPr>
        <w:ind w:firstLine="600" w:firstLineChars="200"/>
        <w:rPr>
          <w:rStyle w:val="25"/>
          <w:rFonts w:ascii="FangSong" w:hAnsi="FangSong" w:eastAsia="FangSong"/>
          <w:b w:val="0"/>
          <w:spacing w:val="-4"/>
          <w:sz w:val="32"/>
          <w:szCs w:val="32"/>
        </w:rPr>
      </w:pPr>
      <w:r>
        <w:rPr>
          <w:rFonts w:hint="eastAsia"/>
          <w:sz w:val="30"/>
          <w:szCs w:val="30"/>
        </w:rPr>
        <w:t>无。</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SimHei">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FangSong">
    <w:panose1 w:val="02010609060101010101"/>
    <w:charset w:val="86"/>
    <w:family w:val="modern"/>
    <w:pitch w:val="default"/>
    <w:sig w:usb0="800002BF" w:usb1="38CF7CFA" w:usb2="00000016" w:usb3="00000000" w:csb0="00040001" w:csb1="00000000"/>
  </w:font>
  <w:font w:name="华文中宋">
    <w:altName w:val="SimSun"/>
    <w:panose1 w:val="02010600040101010101"/>
    <w:charset w:val="86"/>
    <w:family w:val="auto"/>
    <w:pitch w:val="default"/>
    <w:sig w:usb0="00000000" w:usb1="00000000" w:usb2="00000000" w:usb3="00000000" w:csb0="0004009F" w:csb1="DFD70000"/>
  </w:font>
  <w:font w:name="FZXiaoBiaoSong-B05">
    <w:panose1 w:val="03000509000000000000"/>
    <w:charset w:val="86"/>
    <w:family w:val="script"/>
    <w:pitch w:val="default"/>
    <w:sig w:usb0="00000001" w:usb1="080E0000" w:usb2="00000000" w:usb3="00000000" w:csb0="00040000" w:csb1="00000000"/>
  </w:font>
  <w:font w:name="仿宋_GB2312">
    <w:altName w:val="FangSong"/>
    <w:panose1 w:val="00000000000000000000"/>
    <w:charset w:val="86"/>
    <w:family w:val="modern"/>
    <w:pitch w:val="default"/>
    <w:sig w:usb0="00000000" w:usb1="00000000" w:usb2="00000000" w:usb3="00000000" w:csb0="00040000" w:csb1="00000000"/>
  </w:font>
  <w:font w:name="KaiTi">
    <w:panose1 w:val="02010609060101010101"/>
    <w:charset w:val="86"/>
    <w:family w:val="modern"/>
    <w:pitch w:val="default"/>
    <w:sig w:usb0="800002BF" w:usb1="38CF7CFA" w:usb2="00000016" w:usb3="00000000" w:csb0="00040001" w:csb1="00000000"/>
  </w:font>
  <w:font w:name="Gisha">
    <w:panose1 w:val="020B0502040204020203"/>
    <w:charset w:val="00"/>
    <w:family w:val="auto"/>
    <w:pitch w:val="default"/>
    <w:sig w:usb0="80000807" w:usb1="40000042" w:usb2="00000000" w:usb3="00000000" w:csb0="00000021" w:csb1="00000000"/>
  </w:font>
  <w:font w:name="JasmineUPC">
    <w:panose1 w:val="02020603050405020304"/>
    <w:charset w:val="00"/>
    <w:family w:val="auto"/>
    <w:pitch w:val="default"/>
    <w:sig w:usb0="01000007" w:usb1="00000002" w:usb2="00000000" w:usb3="00000000" w:csb0="0001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7"/>
          <w:jc w:val="center"/>
        </w:pPr>
        <w:r>
          <w:fldChar w:fldCharType="begin"/>
        </w:r>
        <w:r>
          <w:instrText xml:space="preserve">PAGE   \* MERGEFORMAT</w:instrText>
        </w:r>
        <w:r>
          <w:fldChar w:fldCharType="separate"/>
        </w:r>
        <w:r>
          <w:rPr>
            <w:lang w:val="zh-CN"/>
          </w:rPr>
          <w:t>13</w:t>
        </w:r>
        <w:r>
          <w:fldChar w:fldCharType="end"/>
        </w:r>
      </w:p>
    </w:sdtContent>
  </w:sdt>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98E063D1"/>
    <w:multiLevelType w:val="singleLevel"/>
    <w:tmpl w:val="98E063D1"/>
    <w:lvl w:ilvl="0" w:tentative="0">
      <w:start w:val="2"/>
      <w:numFmt w:val="chineseCounting"/>
      <w:suff w:val="nothing"/>
      <w:lvlText w:val="（%1）"/>
      <w:lvlJc w:val="left"/>
      <w:rPr>
        <w:rFonts w:hint="eastAsia"/>
      </w:rPr>
    </w:lvl>
  </w:abstractNum>
  <w:abstractNum w:abstractNumId="1">
    <w:nsid w:val="63EC92D2"/>
    <w:multiLevelType w:val="singleLevel"/>
    <w:tmpl w:val="63EC92D2"/>
    <w:lvl w:ilvl="0" w:tentative="0">
      <w:start w:val="1"/>
      <w:numFmt w:val="decimal"/>
      <w:suff w:val="nothing"/>
      <w:lvlText w:val="%1."/>
      <w:lvlJc w:val="left"/>
    </w:lvl>
  </w:abstractNum>
  <w:abstractNum w:abstractNumId="2">
    <w:nsid w:val="63F5D252"/>
    <w:multiLevelType w:val="singleLevel"/>
    <w:tmpl w:val="63F5D252"/>
    <w:lvl w:ilvl="0" w:tentative="0">
      <w:start w:val="4"/>
      <w:numFmt w:val="chineseCounting"/>
      <w:suff w:val="nothing"/>
      <w:lvlText w:val="%1、"/>
      <w:lvlJc w:val="left"/>
    </w:lvl>
  </w:abstractNum>
  <w:abstractNum w:abstractNumId="3">
    <w:nsid w:val="67A052A9"/>
    <w:multiLevelType w:val="singleLevel"/>
    <w:tmpl w:val="67A052A9"/>
    <w:lvl w:ilvl="0" w:tentative="0">
      <w:start w:val="2"/>
      <w:numFmt w:val="chineseCounting"/>
      <w:suff w:val="nothing"/>
      <w:lvlText w:val="（%1）"/>
      <w:lvlJc w:val="left"/>
      <w:rPr>
        <w:rFonts w:hint="eastAsia"/>
      </w:rPr>
    </w:lvl>
  </w:abstractNum>
  <w:num w:numId="1">
    <w:abstractNumId w:val="0"/>
  </w:num>
  <w:num w:numId="2">
    <w:abstractNumId w:val="2"/>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jBmNjkyYzNlYjE1NTFjZTU1NmNkZjJmYjJlMjk3ODAifQ=="/>
  </w:docVars>
  <w:rsids>
    <w:rsidRoot w:val="00CA6457"/>
    <w:rsid w:val="000013BB"/>
    <w:rsid w:val="000110C4"/>
    <w:rsid w:val="00037D50"/>
    <w:rsid w:val="0005416C"/>
    <w:rsid w:val="00056465"/>
    <w:rsid w:val="001028C5"/>
    <w:rsid w:val="00102DFF"/>
    <w:rsid w:val="00121AE4"/>
    <w:rsid w:val="0014601B"/>
    <w:rsid w:val="00146AAD"/>
    <w:rsid w:val="0015034E"/>
    <w:rsid w:val="00150F05"/>
    <w:rsid w:val="001B3A40"/>
    <w:rsid w:val="00246DB9"/>
    <w:rsid w:val="00273CCD"/>
    <w:rsid w:val="00291BC0"/>
    <w:rsid w:val="00304BAF"/>
    <w:rsid w:val="00311DBE"/>
    <w:rsid w:val="00345DD7"/>
    <w:rsid w:val="00351EFF"/>
    <w:rsid w:val="003539C8"/>
    <w:rsid w:val="003B0577"/>
    <w:rsid w:val="003E7E58"/>
    <w:rsid w:val="003F5180"/>
    <w:rsid w:val="00414C3A"/>
    <w:rsid w:val="004366A8"/>
    <w:rsid w:val="00497C19"/>
    <w:rsid w:val="004A05EE"/>
    <w:rsid w:val="004C38BC"/>
    <w:rsid w:val="004F1F3C"/>
    <w:rsid w:val="00502BA7"/>
    <w:rsid w:val="005162F1"/>
    <w:rsid w:val="00520759"/>
    <w:rsid w:val="00535153"/>
    <w:rsid w:val="00554F82"/>
    <w:rsid w:val="0056390D"/>
    <w:rsid w:val="005708F0"/>
    <w:rsid w:val="005719B0"/>
    <w:rsid w:val="00587566"/>
    <w:rsid w:val="005A4F2E"/>
    <w:rsid w:val="005A5018"/>
    <w:rsid w:val="005B16B8"/>
    <w:rsid w:val="005C51DF"/>
    <w:rsid w:val="005D10D6"/>
    <w:rsid w:val="005E7C5E"/>
    <w:rsid w:val="005F5944"/>
    <w:rsid w:val="0075584F"/>
    <w:rsid w:val="007C3130"/>
    <w:rsid w:val="007F79BB"/>
    <w:rsid w:val="00800353"/>
    <w:rsid w:val="00855E3A"/>
    <w:rsid w:val="008D4D6E"/>
    <w:rsid w:val="0091457F"/>
    <w:rsid w:val="00922CB9"/>
    <w:rsid w:val="00925D36"/>
    <w:rsid w:val="00944DD1"/>
    <w:rsid w:val="009E5CD9"/>
    <w:rsid w:val="009F4373"/>
    <w:rsid w:val="00A26421"/>
    <w:rsid w:val="00A34588"/>
    <w:rsid w:val="00A413B8"/>
    <w:rsid w:val="00A4293B"/>
    <w:rsid w:val="00A6320B"/>
    <w:rsid w:val="00A67D50"/>
    <w:rsid w:val="00A8691A"/>
    <w:rsid w:val="00A972DF"/>
    <w:rsid w:val="00AC1946"/>
    <w:rsid w:val="00AC3A96"/>
    <w:rsid w:val="00AD5E52"/>
    <w:rsid w:val="00AF683C"/>
    <w:rsid w:val="00B2343E"/>
    <w:rsid w:val="00B31668"/>
    <w:rsid w:val="00B40063"/>
    <w:rsid w:val="00B41F61"/>
    <w:rsid w:val="00B74D04"/>
    <w:rsid w:val="00B85920"/>
    <w:rsid w:val="00BA46E6"/>
    <w:rsid w:val="00BB5015"/>
    <w:rsid w:val="00BF6A52"/>
    <w:rsid w:val="00C1189C"/>
    <w:rsid w:val="00C56C72"/>
    <w:rsid w:val="00C62CB9"/>
    <w:rsid w:val="00CA6457"/>
    <w:rsid w:val="00CA6DC2"/>
    <w:rsid w:val="00CD37A4"/>
    <w:rsid w:val="00CE2FD9"/>
    <w:rsid w:val="00D17F2E"/>
    <w:rsid w:val="00D30354"/>
    <w:rsid w:val="00D33B92"/>
    <w:rsid w:val="00D52B7C"/>
    <w:rsid w:val="00D80C1E"/>
    <w:rsid w:val="00DB1661"/>
    <w:rsid w:val="00DC0166"/>
    <w:rsid w:val="00DF42A0"/>
    <w:rsid w:val="00E30E91"/>
    <w:rsid w:val="00E36D1C"/>
    <w:rsid w:val="00E769FE"/>
    <w:rsid w:val="00E774CE"/>
    <w:rsid w:val="00E96D03"/>
    <w:rsid w:val="00EA2CBE"/>
    <w:rsid w:val="00EB10A0"/>
    <w:rsid w:val="00EF2D5B"/>
    <w:rsid w:val="00F32FEE"/>
    <w:rsid w:val="00F55140"/>
    <w:rsid w:val="00FB10BB"/>
    <w:rsid w:val="0CB44F22"/>
    <w:rsid w:val="0CF12382"/>
    <w:rsid w:val="41ED0BBA"/>
    <w:rsid w:val="4A6362F8"/>
    <w:rsid w:val="4D2606A1"/>
    <w:rsid w:val="536A193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qFormat="1" w:unhideWhenUsed="0" w:uiPriority="0" w:semiHidden="0"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qFormat="1" w:unhideWhenUsed="0" w:uiPriority="0"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SimSun" w:cs="Times New Roman"/>
      <w:kern w:val="2"/>
      <w:sz w:val="21"/>
      <w:szCs w:val="24"/>
      <w:lang w:val="en-US" w:eastAsia="zh-CN" w:bidi="ar-SA"/>
    </w:rPr>
  </w:style>
  <w:style w:type="paragraph" w:styleId="4">
    <w:name w:val="heading 1"/>
    <w:basedOn w:val="1"/>
    <w:next w:val="1"/>
    <w:link w:val="27"/>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5">
    <w:name w:val="heading 2"/>
    <w:basedOn w:val="1"/>
    <w:next w:val="1"/>
    <w:link w:val="28"/>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6">
    <w:name w:val="heading 3"/>
    <w:basedOn w:val="1"/>
    <w:next w:val="1"/>
    <w:link w:val="29"/>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7">
    <w:name w:val="heading 4"/>
    <w:basedOn w:val="1"/>
    <w:next w:val="1"/>
    <w:link w:val="30"/>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8">
    <w:name w:val="heading 5"/>
    <w:basedOn w:val="1"/>
    <w:next w:val="1"/>
    <w:link w:val="31"/>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9">
    <w:name w:val="heading 6"/>
    <w:basedOn w:val="1"/>
    <w:next w:val="1"/>
    <w:link w:val="32"/>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10">
    <w:name w:val="heading 7"/>
    <w:basedOn w:val="1"/>
    <w:next w:val="1"/>
    <w:link w:val="33"/>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11">
    <w:name w:val="heading 8"/>
    <w:basedOn w:val="1"/>
    <w:next w:val="1"/>
    <w:link w:val="34"/>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2">
    <w:name w:val="heading 9"/>
    <w:basedOn w:val="1"/>
    <w:next w:val="1"/>
    <w:link w:val="35"/>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4">
    <w:name w:val="Default Paragraph Font"/>
    <w:semiHidden/>
    <w:unhideWhenUsed/>
    <w:qFormat/>
    <w:uiPriority w:val="1"/>
  </w:style>
  <w:style w:type="table" w:default="1" w:styleId="23">
    <w:name w:val="Normal Table"/>
    <w:semiHidden/>
    <w:unhideWhenUsed/>
    <w:qFormat/>
    <w:uiPriority w:val="99"/>
    <w:tblPr>
      <w:tblCellMar>
        <w:top w:w="0" w:type="dxa"/>
        <w:left w:w="108" w:type="dxa"/>
        <w:bottom w:w="0" w:type="dxa"/>
        <w:right w:w="108" w:type="dxa"/>
      </w:tblCellMar>
    </w:tblPr>
  </w:style>
  <w:style w:type="paragraph" w:styleId="2">
    <w:name w:val="Body Text First Indent 2"/>
    <w:basedOn w:val="3"/>
    <w:qFormat/>
    <w:uiPriority w:val="0"/>
    <w:pPr>
      <w:ind w:firstLine="420" w:firstLineChars="200"/>
    </w:pPr>
  </w:style>
  <w:style w:type="paragraph" w:styleId="3">
    <w:name w:val="Body Text Indent"/>
    <w:basedOn w:val="1"/>
    <w:qFormat/>
    <w:uiPriority w:val="0"/>
    <w:pPr>
      <w:spacing w:after="120"/>
      <w:ind w:left="420" w:leftChars="200"/>
    </w:pPr>
  </w:style>
  <w:style w:type="paragraph" w:styleId="13">
    <w:name w:val="Normal Indent"/>
    <w:basedOn w:val="1"/>
    <w:qFormat/>
    <w:uiPriority w:val="0"/>
    <w:pPr>
      <w:ind w:firstLine="420" w:firstLineChars="200"/>
    </w:pPr>
    <w:rPr>
      <w:rFonts w:ascii="Calibri" w:hAnsi="Calibri"/>
    </w:rPr>
  </w:style>
  <w:style w:type="paragraph" w:styleId="14">
    <w:name w:val="Body Text"/>
    <w:basedOn w:val="1"/>
    <w:link w:val="54"/>
    <w:qFormat/>
    <w:uiPriority w:val="0"/>
    <w:pPr>
      <w:spacing w:line="360" w:lineRule="auto"/>
      <w:jc w:val="center"/>
    </w:pPr>
    <w:rPr>
      <w:rFonts w:ascii="Calibri" w:hAnsi="Calibri" w:cs="SimSun"/>
      <w:b/>
      <w:sz w:val="44"/>
      <w:szCs w:val="22"/>
    </w:rPr>
  </w:style>
  <w:style w:type="paragraph" w:styleId="15">
    <w:name w:val="Plain Text"/>
    <w:basedOn w:val="1"/>
    <w:link w:val="53"/>
    <w:qFormat/>
    <w:uiPriority w:val="0"/>
    <w:rPr>
      <w:rFonts w:ascii="SimSun" w:hAnsi="Courier New"/>
    </w:rPr>
  </w:style>
  <w:style w:type="paragraph" w:styleId="16">
    <w:name w:val="Balloon Text"/>
    <w:basedOn w:val="1"/>
    <w:link w:val="52"/>
    <w:semiHidden/>
    <w:unhideWhenUsed/>
    <w:qFormat/>
    <w:uiPriority w:val="99"/>
    <w:rPr>
      <w:sz w:val="18"/>
      <w:szCs w:val="18"/>
    </w:rPr>
  </w:style>
  <w:style w:type="paragraph" w:styleId="17">
    <w:name w:val="footer"/>
    <w:basedOn w:val="1"/>
    <w:link w:val="51"/>
    <w:unhideWhenUsed/>
    <w:qFormat/>
    <w:uiPriority w:val="99"/>
    <w:pPr>
      <w:tabs>
        <w:tab w:val="center" w:pos="4153"/>
        <w:tab w:val="right" w:pos="8306"/>
      </w:tabs>
      <w:snapToGrid w:val="0"/>
      <w:jc w:val="left"/>
    </w:pPr>
    <w:rPr>
      <w:rFonts w:ascii="Calibri" w:hAnsi="Calibri"/>
      <w:sz w:val="18"/>
      <w:szCs w:val="18"/>
    </w:rPr>
  </w:style>
  <w:style w:type="paragraph" w:styleId="18">
    <w:name w:val="header"/>
    <w:basedOn w:val="1"/>
    <w:link w:val="50"/>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9">
    <w:name w:val="Subtitle"/>
    <w:basedOn w:val="1"/>
    <w:next w:val="1"/>
    <w:link w:val="37"/>
    <w:qFormat/>
    <w:uiPriority w:val="11"/>
    <w:pPr>
      <w:widowControl/>
      <w:spacing w:after="60"/>
      <w:jc w:val="center"/>
      <w:outlineLvl w:val="1"/>
    </w:pPr>
    <w:rPr>
      <w:rFonts w:asciiTheme="majorHAnsi" w:hAnsiTheme="majorHAnsi" w:eastAsiaTheme="majorEastAsia"/>
      <w:kern w:val="0"/>
      <w:sz w:val="24"/>
    </w:rPr>
  </w:style>
  <w:style w:type="paragraph" w:styleId="20">
    <w:name w:val="footnote text"/>
    <w:basedOn w:val="1"/>
    <w:qFormat/>
    <w:uiPriority w:val="0"/>
    <w:pPr>
      <w:snapToGrid w:val="0"/>
      <w:jc w:val="left"/>
    </w:pPr>
    <w:rPr>
      <w:sz w:val="18"/>
      <w:szCs w:val="18"/>
    </w:rPr>
  </w:style>
  <w:style w:type="paragraph" w:styleId="21">
    <w:name w:val="Normal (Web)"/>
    <w:basedOn w:val="1"/>
    <w:qFormat/>
    <w:uiPriority w:val="99"/>
    <w:pPr>
      <w:spacing w:before="100" w:beforeAutospacing="1" w:after="100" w:afterAutospacing="1"/>
      <w:jc w:val="left"/>
    </w:pPr>
    <w:rPr>
      <w:rFonts w:ascii="Calibri" w:hAnsi="Calibri"/>
      <w:sz w:val="24"/>
    </w:rPr>
  </w:style>
  <w:style w:type="paragraph" w:styleId="22">
    <w:name w:val="Title"/>
    <w:basedOn w:val="1"/>
    <w:next w:val="1"/>
    <w:link w:val="36"/>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5">
    <w:name w:val="Strong"/>
    <w:basedOn w:val="24"/>
    <w:qFormat/>
    <w:uiPriority w:val="0"/>
    <w:rPr>
      <w:b/>
      <w:bCs/>
    </w:rPr>
  </w:style>
  <w:style w:type="character" w:styleId="26">
    <w:name w:val="Emphasis"/>
    <w:basedOn w:val="24"/>
    <w:qFormat/>
    <w:uiPriority w:val="20"/>
    <w:rPr>
      <w:rFonts w:asciiTheme="minorHAnsi" w:hAnsiTheme="minorHAnsi"/>
      <w:b/>
      <w:i/>
      <w:iCs/>
    </w:rPr>
  </w:style>
  <w:style w:type="character" w:customStyle="1" w:styleId="27">
    <w:name w:val="标题 1 Char"/>
    <w:basedOn w:val="24"/>
    <w:link w:val="4"/>
    <w:qFormat/>
    <w:uiPriority w:val="9"/>
    <w:rPr>
      <w:rFonts w:asciiTheme="majorHAnsi" w:hAnsiTheme="majorHAnsi" w:eastAsiaTheme="majorEastAsia"/>
      <w:b/>
      <w:bCs/>
      <w:kern w:val="32"/>
      <w:sz w:val="32"/>
      <w:szCs w:val="32"/>
    </w:rPr>
  </w:style>
  <w:style w:type="character" w:customStyle="1" w:styleId="28">
    <w:name w:val="标题 2 Char"/>
    <w:basedOn w:val="24"/>
    <w:link w:val="5"/>
    <w:semiHidden/>
    <w:qFormat/>
    <w:uiPriority w:val="9"/>
    <w:rPr>
      <w:rFonts w:asciiTheme="majorHAnsi" w:hAnsiTheme="majorHAnsi" w:eastAsiaTheme="majorEastAsia"/>
      <w:b/>
      <w:bCs/>
      <w:i/>
      <w:iCs/>
      <w:sz w:val="28"/>
      <w:szCs w:val="28"/>
    </w:rPr>
  </w:style>
  <w:style w:type="character" w:customStyle="1" w:styleId="29">
    <w:name w:val="标题 3 Char"/>
    <w:basedOn w:val="24"/>
    <w:link w:val="6"/>
    <w:semiHidden/>
    <w:qFormat/>
    <w:uiPriority w:val="9"/>
    <w:rPr>
      <w:rFonts w:asciiTheme="majorHAnsi" w:hAnsiTheme="majorHAnsi" w:eastAsiaTheme="majorEastAsia"/>
      <w:b/>
      <w:bCs/>
      <w:sz w:val="26"/>
      <w:szCs w:val="26"/>
    </w:rPr>
  </w:style>
  <w:style w:type="character" w:customStyle="1" w:styleId="30">
    <w:name w:val="标题 4 Char"/>
    <w:basedOn w:val="24"/>
    <w:link w:val="7"/>
    <w:qFormat/>
    <w:uiPriority w:val="9"/>
    <w:rPr>
      <w:b/>
      <w:bCs/>
      <w:sz w:val="28"/>
      <w:szCs w:val="28"/>
    </w:rPr>
  </w:style>
  <w:style w:type="character" w:customStyle="1" w:styleId="31">
    <w:name w:val="标题 5 Char"/>
    <w:basedOn w:val="24"/>
    <w:link w:val="8"/>
    <w:semiHidden/>
    <w:qFormat/>
    <w:uiPriority w:val="9"/>
    <w:rPr>
      <w:b/>
      <w:bCs/>
      <w:i/>
      <w:iCs/>
      <w:sz w:val="26"/>
      <w:szCs w:val="26"/>
    </w:rPr>
  </w:style>
  <w:style w:type="character" w:customStyle="1" w:styleId="32">
    <w:name w:val="标题 6 Char"/>
    <w:basedOn w:val="24"/>
    <w:link w:val="9"/>
    <w:semiHidden/>
    <w:qFormat/>
    <w:uiPriority w:val="9"/>
    <w:rPr>
      <w:b/>
      <w:bCs/>
    </w:rPr>
  </w:style>
  <w:style w:type="character" w:customStyle="1" w:styleId="33">
    <w:name w:val="标题 7 Char"/>
    <w:basedOn w:val="24"/>
    <w:link w:val="10"/>
    <w:semiHidden/>
    <w:qFormat/>
    <w:uiPriority w:val="9"/>
    <w:rPr>
      <w:sz w:val="24"/>
      <w:szCs w:val="24"/>
    </w:rPr>
  </w:style>
  <w:style w:type="character" w:customStyle="1" w:styleId="34">
    <w:name w:val="标题 8 Char"/>
    <w:basedOn w:val="24"/>
    <w:link w:val="11"/>
    <w:semiHidden/>
    <w:qFormat/>
    <w:uiPriority w:val="9"/>
    <w:rPr>
      <w:i/>
      <w:iCs/>
      <w:sz w:val="24"/>
      <w:szCs w:val="24"/>
    </w:rPr>
  </w:style>
  <w:style w:type="character" w:customStyle="1" w:styleId="35">
    <w:name w:val="标题 9 Char"/>
    <w:basedOn w:val="24"/>
    <w:link w:val="12"/>
    <w:semiHidden/>
    <w:qFormat/>
    <w:uiPriority w:val="9"/>
    <w:rPr>
      <w:rFonts w:asciiTheme="majorHAnsi" w:hAnsiTheme="majorHAnsi" w:eastAsiaTheme="majorEastAsia"/>
    </w:rPr>
  </w:style>
  <w:style w:type="character" w:customStyle="1" w:styleId="36">
    <w:name w:val="标题 Char"/>
    <w:basedOn w:val="24"/>
    <w:link w:val="22"/>
    <w:qFormat/>
    <w:uiPriority w:val="10"/>
    <w:rPr>
      <w:rFonts w:asciiTheme="majorHAnsi" w:hAnsiTheme="majorHAnsi" w:eastAsiaTheme="majorEastAsia"/>
      <w:b/>
      <w:bCs/>
      <w:kern w:val="28"/>
      <w:sz w:val="32"/>
      <w:szCs w:val="32"/>
    </w:rPr>
  </w:style>
  <w:style w:type="character" w:customStyle="1" w:styleId="37">
    <w:name w:val="副标题 Char"/>
    <w:basedOn w:val="24"/>
    <w:link w:val="19"/>
    <w:qFormat/>
    <w:uiPriority w:val="11"/>
    <w:rPr>
      <w:rFonts w:asciiTheme="majorHAnsi" w:hAnsiTheme="majorHAnsi" w:eastAsiaTheme="majorEastAsia"/>
      <w:sz w:val="24"/>
      <w:szCs w:val="24"/>
    </w:rPr>
  </w:style>
  <w:style w:type="paragraph" w:styleId="38">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9">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40">
    <w:name w:val="Quote"/>
    <w:basedOn w:val="1"/>
    <w:next w:val="1"/>
    <w:link w:val="41"/>
    <w:qFormat/>
    <w:uiPriority w:val="29"/>
    <w:pPr>
      <w:widowControl/>
      <w:jc w:val="left"/>
    </w:pPr>
    <w:rPr>
      <w:rFonts w:asciiTheme="minorHAnsi" w:hAnsiTheme="minorHAnsi" w:eastAsiaTheme="minorEastAsia"/>
      <w:i/>
      <w:kern w:val="0"/>
      <w:sz w:val="24"/>
    </w:rPr>
  </w:style>
  <w:style w:type="character" w:customStyle="1" w:styleId="41">
    <w:name w:val="引用 Char"/>
    <w:basedOn w:val="24"/>
    <w:link w:val="40"/>
    <w:qFormat/>
    <w:uiPriority w:val="29"/>
    <w:rPr>
      <w:i/>
      <w:sz w:val="24"/>
      <w:szCs w:val="24"/>
    </w:rPr>
  </w:style>
  <w:style w:type="paragraph" w:styleId="42">
    <w:name w:val="Intense Quote"/>
    <w:basedOn w:val="1"/>
    <w:next w:val="1"/>
    <w:link w:val="43"/>
    <w:qFormat/>
    <w:uiPriority w:val="30"/>
    <w:pPr>
      <w:widowControl/>
      <w:ind w:left="720" w:right="720"/>
      <w:jc w:val="left"/>
    </w:pPr>
    <w:rPr>
      <w:rFonts w:asciiTheme="minorHAnsi" w:hAnsiTheme="minorHAnsi" w:eastAsiaTheme="minorEastAsia"/>
      <w:b/>
      <w:i/>
      <w:kern w:val="0"/>
      <w:sz w:val="24"/>
      <w:szCs w:val="22"/>
    </w:rPr>
  </w:style>
  <w:style w:type="character" w:customStyle="1" w:styleId="43">
    <w:name w:val="明显引用 Char"/>
    <w:basedOn w:val="24"/>
    <w:link w:val="42"/>
    <w:qFormat/>
    <w:uiPriority w:val="30"/>
    <w:rPr>
      <w:b/>
      <w:i/>
      <w:sz w:val="24"/>
    </w:rPr>
  </w:style>
  <w:style w:type="character" w:customStyle="1" w:styleId="44">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5">
    <w:name w:val="明显强调1"/>
    <w:basedOn w:val="24"/>
    <w:qFormat/>
    <w:uiPriority w:val="21"/>
    <w:rPr>
      <w:b/>
      <w:i/>
      <w:sz w:val="24"/>
      <w:szCs w:val="24"/>
      <w:u w:val="single"/>
    </w:rPr>
  </w:style>
  <w:style w:type="character" w:customStyle="1" w:styleId="46">
    <w:name w:val="不明显参考1"/>
    <w:basedOn w:val="24"/>
    <w:qFormat/>
    <w:uiPriority w:val="31"/>
    <w:rPr>
      <w:sz w:val="24"/>
      <w:szCs w:val="24"/>
      <w:u w:val="single"/>
    </w:rPr>
  </w:style>
  <w:style w:type="character" w:customStyle="1" w:styleId="47">
    <w:name w:val="明显参考1"/>
    <w:basedOn w:val="24"/>
    <w:qFormat/>
    <w:uiPriority w:val="32"/>
    <w:rPr>
      <w:b/>
      <w:sz w:val="24"/>
      <w:u w:val="single"/>
    </w:rPr>
  </w:style>
  <w:style w:type="character" w:customStyle="1" w:styleId="48">
    <w:name w:val="书籍标题1"/>
    <w:basedOn w:val="24"/>
    <w:qFormat/>
    <w:uiPriority w:val="33"/>
    <w:rPr>
      <w:rFonts w:asciiTheme="majorHAnsi" w:hAnsiTheme="majorHAnsi" w:eastAsiaTheme="majorEastAsia"/>
      <w:b/>
      <w:i/>
      <w:sz w:val="24"/>
      <w:szCs w:val="24"/>
    </w:rPr>
  </w:style>
  <w:style w:type="paragraph" w:customStyle="1" w:styleId="49">
    <w:name w:val="TOC 标题1"/>
    <w:basedOn w:val="4"/>
    <w:next w:val="1"/>
    <w:semiHidden/>
    <w:unhideWhenUsed/>
    <w:qFormat/>
    <w:uiPriority w:val="39"/>
    <w:pPr>
      <w:outlineLvl w:val="9"/>
    </w:pPr>
    <w:rPr>
      <w:lang w:eastAsia="en-US" w:bidi="en-US"/>
    </w:rPr>
  </w:style>
  <w:style w:type="character" w:customStyle="1" w:styleId="50">
    <w:name w:val="页眉 Char"/>
    <w:basedOn w:val="24"/>
    <w:link w:val="18"/>
    <w:qFormat/>
    <w:uiPriority w:val="99"/>
    <w:rPr>
      <w:rFonts w:ascii="Calibri" w:hAnsi="Calibri" w:eastAsia="SimSun"/>
      <w:kern w:val="2"/>
      <w:sz w:val="18"/>
      <w:szCs w:val="18"/>
    </w:rPr>
  </w:style>
  <w:style w:type="character" w:customStyle="1" w:styleId="51">
    <w:name w:val="页脚 Char"/>
    <w:basedOn w:val="24"/>
    <w:link w:val="17"/>
    <w:qFormat/>
    <w:uiPriority w:val="99"/>
    <w:rPr>
      <w:rFonts w:ascii="Calibri" w:hAnsi="Calibri" w:eastAsia="SimSun"/>
      <w:kern w:val="2"/>
      <w:sz w:val="18"/>
      <w:szCs w:val="18"/>
    </w:rPr>
  </w:style>
  <w:style w:type="character" w:customStyle="1" w:styleId="52">
    <w:name w:val="批注框文本 Char"/>
    <w:basedOn w:val="24"/>
    <w:link w:val="16"/>
    <w:semiHidden/>
    <w:qFormat/>
    <w:uiPriority w:val="99"/>
    <w:rPr>
      <w:rFonts w:ascii="Times New Roman" w:hAnsi="Times New Roman" w:eastAsia="SimSun"/>
      <w:kern w:val="2"/>
      <w:sz w:val="18"/>
      <w:szCs w:val="18"/>
    </w:rPr>
  </w:style>
  <w:style w:type="character" w:customStyle="1" w:styleId="53">
    <w:name w:val="纯文本 Char"/>
    <w:basedOn w:val="24"/>
    <w:link w:val="15"/>
    <w:qFormat/>
    <w:uiPriority w:val="0"/>
    <w:rPr>
      <w:rFonts w:ascii="SimSun" w:hAnsi="Courier New" w:eastAsia="SimSun"/>
      <w:kern w:val="2"/>
      <w:sz w:val="21"/>
      <w:szCs w:val="24"/>
    </w:rPr>
  </w:style>
  <w:style w:type="character" w:customStyle="1" w:styleId="54">
    <w:name w:val="正文文本 Char"/>
    <w:basedOn w:val="24"/>
    <w:link w:val="14"/>
    <w:qFormat/>
    <w:uiPriority w:val="0"/>
    <w:rPr>
      <w:rFonts w:ascii="Calibri" w:hAnsi="Calibri" w:eastAsia="SimSun" w:cs="SimSun"/>
      <w:b/>
      <w:kern w:val="2"/>
      <w:sz w:val="44"/>
      <w:szCs w:val="22"/>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554A4E-6076-491B-A482-6BD5EB2C17B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944</Words>
  <Characters>5383</Characters>
  <Lines>44</Lines>
  <Paragraphs>12</Paragraphs>
  <TotalTime>1</TotalTime>
  <ScaleCrop>false</ScaleCrop>
  <LinksUpToDate>false</LinksUpToDate>
  <CharactersWithSpaces>6315</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2023-12-18T11:56:00Z</dcterms:created>
  <dc:creator>赵 恺（预算处）</dc:creator>
  <cp:lastModifiedBy>B03</cp:lastModifiedBy>
  <cp:lastPrinted>2018-12-31T10:56:00Z</cp:lastPrinted>
  <dcterms:modified xsi:type="dcterms:W3CDTF">2024-01-05T11:06:33Z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y fmtid="{D5CDD505-2E9C-101B-9397-08002B2CF9AE}" pid="3" name="ICV">
    <vt:lpwstr>D2ADD81AC81F4DA0B65EF3E2EFFED435_13</vt:lpwstr>
  </property>
</Properties>
</file>