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ackground w:color="FFFFFF"/>
  <w:body>
    <w:p>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p>
    <w:p>
      <w:pPr>
        <w:jc w:val="center"/>
        <w:rPr>
          <w:rFonts w:hint="eastAsia"/>
          <w:b/>
          <w:bCs/>
          <w:sz w:val="44"/>
          <w:szCs w:val="44"/>
        </w:rPr>
      </w:pPr>
      <w:r>
        <w:rPr>
          <w:rFonts w:hint="eastAsia"/>
          <w:b/>
          <w:bCs/>
          <w:sz w:val="44"/>
          <w:szCs w:val="44"/>
        </w:rPr>
        <w:t>自治区残疾人事业综合性经费项目支出</w:t>
      </w:r>
    </w:p>
    <w:p>
      <w:pPr>
        <w:jc w:val="center"/>
        <w:rPr>
          <w:b/>
          <w:bCs/>
          <w:sz w:val="44"/>
          <w:szCs w:val="44"/>
        </w:rPr>
      </w:pPr>
      <w:r>
        <w:rPr>
          <w:rFonts w:hint="eastAsia"/>
          <w:b/>
          <w:bCs/>
          <w:sz w:val="44"/>
          <w:szCs w:val="44"/>
        </w:rPr>
        <w:t>绩效自评报告</w:t>
      </w:r>
    </w:p>
    <w:p>
      <w:pPr>
        <w:jc w:val="center"/>
        <w:rPr>
          <w:b/>
          <w:bCs/>
          <w:sz w:val="30"/>
          <w:szCs w:val="30"/>
        </w:rPr>
      </w:pPr>
      <w:r>
        <w:rPr>
          <w:rFonts w:hint="eastAsia"/>
          <w:b/>
          <w:bCs/>
          <w:sz w:val="30"/>
          <w:szCs w:val="30"/>
        </w:rPr>
        <w:t>（2022年度）</w:t>
      </w:r>
    </w:p>
    <w:p>
      <w:pPr>
        <w:rPr>
          <w:b/>
          <w:bCs/>
          <w:sz w:val="30"/>
          <w:szCs w:val="30"/>
        </w:rPr>
      </w:pPr>
    </w:p>
    <w:p>
      <w:pPr>
        <w:rPr>
          <w:b/>
          <w:bCs/>
          <w:sz w:val="30"/>
          <w:szCs w:val="30"/>
        </w:rPr>
      </w:pPr>
    </w:p>
    <w:p>
      <w:pPr>
        <w:pStyle w:val="2"/>
        <w:rPr>
          <w:b/>
          <w:bCs/>
          <w:sz w:val="30"/>
          <w:szCs w:val="30"/>
        </w:rPr>
      </w:pPr>
    </w:p>
    <w:p>
      <w:pPr>
        <w:pStyle w:val="2"/>
        <w:rPr>
          <w:b/>
          <w:bCs/>
          <w:sz w:val="30"/>
          <w:szCs w:val="30"/>
        </w:rPr>
      </w:pPr>
    </w:p>
    <w:p>
      <w:pPr>
        <w:pStyle w:val="2"/>
        <w:rPr>
          <w:b/>
          <w:bCs/>
          <w:sz w:val="30"/>
          <w:szCs w:val="30"/>
        </w:rPr>
      </w:pPr>
    </w:p>
    <w:p>
      <w:pPr>
        <w:pStyle w:val="2"/>
        <w:rPr>
          <w:b/>
          <w:bCs/>
          <w:sz w:val="30"/>
          <w:szCs w:val="30"/>
        </w:rPr>
      </w:pPr>
    </w:p>
    <w:p>
      <w:pPr>
        <w:rPr>
          <w:b/>
          <w:bCs/>
          <w:sz w:val="30"/>
          <w:szCs w:val="30"/>
        </w:rPr>
      </w:pPr>
    </w:p>
    <w:p>
      <w:pPr>
        <w:rPr>
          <w:b/>
          <w:bCs/>
          <w:sz w:val="30"/>
          <w:szCs w:val="30"/>
        </w:rPr>
      </w:pPr>
      <w:r>
        <w:rPr>
          <w:rFonts w:hint="eastAsia"/>
          <w:b/>
          <w:bCs/>
          <w:sz w:val="30"/>
          <w:szCs w:val="30"/>
        </w:rPr>
        <w:t>项目名称：自治区残疾人事业综合性经费项目</w:t>
      </w:r>
    </w:p>
    <w:p>
      <w:pPr>
        <w:rPr>
          <w:b/>
          <w:bCs/>
          <w:sz w:val="30"/>
          <w:szCs w:val="30"/>
        </w:rPr>
      </w:pPr>
      <w:r>
        <w:rPr>
          <w:rFonts w:hint="eastAsia"/>
          <w:b/>
          <w:bCs/>
          <w:sz w:val="30"/>
          <w:szCs w:val="30"/>
        </w:rPr>
        <w:t>部门单位（公章）：新疆维吾尔自治区残疾人联合会</w:t>
      </w:r>
      <w:r>
        <w:rPr>
          <w:rFonts w:hint="eastAsia"/>
          <w:b/>
          <w:bCs/>
          <w:sz w:val="30"/>
          <w:szCs w:val="30"/>
          <w:lang w:eastAsia="zh-CN"/>
        </w:rPr>
        <w:t>本级</w:t>
      </w:r>
    </w:p>
    <w:p>
      <w:pPr>
        <w:rPr>
          <w:b/>
          <w:bCs/>
          <w:sz w:val="30"/>
          <w:szCs w:val="30"/>
        </w:rPr>
      </w:pPr>
      <w:r>
        <w:rPr>
          <w:rFonts w:hint="eastAsia"/>
          <w:b/>
          <w:bCs/>
          <w:sz w:val="30"/>
          <w:szCs w:val="30"/>
        </w:rPr>
        <w:t>填报时间：2023年</w:t>
      </w:r>
      <w:r>
        <w:rPr>
          <w:rFonts w:hint="eastAsia"/>
          <w:b/>
          <w:bCs/>
          <w:sz w:val="30"/>
          <w:szCs w:val="30"/>
          <w:lang w:val="en-US" w:eastAsia="zh-CN"/>
        </w:rPr>
        <w:t>2</w:t>
      </w:r>
      <w:r>
        <w:rPr>
          <w:rFonts w:hint="eastAsia"/>
          <w:b/>
          <w:bCs/>
          <w:sz w:val="30"/>
          <w:szCs w:val="30"/>
        </w:rPr>
        <w:t>月</w:t>
      </w:r>
      <w:r>
        <w:rPr>
          <w:rFonts w:hint="eastAsia"/>
          <w:b/>
          <w:bCs/>
          <w:sz w:val="30"/>
          <w:szCs w:val="30"/>
          <w:lang w:val="en-US" w:eastAsia="zh-CN"/>
        </w:rPr>
        <w:t>25</w:t>
      </w:r>
      <w:r>
        <w:rPr>
          <w:rFonts w:hint="eastAsia"/>
          <w:b/>
          <w:bCs/>
          <w:sz w:val="30"/>
          <w:szCs w:val="30"/>
        </w:rPr>
        <w:t>日</w:t>
      </w:r>
    </w:p>
    <w:p>
      <w:pPr/>
    </w:p>
    <w:p>
      <w:pPr/>
    </w:p>
    <w:p>
      <w:pPr/>
    </w:p>
    <w:p>
      <w:pPr/>
    </w:p>
    <w:p>
      <w:pPr>
        <w:spacing w:line="600" w:lineRule="exact"/>
        <w:ind w:firstLine="643" w:firstLineChars="200"/>
        <w:rPr>
          <w:b/>
          <w:bCs/>
          <w:sz w:val="32"/>
          <w:szCs w:val="32"/>
        </w:rPr>
      </w:pPr>
      <w:r>
        <w:rPr>
          <w:rFonts w:hint="eastAsia"/>
          <w:b/>
          <w:bCs/>
          <w:sz w:val="32"/>
          <w:szCs w:val="32"/>
        </w:rPr>
        <w:t>一、基本情况</w:t>
      </w:r>
    </w:p>
    <w:p>
      <w:pPr>
        <w:spacing w:line="600" w:lineRule="exact"/>
        <w:ind w:firstLine="640" w:firstLineChars="200"/>
        <w:rPr>
          <w:rFonts w:ascii="楷体" w:hAnsi="楷体" w:eastAsia="楷体" w:cs="楷体"/>
          <w:sz w:val="32"/>
          <w:szCs w:val="32"/>
        </w:rPr>
      </w:pPr>
      <w:r>
        <w:rPr>
          <w:rFonts w:hint="eastAsia" w:ascii="楷体" w:hAnsi="楷体" w:eastAsia="楷体" w:cs="楷体"/>
          <w:sz w:val="32"/>
          <w:szCs w:val="32"/>
        </w:rPr>
        <w:t>（一）项目概况</w:t>
      </w:r>
    </w:p>
    <w:p>
      <w:pPr>
        <w:spacing w:line="600" w:lineRule="exact"/>
        <w:ind w:firstLine="640" w:firstLineChars="200"/>
        <w:rPr>
          <w:rFonts w:ascii="仿宋_GB2312" w:eastAsia="仿宋_GB2312"/>
          <w:sz w:val="32"/>
          <w:szCs w:val="32"/>
        </w:rPr>
      </w:pPr>
      <w:r>
        <w:rPr>
          <w:rFonts w:hint="eastAsia" w:ascii="仿宋_GB2312" w:eastAsia="仿宋_GB2312"/>
          <w:sz w:val="32"/>
          <w:szCs w:val="32"/>
        </w:rPr>
        <w:t>1.项目背景</w:t>
      </w:r>
    </w:p>
    <w:p>
      <w:pPr>
        <w:spacing w:line="600" w:lineRule="exact"/>
        <w:ind w:firstLine="600" w:firstLineChars="200"/>
        <w:outlineLvl w:val="0"/>
        <w:rPr>
          <w:rFonts w:hint="eastAsia" w:ascii="仿宋" w:hAnsi="仿宋" w:eastAsia="仿宋" w:cs="仿宋"/>
          <w:sz w:val="32"/>
          <w:szCs w:val="32"/>
        </w:rPr>
      </w:pPr>
      <w:r>
        <w:rPr>
          <w:rFonts w:hint="eastAsia" w:ascii="仿宋" w:hAnsi="仿宋" w:eastAsia="仿宋" w:cs="仿宋"/>
          <w:sz w:val="32"/>
          <w:szCs w:val="32"/>
          <w:lang w:eastAsia="zh-CN"/>
        </w:rPr>
        <w:t>为</w:t>
      </w:r>
      <w:r>
        <w:rPr>
          <w:rFonts w:hint="eastAsia" w:ascii="仿宋" w:hAnsi="仿宋" w:eastAsia="仿宋" w:cs="仿宋"/>
          <w:sz w:val="32"/>
          <w:szCs w:val="32"/>
        </w:rPr>
        <w:t>保障机关各部室日常工作有序进行</w:t>
      </w:r>
      <w:r>
        <w:rPr>
          <w:rFonts w:hint="eastAsia" w:ascii="仿宋" w:hAnsi="仿宋" w:eastAsia="仿宋" w:cs="仿宋"/>
          <w:sz w:val="32"/>
          <w:szCs w:val="32"/>
          <w:lang w:eastAsia="zh-CN"/>
        </w:rPr>
        <w:t>，</w:t>
      </w:r>
      <w:r>
        <w:rPr>
          <w:rFonts w:hint="eastAsia" w:ascii="仿宋" w:hAnsi="仿宋" w:eastAsia="仿宋" w:cs="仿宋"/>
          <w:sz w:val="32"/>
          <w:szCs w:val="32"/>
        </w:rPr>
        <w:t>聘请专业的律师团队为我会提供年度法律咨询，购买维稳治安用具和防疫物资</w:t>
      </w:r>
      <w:r>
        <w:rPr>
          <w:rFonts w:hint="eastAsia" w:ascii="仿宋" w:hAnsi="仿宋" w:eastAsia="仿宋" w:cs="仿宋"/>
          <w:sz w:val="32"/>
          <w:szCs w:val="32"/>
          <w:lang w:eastAsia="zh-CN"/>
        </w:rPr>
        <w:t>等</w:t>
      </w:r>
      <w:r>
        <w:rPr>
          <w:rFonts w:hint="eastAsia" w:ascii="仿宋" w:hAnsi="仿宋" w:eastAsia="仿宋" w:cs="仿宋"/>
          <w:sz w:val="32"/>
          <w:szCs w:val="32"/>
        </w:rPr>
        <w:t>，根据自治区机要局的要求</w:t>
      </w:r>
      <w:r>
        <w:rPr>
          <w:rFonts w:hint="eastAsia" w:ascii="仿宋" w:hAnsi="仿宋" w:eastAsia="仿宋" w:cs="仿宋"/>
          <w:sz w:val="32"/>
          <w:szCs w:val="32"/>
          <w:lang w:eastAsia="zh-CN"/>
        </w:rPr>
        <w:t>，</w:t>
      </w:r>
      <w:r>
        <w:rPr>
          <w:rFonts w:hint="eastAsia" w:ascii="仿宋" w:hAnsi="仿宋" w:eastAsia="仿宋" w:cs="仿宋"/>
          <w:sz w:val="32"/>
          <w:szCs w:val="32"/>
        </w:rPr>
        <w:t>对年度机要文件进行数字化整理和归档，</w:t>
      </w:r>
      <w:r>
        <w:rPr>
          <w:rFonts w:hint="eastAsia" w:ascii="仿宋" w:hAnsi="仿宋" w:eastAsia="仿宋" w:cs="仿宋"/>
          <w:i w:val="0"/>
          <w:caps w:val="0"/>
          <w:color w:val="333333"/>
          <w:spacing w:val="0"/>
          <w:sz w:val="32"/>
          <w:szCs w:val="32"/>
          <w:shd w:val="clear" w:fill="FFFFFF"/>
        </w:rPr>
        <w:t>为自治区残联进一步提升办公效率、强化为残疾人服务提供支持和保障。</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0"/>
        <w:rPr>
          <w:rFonts w:hint="eastAsia" w:ascii="仿宋_GB2312"/>
        </w:rPr>
      </w:pPr>
      <w:r>
        <w:rPr>
          <w:rFonts w:hint="eastAsia" w:ascii="仿宋" w:hAnsi="仿宋" w:eastAsia="仿宋" w:cs="仿宋"/>
          <w:i w:val="0"/>
          <w:caps w:val="0"/>
          <w:color w:val="333333"/>
          <w:spacing w:val="0"/>
          <w:sz w:val="32"/>
          <w:szCs w:val="32"/>
          <w:shd w:val="clear" w:fill="FFFFFF"/>
        </w:rPr>
        <w:t>根据自治区党委办公厅 自治区人民政府办公厅印发《关于进一步加强和改进离退休干部工作的实施意见》的通知、自治区党委老干部局</w:t>
      </w:r>
      <w:r>
        <w:rPr>
          <w:rFonts w:hint="eastAsia" w:ascii="宋体" w:hAnsi="宋体" w:eastAsia="宋体" w:cs="宋体"/>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shd w:val="clear" w:fill="FFFFFF"/>
        </w:rPr>
        <w:t>2019</w:t>
      </w:r>
      <w:r>
        <w:rPr>
          <w:rFonts w:hint="eastAsia" w:ascii="宋体" w:hAnsi="宋体" w:eastAsia="宋体" w:cs="宋体"/>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shd w:val="clear" w:fill="FFFFFF"/>
        </w:rPr>
        <w:t>7号</w:t>
      </w:r>
      <w:r>
        <w:rPr>
          <w:rFonts w:hint="eastAsia" w:ascii="仿宋" w:hAnsi="仿宋" w:eastAsia="仿宋" w:cs="仿宋"/>
          <w:i w:val="0"/>
          <w:caps w:val="0"/>
          <w:color w:val="333333"/>
          <w:spacing w:val="0"/>
          <w:sz w:val="32"/>
          <w:szCs w:val="32"/>
          <w:shd w:val="clear" w:fill="FFFFFF"/>
          <w:lang w:eastAsia="zh-CN"/>
        </w:rPr>
        <w:t>、</w:t>
      </w:r>
      <w:r>
        <w:rPr>
          <w:rFonts w:hint="eastAsia" w:ascii="仿宋" w:hAnsi="仿宋" w:eastAsia="仿宋" w:cs="仿宋"/>
          <w:i w:val="0"/>
          <w:caps w:val="0"/>
          <w:color w:val="333333"/>
          <w:spacing w:val="0"/>
          <w:sz w:val="32"/>
          <w:szCs w:val="32"/>
          <w:shd w:val="clear" w:fill="FFFFFF"/>
        </w:rPr>
        <w:t>《关于进一步完善“访惠聚”驻村干部关心关爱机制的意见》的通知（ 新民办发</w:t>
      </w:r>
      <w:r>
        <w:rPr>
          <w:rFonts w:hint="eastAsia" w:ascii="宋体" w:hAnsi="宋体" w:eastAsia="宋体" w:cs="宋体"/>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shd w:val="clear" w:fill="FFFFFF"/>
        </w:rPr>
        <w:t>2018</w:t>
      </w:r>
      <w:r>
        <w:rPr>
          <w:rFonts w:hint="eastAsia" w:ascii="宋体" w:hAnsi="宋体" w:eastAsia="宋体" w:cs="宋体"/>
          <w:i w:val="0"/>
          <w:caps w:val="0"/>
          <w:color w:val="333333"/>
          <w:spacing w:val="0"/>
          <w:sz w:val="32"/>
          <w:szCs w:val="32"/>
          <w:shd w:val="clear" w:fill="FFFFFF"/>
        </w:rPr>
        <w:t>﹞</w:t>
      </w:r>
      <w:r>
        <w:rPr>
          <w:rFonts w:hint="eastAsia" w:ascii="仿宋" w:hAnsi="仿宋" w:eastAsia="仿宋" w:cs="仿宋"/>
          <w:i w:val="0"/>
          <w:caps w:val="0"/>
          <w:color w:val="333333"/>
          <w:spacing w:val="0"/>
          <w:sz w:val="32"/>
          <w:szCs w:val="32"/>
          <w:shd w:val="clear" w:fill="FFFFFF"/>
        </w:rPr>
        <w:t>22号）</w:t>
      </w:r>
      <w:r>
        <w:rPr>
          <w:rFonts w:hint="eastAsia" w:ascii="仿宋" w:hAnsi="仿宋" w:eastAsia="仿宋" w:cs="仿宋"/>
          <w:i w:val="0"/>
          <w:caps w:val="0"/>
          <w:color w:val="333333"/>
          <w:spacing w:val="0"/>
          <w:sz w:val="32"/>
          <w:szCs w:val="32"/>
          <w:shd w:val="clear" w:fill="FFFFFF"/>
          <w:lang w:eastAsia="zh-CN"/>
        </w:rPr>
        <w:t>等要求，做好</w:t>
      </w:r>
      <w:r>
        <w:rPr>
          <w:rFonts w:hint="eastAsia" w:ascii="仿宋" w:hAnsi="仿宋" w:eastAsia="仿宋" w:cs="仿宋"/>
          <w:i w:val="0"/>
          <w:caps w:val="0"/>
          <w:color w:val="333333"/>
          <w:spacing w:val="0"/>
          <w:sz w:val="32"/>
          <w:szCs w:val="32"/>
          <w:shd w:val="clear" w:fill="FFFFFF"/>
        </w:rPr>
        <w:t>离退休干部、驻村工作队员关心关爱</w:t>
      </w:r>
      <w:r>
        <w:rPr>
          <w:rFonts w:hint="eastAsia" w:ascii="仿宋" w:hAnsi="仿宋" w:eastAsia="仿宋" w:cs="仿宋"/>
          <w:i w:val="0"/>
          <w:caps w:val="0"/>
          <w:color w:val="333333"/>
          <w:spacing w:val="0"/>
          <w:sz w:val="32"/>
          <w:szCs w:val="32"/>
          <w:shd w:val="clear" w:fill="FFFFFF"/>
          <w:lang w:eastAsia="zh-CN"/>
        </w:rPr>
        <w:t>等工作。</w:t>
      </w:r>
    </w:p>
    <w:p>
      <w:pPr>
        <w:spacing w:line="600" w:lineRule="exact"/>
        <w:ind w:firstLine="640" w:firstLineChars="200"/>
        <w:rPr>
          <w:rFonts w:hint="eastAsia" w:ascii="仿宋_GB2312" w:eastAsia="仿宋_GB2312"/>
          <w:sz w:val="32"/>
          <w:szCs w:val="32"/>
        </w:rPr>
      </w:pPr>
      <w:r>
        <w:rPr>
          <w:rFonts w:hint="eastAsia" w:ascii="仿宋_GB2312" w:eastAsia="仿宋_GB2312"/>
          <w:sz w:val="32"/>
          <w:szCs w:val="32"/>
          <w:lang w:val="en-US" w:eastAsia="zh-CN"/>
        </w:rPr>
        <w:t>2.</w:t>
      </w:r>
      <w:r>
        <w:rPr>
          <w:rFonts w:hint="eastAsia" w:ascii="仿宋_GB2312" w:eastAsia="仿宋_GB2312"/>
          <w:sz w:val="32"/>
          <w:szCs w:val="32"/>
        </w:rPr>
        <w:t>主要内容及实施情况</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 w:hAnsi="仿宋" w:eastAsia="仿宋" w:cs="仿宋"/>
          <w:i w:val="0"/>
          <w:caps w:val="0"/>
          <w:color w:val="333333"/>
          <w:spacing w:val="0"/>
          <w:kern w:val="2"/>
          <w:sz w:val="32"/>
          <w:szCs w:val="32"/>
          <w:shd w:val="clear" w:fill="FFFFFF"/>
          <w:lang w:val="en-US" w:eastAsia="zh-CN" w:bidi="ar-SA"/>
        </w:rPr>
      </w:pPr>
      <w:r>
        <w:rPr>
          <w:rFonts w:hint="eastAsia" w:ascii="仿宋" w:hAnsi="仿宋" w:eastAsia="仿宋" w:cs="仿宋"/>
          <w:i w:val="0"/>
          <w:caps w:val="0"/>
          <w:color w:val="333333"/>
          <w:spacing w:val="0"/>
          <w:kern w:val="2"/>
          <w:sz w:val="32"/>
          <w:szCs w:val="32"/>
          <w:shd w:val="clear" w:fill="FFFFFF"/>
          <w:lang w:val="en-US" w:eastAsia="zh-CN" w:bidi="ar-SA"/>
        </w:rPr>
        <w:t>2022年自治区残疾人事业综合性经费项目430.47万元，一是用于保障机关工作基本的运行，包括维稳治安，疫情防控，公车运行，办公用品、会议保障、法律咨询、档案整理、安保、保洁、院落绿化、食堂运行等日常工作有序进行，提供消防维保、电梯维保、日常公共设施维修等安全生产方面服务，加装遮光窗帘和购买冷风机，营造更为舒适的办公环境。二是用于专项资金检查、残疾人服务设施建设工作督导，财务统计报表编制培训班、财务档案整理、会计人员继续教育、内部控制制度手册升级、内控软件服务费等。三是用于离退休人员书报费、节日慰问、参观学习、支部书记补贴，体检费、表彰年度先进人员、聘用人员工资、社保及奖金、援疆干部津补贴、社保缴费、请专家讲课，妇委会和共青团活动、中心组学习购书、精神文明及综合治理奖 、招考面试费、独生子女保健费、人事档案管理费，慰问驻村工作队及家属、驻村、支教、内地工作队员休假往返路费、支教老师体检、保险等。</w:t>
      </w:r>
    </w:p>
    <w:p>
      <w:pPr>
        <w:spacing w:line="600" w:lineRule="exact"/>
        <w:ind w:firstLine="600" w:firstLineChars="200"/>
        <w:outlineLvl w:val="0"/>
        <w:rPr>
          <w:rFonts w:ascii="仿宋_GB2312"/>
        </w:rPr>
      </w:pPr>
      <w:r>
        <w:rPr>
          <w:rFonts w:hint="eastAsia" w:ascii="仿宋_GB2312"/>
          <w:lang w:val="en-US" w:eastAsia="zh-CN"/>
        </w:rPr>
        <w:t>3.</w:t>
      </w:r>
      <w:r>
        <w:rPr>
          <w:rFonts w:hint="eastAsia" w:ascii="仿宋_GB2312"/>
        </w:rPr>
        <w:t>资金投入和使用情况等</w:t>
      </w:r>
    </w:p>
    <w:p>
      <w:pPr>
        <w:pStyle w:val="6"/>
        <w:tabs>
          <w:tab w:val="left" w:pos="6372"/>
        </w:tabs>
        <w:adjustRightInd w:val="0"/>
        <w:snapToGrid w:val="0"/>
        <w:spacing w:line="579" w:lineRule="exact"/>
        <w:ind w:firstLine="640" w:firstLineChars="200"/>
        <w:rPr>
          <w:rFonts w:hint="eastAsia" w:ascii="仿宋_GB2312"/>
        </w:rPr>
      </w:pPr>
      <w:r>
        <w:rPr>
          <w:rFonts w:hint="eastAsia" w:ascii="仿宋_GB2312" w:eastAsia="仿宋_GB2312"/>
          <w:sz w:val="32"/>
          <w:szCs w:val="32"/>
        </w:rPr>
        <w:t>自治区财</w:t>
      </w:r>
      <w:r>
        <w:rPr>
          <w:rFonts w:hint="eastAsia" w:ascii="仿宋" w:hAnsi="仿宋" w:eastAsia="仿宋" w:cs="仿宋"/>
          <w:i w:val="0"/>
          <w:caps w:val="0"/>
          <w:color w:val="333333"/>
          <w:spacing w:val="0"/>
          <w:kern w:val="2"/>
          <w:sz w:val="32"/>
          <w:szCs w:val="32"/>
          <w:shd w:val="clear" w:fill="FFFFFF"/>
          <w:lang w:val="en-US" w:eastAsia="zh-CN" w:bidi="ar-SA"/>
        </w:rPr>
        <w:t>政厅2022年1月拨付自治区残疾人事业综合性经费项目资金430.47万</w:t>
      </w:r>
      <w:r>
        <w:rPr>
          <w:rFonts w:hint="eastAsia" w:ascii="仿宋_GB2312" w:eastAsia="仿宋_GB2312"/>
          <w:sz w:val="32"/>
          <w:szCs w:val="32"/>
        </w:rPr>
        <w:t>元，截至12月底，</w:t>
      </w:r>
      <w:r>
        <w:rPr>
          <w:rFonts w:hint="eastAsia" w:ascii="仿宋_GB2312" w:hAnsi="仿宋_GB2312" w:eastAsia="仿宋_GB2312" w:cs="仿宋_GB2312"/>
          <w:sz w:val="32"/>
          <w:szCs w:val="32"/>
        </w:rPr>
        <w:t>该项目实际支</w:t>
      </w:r>
      <w:r>
        <w:rPr>
          <w:rFonts w:hint="eastAsia" w:ascii="仿宋_GB2312" w:hAnsi="仿宋_GB2312" w:eastAsia="仿宋_GB2312" w:cs="仿宋_GB2312"/>
          <w:sz w:val="32"/>
          <w:szCs w:val="32"/>
          <w:lang w:eastAsia="zh-CN"/>
        </w:rPr>
        <w:t>出</w:t>
      </w:r>
      <w:r>
        <w:rPr>
          <w:rFonts w:hint="eastAsia" w:ascii="仿宋_GB2312" w:eastAsia="仿宋_GB2312"/>
          <w:sz w:val="32"/>
          <w:szCs w:val="32"/>
        </w:rPr>
        <w:t>3</w:t>
      </w:r>
      <w:r>
        <w:rPr>
          <w:rFonts w:hint="eastAsia" w:ascii="仿宋_GB2312" w:eastAsia="仿宋_GB2312"/>
          <w:sz w:val="32"/>
          <w:szCs w:val="32"/>
          <w:lang w:val="en-US" w:eastAsia="zh-CN"/>
        </w:rPr>
        <w:t>81.39</w:t>
      </w:r>
      <w:r>
        <w:rPr>
          <w:rFonts w:hint="eastAsia" w:ascii="仿宋_GB2312" w:hAnsi="仿宋_GB2312" w:eastAsia="仿宋_GB2312" w:cs="仿宋_GB2312"/>
          <w:sz w:val="32"/>
          <w:szCs w:val="32"/>
        </w:rPr>
        <w:t>万元，支</w:t>
      </w:r>
      <w:r>
        <w:rPr>
          <w:rFonts w:hint="eastAsia" w:ascii="仿宋_GB2312" w:hAnsi="仿宋_GB2312" w:eastAsia="仿宋_GB2312" w:cs="仿宋_GB2312"/>
          <w:sz w:val="32"/>
          <w:szCs w:val="32"/>
          <w:lang w:eastAsia="zh-CN"/>
        </w:rPr>
        <w:t>出</w:t>
      </w:r>
      <w:r>
        <w:rPr>
          <w:rFonts w:hint="eastAsia" w:ascii="仿宋_GB2312" w:hAnsi="仿宋_GB2312" w:eastAsia="仿宋_GB2312" w:cs="仿宋_GB2312"/>
          <w:sz w:val="32"/>
          <w:szCs w:val="32"/>
        </w:rPr>
        <w:t>率8</w:t>
      </w:r>
      <w:r>
        <w:rPr>
          <w:rFonts w:hint="eastAsia" w:ascii="仿宋_GB2312" w:hAnsi="仿宋_GB2312" w:eastAsia="仿宋_GB2312" w:cs="仿宋_GB2312"/>
          <w:sz w:val="32"/>
          <w:szCs w:val="32"/>
          <w:lang w:val="en-US" w:eastAsia="zh-CN"/>
        </w:rPr>
        <w:t>8.60</w:t>
      </w:r>
      <w:r>
        <w:rPr>
          <w:rFonts w:hint="eastAsia" w:ascii="仿宋_GB2312" w:hAnsi="仿宋_GB2312" w:eastAsia="仿宋_GB2312" w:cs="仿宋_GB2312"/>
          <w:sz w:val="32"/>
          <w:szCs w:val="32"/>
        </w:rPr>
        <w:t>%。</w:t>
      </w:r>
    </w:p>
    <w:p>
      <w:pPr>
        <w:numPr>
          <w:ilvl w:val="0"/>
          <w:numId w:val="1"/>
        </w:numPr>
        <w:spacing w:line="600" w:lineRule="exact"/>
        <w:ind w:firstLine="643" w:firstLineChars="200"/>
        <w:rPr>
          <w:b/>
          <w:bCs/>
          <w:sz w:val="32"/>
          <w:szCs w:val="32"/>
        </w:rPr>
      </w:pPr>
      <w:r>
        <w:rPr>
          <w:rFonts w:hint="eastAsia"/>
          <w:b/>
          <w:bCs/>
          <w:sz w:val="32"/>
          <w:szCs w:val="32"/>
        </w:rPr>
        <w:t>项目绩效目标</w:t>
      </w:r>
    </w:p>
    <w:p>
      <w:pPr>
        <w:pStyle w:val="7"/>
        <w:numPr>
          <w:ilvl w:val="0"/>
          <w:numId w:val="2"/>
        </w:numPr>
        <w:spacing w:line="600" w:lineRule="exact"/>
        <w:jc w:val="both"/>
        <w:rPr>
          <w:rFonts w:ascii="仿宋_GB2312" w:eastAsia="仿宋_GB2312"/>
          <w:sz w:val="32"/>
          <w:szCs w:val="32"/>
        </w:rPr>
      </w:pPr>
      <w:r>
        <w:rPr>
          <w:rFonts w:hint="eastAsia" w:ascii="仿宋_GB2312" w:eastAsia="仿宋_GB2312"/>
          <w:sz w:val="32"/>
          <w:szCs w:val="32"/>
        </w:rPr>
        <w:t>总体目标</w:t>
      </w:r>
    </w:p>
    <w:p>
      <w:pPr>
        <w:spacing w:line="600" w:lineRule="exact"/>
        <w:ind w:firstLine="600" w:firstLineChars="200"/>
        <w:rPr>
          <w:rFonts w:hint="eastAsia" w:ascii="仿宋_GB2312"/>
        </w:rPr>
      </w:pPr>
      <w:r>
        <w:rPr>
          <w:rFonts w:hint="eastAsia" w:ascii="仿宋_GB2312"/>
        </w:rPr>
        <w:t>保障机关公用车辆正常运行，购买办公用品、维护办公设施设备等，关心关爱离退休干部、驻村工作队员等工作人员，为自治区残联进一步提升办公效率、强化为残疾人服务提供支持和保障。</w:t>
      </w:r>
    </w:p>
    <w:p>
      <w:pPr>
        <w:pStyle w:val="7"/>
        <w:numPr>
          <w:ilvl w:val="0"/>
          <w:numId w:val="2"/>
        </w:numPr>
        <w:spacing w:line="600" w:lineRule="exact"/>
        <w:jc w:val="both"/>
        <w:rPr>
          <w:rFonts w:ascii="仿宋_GB2312" w:eastAsia="仿宋_GB2312"/>
          <w:sz w:val="32"/>
          <w:szCs w:val="32"/>
        </w:rPr>
      </w:pPr>
      <w:r>
        <w:rPr>
          <w:rFonts w:hint="eastAsia" w:ascii="仿宋_GB2312" w:eastAsia="仿宋_GB2312"/>
          <w:sz w:val="32"/>
          <w:szCs w:val="32"/>
        </w:rPr>
        <w:t>阶段性目标</w:t>
      </w:r>
    </w:p>
    <w:p>
      <w:pPr>
        <w:keepNext w:val="0"/>
        <w:keepLines w:val="0"/>
        <w:pageBreakBefore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hint="eastAsia" w:ascii="仿宋_GB2312"/>
        </w:rPr>
      </w:pPr>
      <w:r>
        <w:rPr>
          <w:rFonts w:hint="eastAsia" w:ascii="仿宋_GB2312" w:hAnsi="黑体" w:eastAsia="仿宋_GB2312"/>
          <w:color w:val="auto"/>
          <w:spacing w:val="6"/>
          <w:sz w:val="32"/>
          <w:szCs w:val="32"/>
        </w:rPr>
        <w:t>通过实施该项目，</w:t>
      </w:r>
      <w:r>
        <w:rPr>
          <w:rFonts w:hint="eastAsia" w:ascii="仿宋_GB2312" w:hAnsi="黑体" w:eastAsia="仿宋_GB2312"/>
          <w:color w:val="auto"/>
          <w:spacing w:val="6"/>
          <w:sz w:val="32"/>
          <w:szCs w:val="32"/>
          <w:lang w:val="en-US" w:eastAsia="zh-CN"/>
        </w:rPr>
        <w:t>保障公务用车7辆</w:t>
      </w:r>
      <w:r>
        <w:rPr>
          <w:rFonts w:hint="eastAsia" w:ascii="仿宋_GB2312" w:hAnsi="黑体"/>
          <w:color w:val="auto"/>
          <w:spacing w:val="6"/>
          <w:sz w:val="32"/>
          <w:szCs w:val="32"/>
          <w:lang w:val="en-US" w:eastAsia="zh-CN"/>
        </w:rPr>
        <w:t>正常运行</w:t>
      </w:r>
      <w:r>
        <w:rPr>
          <w:rFonts w:hint="eastAsia" w:ascii="仿宋_GB2312" w:hAnsi="黑体" w:eastAsia="仿宋_GB2312"/>
          <w:color w:val="auto"/>
          <w:spacing w:val="6"/>
          <w:sz w:val="32"/>
          <w:szCs w:val="32"/>
          <w:lang w:val="en-US" w:eastAsia="zh-CN"/>
        </w:rPr>
        <w:t>，保障</w:t>
      </w:r>
      <w:r>
        <w:rPr>
          <w:rFonts w:hint="eastAsia" w:ascii="仿宋_GB2312" w:hAnsi="黑体"/>
          <w:color w:val="auto"/>
          <w:spacing w:val="6"/>
          <w:sz w:val="32"/>
          <w:szCs w:val="32"/>
          <w:lang w:val="en-US" w:eastAsia="zh-CN"/>
        </w:rPr>
        <w:t>49名</w:t>
      </w:r>
      <w:r>
        <w:rPr>
          <w:rFonts w:hint="eastAsia" w:ascii="仿宋_GB2312" w:hAnsi="黑体" w:eastAsia="仿宋_GB2312"/>
          <w:color w:val="auto"/>
          <w:spacing w:val="6"/>
          <w:sz w:val="32"/>
          <w:szCs w:val="32"/>
          <w:lang w:val="en-US" w:eastAsia="zh-CN"/>
        </w:rPr>
        <w:t>办公人员</w:t>
      </w:r>
      <w:r>
        <w:rPr>
          <w:rFonts w:hint="eastAsia" w:ascii="仿宋" w:hAnsi="仿宋" w:eastAsia="仿宋" w:cs="仿宋"/>
          <w:i w:val="0"/>
          <w:caps w:val="0"/>
          <w:color w:val="333333"/>
          <w:spacing w:val="0"/>
          <w:kern w:val="2"/>
          <w:sz w:val="32"/>
          <w:szCs w:val="32"/>
          <w:shd w:val="clear" w:fill="FFFFFF"/>
          <w:lang w:val="en-US" w:eastAsia="zh-CN" w:bidi="ar-SA"/>
        </w:rPr>
        <w:t>办公用品，保障会议、法律咨询、档案整理、安保、保洁、院落绿化、食堂运行等日常工作有序进行，</w:t>
      </w:r>
      <w:r>
        <w:rPr>
          <w:rFonts w:hint="eastAsia" w:ascii="仿宋_GB2312" w:hAnsi="黑体" w:eastAsia="仿宋_GB2312"/>
          <w:color w:val="auto"/>
          <w:spacing w:val="6"/>
          <w:sz w:val="32"/>
          <w:szCs w:val="32"/>
        </w:rPr>
        <w:t>计划</w:t>
      </w:r>
      <w:r>
        <w:rPr>
          <w:rFonts w:hint="eastAsia" w:ascii="仿宋_GB2312" w:hAnsi="黑体" w:eastAsia="仿宋_GB2312"/>
          <w:color w:val="auto"/>
          <w:spacing w:val="6"/>
          <w:sz w:val="32"/>
          <w:szCs w:val="32"/>
          <w:lang w:eastAsia="zh-CN"/>
        </w:rPr>
        <w:t>慰问离退休干部</w:t>
      </w:r>
      <w:r>
        <w:rPr>
          <w:rFonts w:hint="eastAsia" w:ascii="仿宋_GB2312" w:hAnsi="黑体" w:eastAsia="仿宋_GB2312"/>
          <w:color w:val="auto"/>
          <w:spacing w:val="6"/>
          <w:sz w:val="32"/>
          <w:szCs w:val="32"/>
          <w:lang w:val="en-US" w:eastAsia="zh-CN"/>
        </w:rPr>
        <w:t>3次，保障18名</w:t>
      </w:r>
      <w:r>
        <w:rPr>
          <w:rFonts w:hint="eastAsia" w:ascii="仿宋_GB2312" w:hAnsi="黑体" w:eastAsia="仿宋_GB2312"/>
          <w:color w:val="auto"/>
          <w:spacing w:val="6"/>
          <w:sz w:val="32"/>
          <w:szCs w:val="32"/>
          <w:lang w:val="en-US" w:eastAsia="zh-CN"/>
        </w:rPr>
        <w:t>驻村工作人员</w:t>
      </w:r>
      <w:r>
        <w:rPr>
          <w:rFonts w:hint="eastAsia" w:ascii="仿宋_GB2312" w:hAnsi="黑体"/>
          <w:color w:val="auto"/>
          <w:spacing w:val="6"/>
          <w:sz w:val="32"/>
          <w:szCs w:val="32"/>
          <w:lang w:val="en-US" w:eastAsia="zh-CN"/>
        </w:rPr>
        <w:t>的</w:t>
      </w:r>
      <w:r>
        <w:rPr>
          <w:rFonts w:hint="eastAsia" w:ascii="仿宋" w:hAnsi="仿宋" w:eastAsia="仿宋" w:cs="仿宋"/>
          <w:i w:val="0"/>
          <w:caps w:val="0"/>
          <w:color w:val="333333"/>
          <w:spacing w:val="0"/>
          <w:kern w:val="2"/>
          <w:sz w:val="32"/>
          <w:szCs w:val="32"/>
          <w:shd w:val="clear" w:fill="FFFFFF"/>
          <w:lang w:val="en-US" w:eastAsia="zh-CN" w:bidi="ar-SA"/>
        </w:rPr>
        <w:t>休假往返路费、支教老师体检、保险等。</w:t>
      </w:r>
    </w:p>
    <w:p>
      <w:pPr>
        <w:spacing w:line="600" w:lineRule="exact"/>
        <w:ind w:firstLine="643" w:firstLineChars="200"/>
        <w:rPr>
          <w:b/>
          <w:bCs/>
          <w:sz w:val="32"/>
          <w:szCs w:val="32"/>
        </w:rPr>
      </w:pPr>
      <w:r>
        <w:rPr>
          <w:rFonts w:hint="eastAsia"/>
          <w:b/>
          <w:bCs/>
          <w:sz w:val="32"/>
          <w:szCs w:val="32"/>
        </w:rPr>
        <w:t>二、绩效评价工作开展情况</w:t>
      </w:r>
    </w:p>
    <w:p>
      <w:pPr>
        <w:pStyle w:val="4"/>
        <w:ind w:firstLine="640"/>
        <w:rPr>
          <w:rFonts w:ascii="仿宋" w:hAnsi="仿宋" w:eastAsia="仿宋" w:cs="仿宋"/>
          <w:sz w:val="32"/>
          <w:szCs w:val="32"/>
        </w:rPr>
      </w:pPr>
      <w:r>
        <w:rPr>
          <w:rFonts w:hint="eastAsia" w:ascii="仿宋" w:hAnsi="仿宋" w:eastAsia="仿宋" w:cs="仿宋"/>
          <w:sz w:val="32"/>
          <w:szCs w:val="32"/>
        </w:rPr>
        <w:t>（一）绩效评价目的、对象和范围。</w:t>
      </w:r>
    </w:p>
    <w:p>
      <w:pPr>
        <w:pStyle w:val="4"/>
        <w:ind w:firstLine="640"/>
        <w:rPr>
          <w:rFonts w:ascii="仿宋" w:hAnsi="仿宋" w:eastAsia="仿宋" w:cs="仿宋"/>
          <w:sz w:val="32"/>
          <w:szCs w:val="32"/>
        </w:rPr>
      </w:pPr>
      <w:r>
        <w:rPr>
          <w:rFonts w:hint="eastAsia" w:ascii="仿宋" w:hAnsi="仿宋" w:eastAsia="仿宋" w:cs="仿宋"/>
          <w:sz w:val="32"/>
          <w:szCs w:val="32"/>
        </w:rPr>
        <w:t>1.绩效评价目的：运用科学、规范的绩效评价方法，按照财政部《项目支出绩效评价管理办法》，对项目进行科学评价，包括预算编制合理性、资金使用合规性、项目管理的规范性、项目目标的实现情况、服务对象的满意度等，通过本次绩效评价来总结经验和教训，促进项目成果转化和应用，为今后类似项目的长效管理，提供可行性参考建议。以绩效目标为依据，从决策、产出、管理、效果四个维度，对新疆维吾尔自治区</w:t>
      </w:r>
      <w:r>
        <w:rPr>
          <w:rFonts w:hint="eastAsia" w:ascii="仿宋" w:hAnsi="仿宋" w:eastAsia="仿宋" w:cs="仿宋"/>
          <w:i w:val="0"/>
          <w:caps w:val="0"/>
          <w:color w:val="333333"/>
          <w:spacing w:val="0"/>
          <w:kern w:val="2"/>
          <w:sz w:val="32"/>
          <w:szCs w:val="32"/>
          <w:shd w:val="clear" w:fill="FFFFFF"/>
          <w:lang w:val="en-US" w:eastAsia="zh-CN" w:bidi="ar-SA"/>
        </w:rPr>
        <w:t>残疾人事业综合性经费项目资金</w:t>
      </w:r>
      <w:r>
        <w:rPr>
          <w:rFonts w:hint="eastAsia" w:ascii="仿宋" w:hAnsi="仿宋" w:eastAsia="仿宋" w:cs="仿宋"/>
          <w:sz w:val="32"/>
          <w:szCs w:val="32"/>
        </w:rPr>
        <w:t>使用的经济性、效率性、效益性进行综合评定，提高财政资金配置效率和使用效益。通过绩效评价总结项目在决策、执行等方面的经验，查找存在的不足，深入分析原因，为项目在以后年度的开展提供可行性参考建议。</w:t>
      </w:r>
    </w:p>
    <w:p>
      <w:pPr>
        <w:pStyle w:val="4"/>
        <w:ind w:firstLine="640"/>
        <w:rPr>
          <w:rFonts w:ascii="仿宋" w:hAnsi="仿宋" w:eastAsia="仿宋" w:cs="仿宋"/>
          <w:sz w:val="32"/>
          <w:szCs w:val="32"/>
        </w:rPr>
      </w:pPr>
      <w:r>
        <w:rPr>
          <w:rFonts w:hint="eastAsia" w:ascii="仿宋" w:hAnsi="仿宋" w:eastAsia="仿宋" w:cs="仿宋"/>
          <w:sz w:val="32"/>
          <w:szCs w:val="32"/>
        </w:rPr>
        <w:t>2.评价对象：</w:t>
      </w:r>
      <w:bookmarkStart w:id="0" w:name="_Hlk69772397"/>
      <w:r>
        <w:rPr>
          <w:rFonts w:hint="eastAsia" w:ascii="仿宋" w:hAnsi="仿宋" w:eastAsia="仿宋" w:cs="仿宋"/>
          <w:sz w:val="32"/>
          <w:szCs w:val="32"/>
        </w:rPr>
        <w:t>2022年自治区</w:t>
      </w:r>
      <w:bookmarkEnd w:id="0"/>
      <w:r>
        <w:rPr>
          <w:rFonts w:hint="eastAsia" w:ascii="仿宋" w:hAnsi="仿宋" w:eastAsia="仿宋" w:cs="仿宋"/>
          <w:i w:val="0"/>
          <w:caps w:val="0"/>
          <w:color w:val="333333"/>
          <w:spacing w:val="0"/>
          <w:kern w:val="2"/>
          <w:sz w:val="32"/>
          <w:szCs w:val="32"/>
          <w:shd w:val="clear" w:fill="FFFFFF"/>
          <w:lang w:val="en-US" w:eastAsia="zh-CN" w:bidi="ar-SA"/>
        </w:rPr>
        <w:t>残疾人事业综合性经费项目430.47</w:t>
      </w:r>
      <w:r>
        <w:rPr>
          <w:rFonts w:hint="eastAsia" w:ascii="仿宋" w:hAnsi="仿宋" w:eastAsia="仿宋" w:cs="仿宋"/>
          <w:sz w:val="32"/>
          <w:szCs w:val="32"/>
        </w:rPr>
        <w:t>万元的使用。</w:t>
      </w:r>
    </w:p>
    <w:p>
      <w:pPr>
        <w:pStyle w:val="4"/>
        <w:ind w:firstLine="640"/>
        <w:rPr>
          <w:rFonts w:ascii="仿宋" w:hAnsi="仿宋" w:eastAsia="仿宋" w:cs="仿宋"/>
          <w:sz w:val="32"/>
          <w:szCs w:val="32"/>
        </w:rPr>
      </w:pPr>
      <w:r>
        <w:rPr>
          <w:rFonts w:hint="eastAsia" w:ascii="仿宋" w:hAnsi="仿宋" w:eastAsia="仿宋" w:cs="仿宋"/>
          <w:sz w:val="32"/>
          <w:szCs w:val="32"/>
        </w:rPr>
        <w:t>3.评价范围：2022年自治区</w:t>
      </w:r>
      <w:r>
        <w:rPr>
          <w:rFonts w:hint="eastAsia" w:ascii="仿宋" w:hAnsi="仿宋" w:eastAsia="仿宋" w:cs="仿宋"/>
          <w:i w:val="0"/>
          <w:caps w:val="0"/>
          <w:color w:val="333333"/>
          <w:spacing w:val="0"/>
          <w:kern w:val="2"/>
          <w:sz w:val="32"/>
          <w:szCs w:val="32"/>
          <w:shd w:val="clear" w:fill="FFFFFF"/>
          <w:lang w:val="en-US" w:eastAsia="zh-CN" w:bidi="ar-SA"/>
        </w:rPr>
        <w:t>残疾人事业综合性经费项目</w:t>
      </w:r>
      <w:r>
        <w:rPr>
          <w:rFonts w:hint="eastAsia" w:ascii="仿宋" w:hAnsi="仿宋" w:eastAsia="仿宋" w:cs="仿宋"/>
          <w:sz w:val="32"/>
          <w:szCs w:val="32"/>
        </w:rPr>
        <w:t>的预算编制及执行情况、财务管理状况以及为加强管理制定的相关制度、采取的措施等方面进行分析，全面了解项目资金的使用效率和效果，项目管理的过程是否规范、是否实现了预期绩效目标。</w:t>
      </w:r>
    </w:p>
    <w:p>
      <w:pPr>
        <w:spacing w:line="600" w:lineRule="exact"/>
        <w:ind w:firstLine="600" w:firstLineChars="200"/>
        <w:rPr>
          <w:rFonts w:ascii="仿宋_GB2312"/>
        </w:rPr>
      </w:pPr>
    </w:p>
    <w:p>
      <w:pPr>
        <w:pStyle w:val="4"/>
        <w:ind w:firstLine="640"/>
        <w:rPr>
          <w:rFonts w:ascii="仿宋" w:hAnsi="仿宋" w:eastAsia="仿宋" w:cs="仿宋"/>
          <w:sz w:val="32"/>
          <w:szCs w:val="32"/>
        </w:rPr>
      </w:pPr>
      <w:r>
        <w:rPr>
          <w:rFonts w:hint="eastAsia" w:ascii="仿宋" w:hAnsi="仿宋" w:eastAsia="仿宋" w:cs="仿宋"/>
          <w:sz w:val="32"/>
          <w:szCs w:val="32"/>
        </w:rPr>
        <w:t>（二）绩效评价原则、评价指标体系（附表说明）、评价方法、评价标准等。</w:t>
      </w:r>
    </w:p>
    <w:p>
      <w:pPr>
        <w:pStyle w:val="4"/>
        <w:spacing w:line="590" w:lineRule="exact"/>
        <w:ind w:firstLine="640"/>
        <w:rPr>
          <w:rFonts w:ascii="仿宋_GB2312" w:hAnsi="黑体" w:eastAsia="仿宋_GB2312"/>
          <w:spacing w:val="6"/>
          <w:sz w:val="32"/>
          <w:szCs w:val="32"/>
        </w:rPr>
      </w:pPr>
      <w:r>
        <w:rPr>
          <w:rFonts w:hint="eastAsia" w:ascii="仿宋" w:hAnsi="仿宋" w:eastAsia="仿宋" w:cs="仿宋"/>
          <w:sz w:val="32"/>
          <w:szCs w:val="32"/>
        </w:rPr>
        <w:t>1.绩效评价原则：</w:t>
      </w:r>
      <w:r>
        <w:rPr>
          <w:rFonts w:hint="eastAsia" w:ascii="仿宋_GB2312" w:hAnsi="黑体" w:eastAsia="仿宋_GB2312"/>
          <w:spacing w:val="6"/>
          <w:sz w:val="32"/>
          <w:szCs w:val="32"/>
        </w:rPr>
        <w:t>依据《中华人民共和国预算法》、中共中央、国务院《关于全面实施预算绩效管理的意见》（中发〔2018〕34号）、财政部《项目支出绩效评价管理办法》（财预〔2020〕10号）、自治区党委、自治区人民政府《关于全面实施预算绩效管理的实施意见》（新党发〔2018〕30号)、自治区财政厅《全面实施预算绩效管理的工作方案》 (新财预〔2018〕158号)、自治区财政厅《财政支出绩效评价管理暂行办法》(新财预〔2018〕189号)等文件要求，遵照科学规范、公正公开、分级分类、绩效相关等原则开展绩效评价工作，结合项目特点，注重项目支出的经济性、效率性、效益性，严格执行规定的程序，采用定量与定性分析相结合的方法对投入、产出进行评价。</w:t>
      </w:r>
    </w:p>
    <w:p>
      <w:pPr>
        <w:pStyle w:val="4"/>
        <w:ind w:firstLine="640"/>
        <w:rPr>
          <w:rFonts w:hint="eastAsia" w:ascii="Times New Roman" w:hAnsi="Times New Roman" w:eastAsia="仿宋_GB2312"/>
          <w:sz w:val="32"/>
          <w:szCs w:val="32"/>
        </w:rPr>
      </w:pPr>
      <w:r>
        <w:rPr>
          <w:rFonts w:hint="eastAsia" w:ascii="仿宋" w:hAnsi="仿宋" w:eastAsia="仿宋" w:cs="仿宋"/>
          <w:sz w:val="32"/>
          <w:szCs w:val="32"/>
        </w:rPr>
        <w:t>2.评价指标体系：本次评价指标体系参考《财政部关于项目支出绩效评价管理办法的通知》（财预﹝2020﹞10号）</w:t>
      </w:r>
      <w:r>
        <w:rPr>
          <w:rFonts w:ascii="Times New Roman" w:hAnsi="Times New Roman" w:eastAsia="仿宋_GB2312"/>
          <w:sz w:val="32"/>
          <w:szCs w:val="32"/>
        </w:rPr>
        <w:t>中的指标分级，设定具体项目指标体系框架。</w:t>
      </w:r>
      <w:r>
        <w:rPr>
          <w:rFonts w:hint="eastAsia" w:ascii="Times New Roman" w:hAnsi="Times New Roman" w:eastAsia="仿宋_GB2312"/>
          <w:sz w:val="32"/>
          <w:szCs w:val="32"/>
        </w:rPr>
        <w:t>从业务指标四大方面拟定绩效评价指标，</w:t>
      </w:r>
      <w:r>
        <w:rPr>
          <w:rFonts w:ascii="Times New Roman" w:hAnsi="Times New Roman" w:eastAsia="仿宋_GB2312"/>
          <w:sz w:val="32"/>
          <w:szCs w:val="32"/>
        </w:rPr>
        <w:t>指标权重自上而下按指标层次分步确定权重</w:t>
      </w:r>
      <w:r>
        <w:rPr>
          <w:rFonts w:hint="eastAsia" w:ascii="Times New Roman" w:hAnsi="Times New Roman" w:eastAsia="仿宋_GB2312"/>
          <w:sz w:val="32"/>
          <w:szCs w:val="32"/>
        </w:rPr>
        <w:t>，</w:t>
      </w:r>
      <w:r>
        <w:rPr>
          <w:rFonts w:ascii="Times New Roman" w:hAnsi="Times New Roman" w:eastAsia="仿宋_GB2312"/>
          <w:sz w:val="32"/>
          <w:szCs w:val="32"/>
        </w:rPr>
        <w:t>业务指标权重设定</w:t>
      </w:r>
      <w:r>
        <w:rPr>
          <w:rFonts w:hint="eastAsia" w:ascii="Times New Roman" w:hAnsi="Times New Roman" w:eastAsia="仿宋_GB2312"/>
          <w:sz w:val="32"/>
          <w:szCs w:val="32"/>
        </w:rPr>
        <w:t>：</w:t>
      </w:r>
      <w:r>
        <w:rPr>
          <w:rFonts w:ascii="Times New Roman" w:hAnsi="Times New Roman" w:eastAsia="仿宋_GB2312"/>
          <w:sz w:val="32"/>
          <w:szCs w:val="32"/>
        </w:rPr>
        <w:t>决策</w:t>
      </w:r>
      <w:r>
        <w:rPr>
          <w:rFonts w:hint="eastAsia" w:ascii="Times New Roman" w:hAnsi="Times New Roman" w:eastAsia="仿宋_GB2312"/>
          <w:sz w:val="32"/>
          <w:szCs w:val="32"/>
        </w:rPr>
        <w:t>20</w:t>
      </w:r>
      <w:r>
        <w:rPr>
          <w:rFonts w:ascii="Times New Roman" w:hAnsi="Times New Roman" w:eastAsia="仿宋_GB2312"/>
          <w:sz w:val="32"/>
          <w:szCs w:val="32"/>
        </w:rPr>
        <w:t>分、过程20分、产出</w:t>
      </w:r>
      <w:r>
        <w:rPr>
          <w:rFonts w:hint="eastAsia" w:ascii="Times New Roman" w:hAnsi="Times New Roman" w:eastAsia="仿宋_GB2312"/>
          <w:sz w:val="32"/>
          <w:szCs w:val="32"/>
        </w:rPr>
        <w:t>40</w:t>
      </w:r>
      <w:r>
        <w:rPr>
          <w:rFonts w:ascii="Times New Roman" w:hAnsi="Times New Roman" w:eastAsia="仿宋_GB2312"/>
          <w:sz w:val="32"/>
          <w:szCs w:val="32"/>
        </w:rPr>
        <w:t>分、效益</w:t>
      </w:r>
      <w:r>
        <w:rPr>
          <w:rFonts w:hint="eastAsia" w:ascii="Times New Roman" w:hAnsi="Times New Roman" w:eastAsia="仿宋_GB2312"/>
          <w:sz w:val="32"/>
          <w:szCs w:val="32"/>
        </w:rPr>
        <w:t>20</w:t>
      </w:r>
      <w:r>
        <w:rPr>
          <w:rFonts w:ascii="Times New Roman" w:hAnsi="Times New Roman" w:eastAsia="仿宋_GB2312"/>
          <w:sz w:val="32"/>
          <w:szCs w:val="32"/>
        </w:rPr>
        <w:t>分</w:t>
      </w:r>
      <w:r>
        <w:rPr>
          <w:rFonts w:hint="eastAsia" w:ascii="Times New Roman" w:hAnsi="Times New Roman" w:eastAsia="仿宋_GB2312"/>
          <w:sz w:val="32"/>
          <w:szCs w:val="32"/>
        </w:rPr>
        <w:t>，满分100分，明细见下表：</w:t>
      </w:r>
    </w:p>
    <w:tbl>
      <w:tblPr>
        <w:tblStyle w:val="10"/>
        <w:tblW w:w="8330" w:type="dxa"/>
        <w:tblInd w:w="0" w:type="dxa"/>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
      <w:tblGrid>
        <w:gridCol w:w="1220"/>
        <w:gridCol w:w="1164"/>
        <w:gridCol w:w="1344"/>
        <w:gridCol w:w="3807"/>
        <w:gridCol w:w="795"/>
      </w:tblGrid>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90" w:hRule="atLeast"/>
        </w:trPr>
        <w:tc>
          <w:tcPr>
            <w:tcW w:w="1220"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一级指标</w:t>
            </w:r>
          </w:p>
        </w:tc>
        <w:tc>
          <w:tcPr>
            <w:tcW w:w="1164"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二级指标</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三级指标</w:t>
            </w:r>
          </w:p>
        </w:tc>
        <w:tc>
          <w:tcPr>
            <w:tcW w:w="3807" w:type="dxa"/>
            <w:tcBorders>
              <w:tl2br w:val="nil"/>
              <w:tr2bl w:val="nil"/>
            </w:tcBorders>
            <w:shd w:val="clear" w:color="auto" w:fill="FFFFFF"/>
            <w:tcMar>
              <w:top w:w="10" w:type="dxa"/>
              <w:left w:w="10" w:type="dxa"/>
              <w:right w:w="10" w:type="dxa"/>
            </w:tcMar>
            <w:vAlign w:val="center"/>
          </w:tcPr>
          <w:p>
            <w:pPr>
              <w:spacing w:line="560" w:lineRule="exact"/>
              <w:ind w:firstLine="464" w:firstLineChars="200"/>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指标解释</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分值</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决策</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项目立项（10分）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立项依据充分性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项目立项是否符合法律法规、相关政策、发展规划以及部门职责，用以反映和考核项目立项依据情况。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立项程序规范性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项目申请、设立过程是否符合相关要求，用以反映和考核项目立项的规范情况。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绩效目标合理性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项目所设定的绩效目标是否依据充分，是否符合客观实际，用以反映和考核项目绩效目标与项目实施的相符情况。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绩效指标明确性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依据绩效目标设定的绩效指标是否清晰、细化、可衡量等，用以反映和考核项目绩效目标的明细化情况。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资金投入</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（5分）　　</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预算编制科学性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项目预算编制是否经过科学论证、有明确标准，资金额度与年度目标是否相适应，用以反映和考核项目预算编制的科学性、合理性情况。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0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资金分配合理性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项目预算资金分配是否有测算依据，与补助单位或地方实际是否相适应，用以反映和考核项目预算资金分配的科学性、合理性情况。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2.5</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065"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rPr>
                <w:rFonts w:ascii="仿宋_GB2312" w:hAnsi="仿宋_GB2312" w:eastAsia="仿宋_GB2312" w:cs="仿宋_GB2312"/>
                <w:spacing w:val="-4"/>
                <w:sz w:val="24"/>
              </w:rPr>
            </w:pPr>
          </w:p>
          <w:p>
            <w:pPr>
              <w:spacing w:line="560" w:lineRule="exact"/>
              <w:ind w:firstLine="464" w:firstLineChars="200"/>
              <w:rPr>
                <w:rFonts w:ascii="仿宋_GB2312" w:hAnsi="仿宋_GB2312" w:eastAsia="仿宋_GB2312" w:cs="仿宋_GB2312"/>
                <w:spacing w:val="-4"/>
                <w:sz w:val="24"/>
              </w:rPr>
            </w:pPr>
            <w:r>
              <w:rPr>
                <w:rFonts w:hint="eastAsia" w:ascii="仿宋_GB2312" w:hAnsi="仿宋_GB2312" w:eastAsia="仿宋_GB2312" w:cs="仿宋_GB2312"/>
                <w:spacing w:val="-4"/>
                <w:sz w:val="24"/>
              </w:rPr>
              <w:t>过程</w:t>
            </w: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（20分）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资金管理（8分）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资金到位率</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实际到位资金与预算资金的比率，用以反映和考核资金落实情况对项目实施的总体保障程度。</w:t>
            </w:r>
          </w:p>
          <w:p>
            <w:pPr>
              <w:pStyle w:val="7"/>
            </w:pP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p>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预算执行率</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项目预算资金是否按照计划执行，用以反映或考核项目预算执行情况。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资金管理（4分）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资金使用合规性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项目资金使用是否符合相关的财务管理制度规定，用以反映和考核项目资金的规范运行情况。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组织实施</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管理制度健全性</w:t>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项目实施单位的财务和业务管理制度是否健全，用以反映和考核财务和业务管理制度对项目顺利实施的保障情况。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制度执行有效性</w:t>
            </w:r>
          </w:p>
        </w:tc>
        <w:tc>
          <w:tcPr>
            <w:tcW w:w="3807"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项目实施是否符合相关管理规定，用以反映和考核相关管理制度的有效执行情况。</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12"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restart"/>
            <w:tcBorders>
              <w:tl2br w:val="nil"/>
              <w:tr2bl w:val="nil"/>
            </w:tcBorders>
            <w:shd w:val="clear" w:color="auto" w:fill="FFFFFF"/>
            <w:tcMar>
              <w:top w:w="10" w:type="dxa"/>
              <w:left w:w="10" w:type="dxa"/>
              <w:right w:w="10" w:type="dxa"/>
            </w:tcMar>
            <w:vAlign w:val="center"/>
          </w:tcPr>
          <w:p>
            <w:pPr>
              <w:spacing w:line="560" w:lineRule="exact"/>
              <w:ind w:left="239" w:leftChars="114"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w:t>
            </w:r>
          </w:p>
          <w:p>
            <w:pPr>
              <w:spacing w:line="560" w:lineRule="exact"/>
              <w:ind w:firstLine="232" w:firstLineChars="1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（40分）</w:t>
            </w: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产出数量（18分）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实际完成率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项目实施的实际产出数与计划产出数的比率，用以反映和考核项目产出数量目标的实现程度。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18</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产出质量（</w:t>
            </w:r>
            <w:r>
              <w:rPr>
                <w:rFonts w:ascii="仿宋_GB2312" w:hAnsi="仿宋_GB2312" w:eastAsia="仿宋_GB2312" w:cs="仿宋_GB2312"/>
                <w:spacing w:val="-4"/>
                <w:sz w:val="24"/>
              </w:rPr>
              <w:t>9</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质量达标率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项目完成的质量达标产出数与实际产出数的比率，用以反映和考核项目产出质量目标的实现程度。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ascii="仿宋_GB2312" w:hAnsi="仿宋_GB2312" w:eastAsia="仿宋_GB2312" w:cs="仿宋_GB2312"/>
                <w:spacing w:val="-4"/>
                <w:sz w:val="24"/>
              </w:rPr>
              <w:t>9</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9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产出时效（6分）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完成及时性</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项目实际完成时间与计划完成时间的比较，用以反映和考核项目产出时效目标的实现程度。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6</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产出成本（</w:t>
            </w:r>
            <w:r>
              <w:rPr>
                <w:rFonts w:ascii="仿宋_GB2312" w:hAnsi="仿宋_GB2312" w:eastAsia="仿宋_GB2312" w:cs="仿宋_GB2312"/>
                <w:spacing w:val="-4"/>
                <w:sz w:val="24"/>
              </w:rPr>
              <w:t>7</w:t>
            </w:r>
            <w:r>
              <w:rPr>
                <w:rFonts w:hint="eastAsia" w:ascii="仿宋_GB2312" w:hAnsi="仿宋_GB2312" w:eastAsia="仿宋_GB2312" w:cs="仿宋_GB2312"/>
                <w:spacing w:val="-4"/>
                <w:sz w:val="24"/>
              </w:rPr>
              <w:t>分）</w:t>
            </w:r>
          </w:p>
        </w:tc>
        <w:tc>
          <w:tcPr>
            <w:tcW w:w="1344" w:type="dxa"/>
            <w:vMerge w:val="restart"/>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成本节约率</w:t>
            </w:r>
            <w:r>
              <w:rPr>
                <w:rFonts w:hint="eastAsia" w:ascii="仿宋_GB2312" w:hAnsi="仿宋_GB2312" w:eastAsia="仿宋_GB2312" w:cs="仿宋_GB2312"/>
                <w:spacing w:val="-4"/>
                <w:sz w:val="24"/>
              </w:rPr>
              <w:br w:type="textWrapping"/>
            </w:r>
          </w:p>
        </w:tc>
        <w:tc>
          <w:tcPr>
            <w:tcW w:w="3807" w:type="dxa"/>
            <w:vMerge w:val="restart"/>
            <w:tcBorders>
              <w:tl2br w:val="nil"/>
              <w:tr2bl w:val="nil"/>
            </w:tcBorders>
            <w:shd w:val="clear" w:color="auto" w:fill="FFFFFF"/>
            <w:tcMar>
              <w:top w:w="10" w:type="dxa"/>
              <w:left w:w="10" w:type="dxa"/>
              <w:right w:w="10" w:type="dxa"/>
            </w:tcMar>
            <w:vAlign w:val="center"/>
          </w:tcPr>
          <w:p>
            <w:pPr>
              <w:spacing w:line="500" w:lineRule="exact"/>
              <w:rPr>
                <w:rFonts w:ascii="仿宋_GB2312" w:hAnsi="仿宋_GB2312" w:eastAsia="仿宋_GB2312" w:cs="仿宋_GB2312"/>
                <w:spacing w:val="-4"/>
                <w:sz w:val="24"/>
              </w:rPr>
            </w:pPr>
            <w:r>
              <w:rPr>
                <w:rFonts w:hint="eastAsia" w:ascii="仿宋_GB2312" w:hAnsi="仿宋_GB2312" w:eastAsia="仿宋_GB2312" w:cs="仿宋_GB2312"/>
                <w:spacing w:val="-4"/>
                <w:sz w:val="24"/>
              </w:rPr>
              <w:t>完成项目计划工作目标的实际节约成本与计划成本的比率，用以反映和考核项目的成本节约程度。</w:t>
            </w:r>
          </w:p>
        </w:tc>
        <w:tc>
          <w:tcPr>
            <w:tcW w:w="795" w:type="dxa"/>
            <w:vMerge w:val="restart"/>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r>
              <w:rPr>
                <w:rFonts w:ascii="仿宋_GB2312" w:hAnsi="仿宋_GB2312" w:eastAsia="仿宋_GB2312" w:cs="仿宋_GB2312"/>
                <w:spacing w:val="-4"/>
                <w:sz w:val="24"/>
              </w:rPr>
              <w:t>7</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5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360" w:hRule="atLeast"/>
        </w:trPr>
        <w:tc>
          <w:tcPr>
            <w:tcW w:w="1220"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16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1344"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3807"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c>
          <w:tcPr>
            <w:tcW w:w="795" w:type="dxa"/>
            <w:vMerge w:val="continue"/>
            <w:tcBorders>
              <w:tl2br w:val="nil"/>
              <w:tr2bl w:val="nil"/>
            </w:tcBorders>
            <w:shd w:val="clear" w:color="auto" w:fill="FFFFFF"/>
            <w:tcMar>
              <w:top w:w="10" w:type="dxa"/>
              <w:left w:w="10" w:type="dxa"/>
              <w:right w:w="10" w:type="dxa"/>
            </w:tcMar>
            <w:vAlign w:val="center"/>
          </w:tcPr>
          <w:p>
            <w:pPr>
              <w:spacing w:line="560" w:lineRule="exact"/>
              <w:ind w:firstLine="464" w:firstLineChars="200"/>
              <w:jc w:val="left"/>
              <w:rPr>
                <w:rFonts w:ascii="仿宋_GB2312" w:hAnsi="仿宋_GB2312" w:eastAsia="仿宋_GB2312" w:cs="仿宋_GB2312"/>
                <w:spacing w:val="-4"/>
                <w:sz w:val="24"/>
              </w:rPr>
            </w:pP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1685" w:hRule="atLeast"/>
        </w:trPr>
        <w:tc>
          <w:tcPr>
            <w:tcW w:w="1220"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效益（20分）</w:t>
            </w:r>
          </w:p>
        </w:tc>
        <w:tc>
          <w:tcPr>
            <w:tcW w:w="116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项目效益　</w:t>
            </w:r>
            <w:r>
              <w:rPr>
                <w:rFonts w:hint="eastAsia" w:ascii="仿宋_GB2312" w:hAnsi="仿宋_GB2312" w:eastAsia="仿宋_GB2312" w:cs="仿宋_GB2312"/>
                <w:spacing w:val="-4"/>
                <w:sz w:val="24"/>
              </w:rPr>
              <w:br w:type="textWrapping"/>
            </w:r>
            <w:r>
              <w:rPr>
                <w:rFonts w:hint="eastAsia" w:ascii="仿宋_GB2312" w:hAnsi="仿宋_GB2312" w:eastAsia="仿宋_GB2312" w:cs="仿宋_GB2312"/>
                <w:spacing w:val="-4"/>
                <w:sz w:val="24"/>
              </w:rPr>
              <w:t>（20分）</w:t>
            </w:r>
          </w:p>
        </w:tc>
        <w:tc>
          <w:tcPr>
            <w:tcW w:w="1344"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满意度</w:t>
            </w:r>
            <w:r>
              <w:rPr>
                <w:rFonts w:hint="eastAsia" w:ascii="仿宋_GB2312" w:hAnsi="仿宋_GB2312" w:eastAsia="仿宋_GB2312" w:cs="仿宋_GB2312"/>
                <w:spacing w:val="-4"/>
                <w:sz w:val="24"/>
              </w:rPr>
              <w:br w:type="textWrapping"/>
            </w:r>
          </w:p>
        </w:tc>
        <w:tc>
          <w:tcPr>
            <w:tcW w:w="3807" w:type="dxa"/>
            <w:tcBorders>
              <w:tl2br w:val="nil"/>
              <w:tr2bl w:val="nil"/>
            </w:tcBorders>
            <w:shd w:val="clear" w:color="auto" w:fill="FFFFFF"/>
            <w:tcMar>
              <w:top w:w="10" w:type="dxa"/>
              <w:left w:w="10" w:type="dxa"/>
              <w:right w:w="10" w:type="dxa"/>
            </w:tcMar>
            <w:vAlign w:val="center"/>
          </w:tcPr>
          <w:p>
            <w:pPr>
              <w:spacing w:line="560" w:lineRule="exact"/>
              <w:jc w:val="left"/>
              <w:rPr>
                <w:rFonts w:ascii="仿宋_GB2312" w:hAnsi="仿宋_GB2312" w:eastAsia="仿宋_GB2312" w:cs="仿宋_GB2312"/>
                <w:spacing w:val="-4"/>
                <w:sz w:val="24"/>
              </w:rPr>
            </w:pPr>
            <w:r>
              <w:rPr>
                <w:rFonts w:hint="eastAsia" w:ascii="仿宋_GB2312" w:hAnsi="仿宋_GB2312" w:eastAsia="仿宋_GB2312" w:cs="仿宋_GB2312"/>
                <w:spacing w:val="-4"/>
                <w:sz w:val="24"/>
              </w:rPr>
              <w:t>社会公众或服务对象对项目实施效果的满意程度。</w:t>
            </w:r>
          </w:p>
        </w:tc>
        <w:tc>
          <w:tcPr>
            <w:tcW w:w="795" w:type="dxa"/>
            <w:tcBorders>
              <w:tl2br w:val="nil"/>
              <w:tr2bl w:val="nil"/>
            </w:tcBorders>
            <w:shd w:val="clear" w:color="auto" w:fill="FFFFFF"/>
            <w:tcMar>
              <w:top w:w="10" w:type="dxa"/>
              <w:left w:w="10" w:type="dxa"/>
              <w:right w:w="10" w:type="dxa"/>
            </w:tcMar>
            <w:vAlign w:val="center"/>
          </w:tcPr>
          <w:p>
            <w:pPr>
              <w:spacing w:line="560" w:lineRule="exact"/>
              <w:ind w:firstLine="232" w:firstLineChars="100"/>
              <w:jc w:val="center"/>
              <w:rPr>
                <w:rFonts w:hint="eastAsia" w:ascii="仿宋_GB2312" w:hAnsi="仿宋_GB2312" w:eastAsia="仿宋_GB2312" w:cs="仿宋_GB2312"/>
                <w:spacing w:val="-4"/>
                <w:sz w:val="24"/>
                <w:lang w:val="en-US" w:eastAsia="zh-CN"/>
              </w:rPr>
            </w:pPr>
            <w:r>
              <w:rPr>
                <w:rFonts w:hint="eastAsia" w:ascii="仿宋_GB2312" w:hAnsi="仿宋_GB2312" w:cs="仿宋_GB2312"/>
                <w:spacing w:val="-4"/>
                <w:sz w:val="24"/>
                <w:lang w:val="en-US" w:eastAsia="zh-CN"/>
              </w:rPr>
              <w:t>20</w:t>
            </w:r>
          </w:p>
        </w:tc>
      </w:tr>
      <w:tr>
        <w:tblPrEx>
          <w:tblBorders>
            <w:top w:val="single" w:color="000000" w:sz="6" w:space="0"/>
            <w:left w:val="single" w:color="000000" w:sz="6" w:space="0"/>
            <w:bottom w:val="single" w:color="000000" w:sz="6" w:space="0"/>
            <w:right w:val="single" w:color="000000" w:sz="6" w:space="0"/>
            <w:insideH w:val="single" w:color="000000" w:sz="6" w:space="0"/>
            <w:insideV w:val="single" w:color="000000" w:sz="6" w:space="0"/>
          </w:tblBorders>
          <w:tblLayout w:type="fixed"/>
          <w:tblCellMar>
            <w:top w:w="0" w:type="dxa"/>
            <w:left w:w="0" w:type="dxa"/>
            <w:bottom w:w="0" w:type="dxa"/>
            <w:right w:w="0" w:type="dxa"/>
          </w:tblCellMar>
        </w:tblPrEx>
        <w:trPr>
          <w:trHeight w:val="450" w:hRule="atLeast"/>
        </w:trPr>
        <w:tc>
          <w:tcPr>
            <w:tcW w:w="7535" w:type="dxa"/>
            <w:gridSpan w:val="4"/>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合计</w:t>
            </w:r>
          </w:p>
        </w:tc>
        <w:tc>
          <w:tcPr>
            <w:tcW w:w="795" w:type="dxa"/>
            <w:tcBorders>
              <w:tl2br w:val="nil"/>
              <w:tr2bl w:val="nil"/>
            </w:tcBorders>
            <w:shd w:val="clear" w:color="auto" w:fill="FFFFFF"/>
            <w:tcMar>
              <w:top w:w="10" w:type="dxa"/>
              <w:left w:w="10" w:type="dxa"/>
              <w:right w:w="10" w:type="dxa"/>
            </w:tcMar>
            <w:vAlign w:val="center"/>
          </w:tcPr>
          <w:p>
            <w:pPr>
              <w:spacing w:line="560" w:lineRule="exact"/>
              <w:jc w:val="center"/>
              <w:rPr>
                <w:rFonts w:ascii="仿宋_GB2312" w:hAnsi="仿宋_GB2312" w:eastAsia="仿宋_GB2312" w:cs="仿宋_GB2312"/>
                <w:spacing w:val="-4"/>
                <w:sz w:val="24"/>
              </w:rPr>
            </w:pPr>
            <w:r>
              <w:rPr>
                <w:rFonts w:hint="eastAsia" w:ascii="仿宋_GB2312" w:hAnsi="仿宋_GB2312" w:eastAsia="仿宋_GB2312" w:cs="仿宋_GB2312"/>
                <w:spacing w:val="-4"/>
                <w:sz w:val="24"/>
              </w:rPr>
              <w:t>100</w:t>
            </w:r>
          </w:p>
        </w:tc>
      </w:tr>
    </w:tbl>
    <w:p>
      <w:pPr>
        <w:pStyle w:val="4"/>
        <w:spacing w:line="590" w:lineRule="exact"/>
        <w:ind w:firstLine="640"/>
        <w:rPr>
          <w:rFonts w:ascii="仿宋_GB2312" w:hAnsi="黑体" w:eastAsia="仿宋_GB2312"/>
          <w:spacing w:val="6"/>
          <w:sz w:val="32"/>
          <w:szCs w:val="32"/>
        </w:rPr>
      </w:pPr>
      <w:r>
        <w:rPr>
          <w:rFonts w:hint="eastAsia" w:ascii="仿宋" w:hAnsi="仿宋" w:eastAsia="仿宋" w:cs="仿宋"/>
          <w:sz w:val="32"/>
          <w:szCs w:val="32"/>
        </w:rPr>
        <w:t>3.评价方法：</w:t>
      </w:r>
      <w:r>
        <w:rPr>
          <w:rFonts w:hint="eastAsia" w:ascii="仿宋_GB2312" w:hAnsi="黑体" w:eastAsia="仿宋_GB2312"/>
          <w:spacing w:val="6"/>
          <w:sz w:val="32"/>
          <w:szCs w:val="32"/>
        </w:rPr>
        <w:t>主要采用以目标为导向的、基于证据分析的目标比较法开展绩效评价工作。根据已设定的绩效目标及指标，收集与项目相关的文件、财务资料、业务资料等资料，对收集到的相关资料进行整理、分析并进行统计。在此基础上，将分析、统计结果与既定的绩效目标指标进行定量、定性比较，分析未完成目标或偏离目标较大的原因，并根据预先设定的评分标准对各项指标进行评分，进而得出该项目绩效评价得分。</w:t>
      </w:r>
    </w:p>
    <w:p>
      <w:pPr>
        <w:tabs>
          <w:tab w:val="left" w:pos="709"/>
        </w:tabs>
        <w:spacing w:before="156" w:beforeLines="50" w:after="156" w:afterLines="50" w:line="560" w:lineRule="exact"/>
        <w:ind w:firstLine="640" w:firstLineChars="200"/>
        <w:rPr>
          <w:rFonts w:ascii="Times New Roman" w:hAnsi="Times New Roman" w:eastAsia="仿宋_GB2312"/>
          <w:color w:val="000000"/>
          <w:sz w:val="32"/>
          <w:szCs w:val="32"/>
          <w:lang w:bidi="ar"/>
        </w:rPr>
      </w:pPr>
      <w:r>
        <w:rPr>
          <w:rFonts w:hint="eastAsia" w:ascii="仿宋" w:hAnsi="仿宋" w:eastAsia="仿宋" w:cs="仿宋"/>
          <w:sz w:val="32"/>
          <w:szCs w:val="32"/>
        </w:rPr>
        <w:t>4.评价标准：</w:t>
      </w:r>
      <w:r>
        <w:rPr>
          <w:rFonts w:hint="eastAsia" w:ascii="Times New Roman" w:hAnsi="Times New Roman" w:eastAsia="仿宋_GB2312"/>
          <w:color w:val="000000"/>
          <w:sz w:val="32"/>
          <w:szCs w:val="32"/>
          <w:lang w:bidi="ar"/>
        </w:rPr>
        <w:t>对于定量指标，采用计划标准，以预先制定的目标、计划、预算、定额等作为评价标准，对比分析项目产出、效益的完成情况。结合设定的评分标准，通过公式计算具体得分。对于定性指标，通过查看项目资料</w:t>
      </w:r>
      <w:r>
        <w:rPr>
          <w:rFonts w:hint="eastAsia" w:eastAsia="仿宋_GB2312"/>
          <w:color w:val="000000"/>
          <w:sz w:val="32"/>
          <w:szCs w:val="32"/>
          <w:lang w:eastAsia="zh-CN" w:bidi="ar"/>
        </w:rPr>
        <w:t>、</w:t>
      </w:r>
      <w:r>
        <w:rPr>
          <w:rFonts w:hint="eastAsia" w:ascii="Times New Roman" w:hAnsi="Times New Roman" w:eastAsia="仿宋_GB2312"/>
          <w:color w:val="000000"/>
          <w:sz w:val="32"/>
          <w:szCs w:val="32"/>
          <w:lang w:bidi="ar"/>
        </w:rPr>
        <w:t>采集相关数据</w:t>
      </w:r>
      <w:r>
        <w:rPr>
          <w:rFonts w:hint="eastAsia" w:eastAsia="仿宋_GB2312"/>
          <w:color w:val="000000"/>
          <w:sz w:val="32"/>
          <w:szCs w:val="32"/>
          <w:lang w:eastAsia="zh-CN" w:bidi="ar"/>
        </w:rPr>
        <w:t>等方式，</w:t>
      </w:r>
      <w:r>
        <w:rPr>
          <w:rFonts w:hint="eastAsia" w:ascii="Times New Roman" w:hAnsi="Times New Roman" w:eastAsia="仿宋_GB2312"/>
          <w:color w:val="000000"/>
          <w:sz w:val="32"/>
          <w:szCs w:val="32"/>
          <w:lang w:bidi="ar"/>
        </w:rPr>
        <w:t>评价指标的完成情况。</w:t>
      </w:r>
    </w:p>
    <w:p>
      <w:pPr>
        <w:pStyle w:val="4"/>
        <w:ind w:firstLine="640"/>
        <w:rPr>
          <w:rFonts w:ascii="仿宋" w:hAnsi="仿宋" w:eastAsia="仿宋" w:cs="仿宋"/>
          <w:sz w:val="32"/>
          <w:szCs w:val="32"/>
        </w:rPr>
      </w:pPr>
      <w:r>
        <w:rPr>
          <w:rFonts w:hint="eastAsia" w:ascii="仿宋" w:hAnsi="仿宋" w:eastAsia="仿宋" w:cs="仿宋"/>
          <w:sz w:val="32"/>
          <w:szCs w:val="32"/>
        </w:rPr>
        <w:t>（三）绩效评价工作过程。</w:t>
      </w:r>
    </w:p>
    <w:p>
      <w:pPr>
        <w:pStyle w:val="4"/>
        <w:ind w:firstLine="640"/>
        <w:rPr>
          <w:rFonts w:ascii="仿宋" w:hAnsi="仿宋" w:eastAsia="仿宋" w:cs="仿宋"/>
          <w:sz w:val="32"/>
          <w:szCs w:val="32"/>
        </w:rPr>
      </w:pPr>
      <w:r>
        <w:rPr>
          <w:rFonts w:hint="eastAsia" w:ascii="仿宋" w:hAnsi="仿宋" w:eastAsia="仿宋" w:cs="仿宋"/>
          <w:sz w:val="32"/>
          <w:szCs w:val="32"/>
        </w:rPr>
        <w:t>1.前期准备：</w:t>
      </w:r>
      <w:r>
        <w:rPr>
          <w:rFonts w:hint="eastAsia" w:ascii="仿宋_GB2312" w:hAnsi="黑体" w:eastAsia="仿宋_GB2312"/>
          <w:spacing w:val="6"/>
          <w:sz w:val="32"/>
          <w:szCs w:val="32"/>
        </w:rPr>
        <w:t>在评价工作</w:t>
      </w:r>
      <w:r>
        <w:rPr>
          <w:rFonts w:hint="eastAsia" w:ascii="仿宋" w:hAnsi="仿宋" w:eastAsia="仿宋" w:cs="仿宋"/>
          <w:sz w:val="32"/>
          <w:szCs w:val="32"/>
        </w:rPr>
        <w:t>正式实施前期，收集、整理、熟悉项目相关资料，了解项目资金的使用情况。通过分析讨论，确定绩效评价关注的重点，从项目内容出发，结合项目预期目标，制定了本次绩效评价的指标体系。</w:t>
      </w:r>
    </w:p>
    <w:p>
      <w:pPr>
        <w:pStyle w:val="4"/>
        <w:ind w:firstLine="640"/>
        <w:rPr>
          <w:rFonts w:hint="eastAsia" w:ascii="Times New Roman" w:hAnsi="Times New Roman" w:eastAsia="仿宋_GB2312"/>
          <w:sz w:val="32"/>
          <w:szCs w:val="32"/>
        </w:rPr>
      </w:pPr>
      <w:r>
        <w:rPr>
          <w:rFonts w:hint="eastAsia" w:ascii="仿宋" w:hAnsi="仿宋" w:eastAsia="仿宋" w:cs="仿宋"/>
          <w:sz w:val="32"/>
          <w:szCs w:val="32"/>
        </w:rPr>
        <w:t>2.数据采集分析及撰写报告：收集该项目相关文件、</w:t>
      </w:r>
      <w:r>
        <w:rPr>
          <w:rFonts w:hint="eastAsia" w:ascii="仿宋_GB2312" w:hAnsi="黑体" w:eastAsia="仿宋_GB2312"/>
          <w:spacing w:val="6"/>
          <w:sz w:val="32"/>
          <w:szCs w:val="32"/>
        </w:rPr>
        <w:t>财务资料、业务资料、相关管理办法等，对收集到的资料进行统计整理并分析，将结果与既定的绩效目标指标进行定量、定性比较，进而对绩效指标进行评分，并</w:t>
      </w:r>
      <w:r>
        <w:rPr>
          <w:rFonts w:hint="eastAsia" w:ascii="仿宋" w:hAnsi="仿宋" w:eastAsia="仿宋" w:cs="仿宋"/>
          <w:sz w:val="32"/>
          <w:szCs w:val="32"/>
        </w:rPr>
        <w:t>撰写绩效评价报告。</w:t>
      </w:r>
    </w:p>
    <w:p>
      <w:pPr>
        <w:spacing w:line="600" w:lineRule="exact"/>
        <w:ind w:firstLine="600" w:firstLineChars="200"/>
        <w:rPr>
          <w:rFonts w:hint="eastAsia" w:ascii="黑体" w:hAnsi="黑体" w:eastAsia="黑体" w:cs="黑体"/>
          <w:sz w:val="32"/>
          <w:szCs w:val="32"/>
        </w:rPr>
      </w:pPr>
      <w:r>
        <w:rPr>
          <w:rFonts w:hint="eastAsia" w:ascii="黑体" w:hAnsi="黑体" w:eastAsia="黑体" w:cs="黑体"/>
          <w:sz w:val="32"/>
          <w:szCs w:val="32"/>
        </w:rPr>
        <w:t>三、综合评价情况及评价结论</w:t>
      </w:r>
    </w:p>
    <w:p>
      <w:pPr>
        <w:spacing w:line="590" w:lineRule="exact"/>
        <w:ind w:firstLine="664" w:firstLineChars="200"/>
        <w:rPr>
          <w:rFonts w:hint="eastAsia" w:ascii="仿宋_GB2312" w:hAnsi="黑体" w:eastAsia="仿宋_GB2312" w:cs="Times New Roman"/>
          <w:spacing w:val="6"/>
          <w:kern w:val="2"/>
          <w:sz w:val="32"/>
          <w:szCs w:val="32"/>
          <w:lang w:val="en-US" w:eastAsia="zh-CN" w:bidi="ar-SA"/>
        </w:rPr>
      </w:pPr>
      <w:r>
        <w:rPr>
          <w:rFonts w:hint="eastAsia" w:ascii="仿宋_GB2312" w:hAnsi="黑体" w:eastAsia="仿宋_GB2312" w:cs="Times New Roman"/>
          <w:spacing w:val="6"/>
          <w:kern w:val="2"/>
          <w:sz w:val="32"/>
          <w:szCs w:val="32"/>
          <w:lang w:val="en-US" w:eastAsia="zh-CN" w:bidi="ar-SA"/>
        </w:rPr>
        <w:t>该项目绩效评价得分98.63分，评价等级为优，已基本完成计划的绩效目标。各部分权重和绩效分值详见下表：</w:t>
      </w:r>
    </w:p>
    <w:p>
      <w:pPr>
        <w:pStyle w:val="5"/>
        <w:spacing w:line="590" w:lineRule="exact"/>
        <w:rPr>
          <w:rFonts w:eastAsia="仿宋_GB2312"/>
        </w:rPr>
      </w:pPr>
      <w:r>
        <w:rPr>
          <w:rFonts w:hint="eastAsia" w:ascii="仿宋_GB2312" w:hAnsi="黑体" w:eastAsia="仿宋_GB2312"/>
          <w:spacing w:val="6"/>
          <w:sz w:val="32"/>
        </w:rPr>
        <w:t>项目综合评分表</w:t>
      </w:r>
    </w:p>
    <w:tbl>
      <w:tblPr>
        <w:tblStyle w:val="10"/>
        <w:tblW w:w="8396" w:type="dxa"/>
        <w:jc w:val="center"/>
        <w:tblInd w:w="0" w:type="dxa"/>
        <w:tblLayout w:type="fixed"/>
        <w:tblCellMar>
          <w:top w:w="0" w:type="dxa"/>
          <w:left w:w="108" w:type="dxa"/>
          <w:bottom w:w="0" w:type="dxa"/>
          <w:right w:w="108" w:type="dxa"/>
        </w:tblCellMar>
      </w:tblPr>
      <w:tblGrid>
        <w:gridCol w:w="1420"/>
        <w:gridCol w:w="1420"/>
        <w:gridCol w:w="1421"/>
        <w:gridCol w:w="1421"/>
        <w:gridCol w:w="1421"/>
        <w:gridCol w:w="1293"/>
      </w:tblGrid>
      <w:tr>
        <w:tblPrEx>
          <w:tblLayout w:type="fixed"/>
          <w:tblCellMar>
            <w:top w:w="0" w:type="dxa"/>
            <w:left w:w="108" w:type="dxa"/>
            <w:bottom w:w="0" w:type="dxa"/>
            <w:right w:w="108" w:type="dxa"/>
          </w:tblCellMar>
        </w:tblPrEx>
        <w:trPr>
          <w:trHeight w:val="397"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指 标</w:t>
            </w:r>
          </w:p>
        </w:tc>
        <w:tc>
          <w:tcPr>
            <w:tcW w:w="1420"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项目决策类</w:t>
            </w:r>
          </w:p>
        </w:tc>
        <w:tc>
          <w:tcPr>
            <w:tcW w:w="142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项目过程类</w:t>
            </w:r>
          </w:p>
        </w:tc>
        <w:tc>
          <w:tcPr>
            <w:tcW w:w="142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项目产出类</w:t>
            </w:r>
          </w:p>
        </w:tc>
        <w:tc>
          <w:tcPr>
            <w:tcW w:w="1421"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项目效益类</w:t>
            </w:r>
          </w:p>
        </w:tc>
        <w:tc>
          <w:tcPr>
            <w:tcW w:w="1293" w:type="dxa"/>
            <w:tcBorders>
              <w:top w:val="single" w:color="000000" w:sz="4" w:space="0"/>
              <w:left w:val="single" w:color="000000" w:sz="4" w:space="0"/>
              <w:bottom w:val="single" w:color="000000" w:sz="4" w:space="0"/>
              <w:right w:val="single" w:color="000000" w:sz="4" w:space="0"/>
            </w:tcBorders>
            <w:shd w:val="clear" w:color="auto" w:fill="BEBEBE" w:themeFill="background1" w:themeFillShade="BF"/>
            <w:vAlign w:val="center"/>
          </w:tcPr>
          <w:p>
            <w:pPr>
              <w:widowControl/>
              <w:jc w:val="center"/>
              <w:textAlignment w:val="top"/>
              <w:rPr>
                <w:rFonts w:ascii="宋体" w:hAnsi="宋体"/>
                <w:b/>
                <w:bCs/>
                <w:sz w:val="22"/>
              </w:rPr>
            </w:pPr>
            <w:r>
              <w:rPr>
                <w:rFonts w:hint="eastAsia" w:ascii="宋体" w:hAnsi="宋体"/>
                <w:b/>
                <w:bCs/>
                <w:kern w:val="0"/>
                <w:sz w:val="22"/>
              </w:rPr>
              <w:t>合计</w:t>
            </w:r>
          </w:p>
        </w:tc>
      </w:tr>
      <w:tr>
        <w:tblPrEx>
          <w:tblLayout w:type="fixed"/>
          <w:tblCellMar>
            <w:top w:w="0" w:type="dxa"/>
            <w:left w:w="108" w:type="dxa"/>
            <w:bottom w:w="0" w:type="dxa"/>
            <w:right w:w="108" w:type="dxa"/>
          </w:tblCellMar>
        </w:tblPrEx>
        <w:trPr>
          <w:trHeight w:val="397"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权 重</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20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40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20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ascii="宋体" w:hAnsi="宋体"/>
                <w:color w:val="000000" w:themeColor="text1"/>
                <w:kern w:val="0"/>
                <w:sz w:val="22"/>
                <w14:textFill>
                  <w14:solidFill>
                    <w14:schemeClr w14:val="tx1"/>
                  </w14:solidFill>
                </w14:textFill>
              </w:rPr>
              <w:t>100</w:t>
            </w:r>
          </w:p>
        </w:tc>
      </w:tr>
      <w:tr>
        <w:tblPrEx>
          <w:tblLayout w:type="fixed"/>
          <w:tblCellMar>
            <w:top w:w="0" w:type="dxa"/>
            <w:left w:w="108" w:type="dxa"/>
            <w:bottom w:w="0" w:type="dxa"/>
            <w:right w:w="108" w:type="dxa"/>
          </w:tblCellMar>
        </w:tblPrEx>
        <w:trPr>
          <w:trHeight w:val="397"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sz w:val="22"/>
              </w:rPr>
            </w:pPr>
            <w:r>
              <w:rPr>
                <w:rFonts w:hint="eastAsia" w:ascii="宋体" w:hAnsi="宋体"/>
                <w:kern w:val="0"/>
                <w:sz w:val="22"/>
              </w:rPr>
              <w:t>得 分</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20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1</w:t>
            </w:r>
            <w:r>
              <w:rPr>
                <w:rFonts w:hint="eastAsia" w:ascii="宋体" w:hAnsi="宋体"/>
                <w:color w:val="000000" w:themeColor="text1"/>
                <w:sz w:val="22"/>
                <w:lang w:val="en-US" w:eastAsia="zh-CN"/>
                <w14:textFill>
                  <w14:solidFill>
                    <w14:schemeClr w14:val="tx1"/>
                  </w14:solidFill>
                </w14:textFill>
              </w:rPr>
              <w:t>9.5</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3</w:t>
            </w:r>
            <w:r>
              <w:rPr>
                <w:rFonts w:hint="eastAsia" w:ascii="宋体" w:hAnsi="宋体"/>
                <w:color w:val="000000" w:themeColor="text1"/>
                <w:sz w:val="22"/>
                <w:lang w:val="en-US" w:eastAsia="zh-CN"/>
                <w14:textFill>
                  <w14:solidFill>
                    <w14:schemeClr w14:val="tx1"/>
                  </w14:solidFill>
                </w14:textFill>
              </w:rPr>
              <w:t>9.13</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hint="eastAsia" w:ascii="宋体" w:hAnsi="宋体" w:eastAsia="仿宋_GB2312"/>
                <w:color w:val="000000" w:themeColor="text1"/>
                <w:sz w:val="22"/>
                <w:lang w:eastAsia="zh-CN"/>
                <w14:textFill>
                  <w14:solidFill>
                    <w14:schemeClr w14:val="tx1"/>
                  </w14:solidFill>
                </w14:textFill>
              </w:rPr>
            </w:pPr>
            <w:r>
              <w:rPr>
                <w:rFonts w:hint="eastAsia" w:ascii="宋体" w:hAnsi="宋体"/>
                <w:color w:val="000000" w:themeColor="text1"/>
                <w:sz w:val="22"/>
                <w:lang w:val="en-US" w:eastAsia="zh-CN"/>
                <w14:textFill>
                  <w14:solidFill>
                    <w14:schemeClr w14:val="tx1"/>
                  </w14:solidFill>
                </w14:textFill>
              </w:rPr>
              <w:t>20</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sz w:val="22"/>
                <w14:textFill>
                  <w14:solidFill>
                    <w14:schemeClr w14:val="tx1"/>
                  </w14:solidFill>
                </w14:textFill>
              </w:rPr>
            </w:pPr>
            <w:r>
              <w:rPr>
                <w:rFonts w:hint="eastAsia" w:ascii="宋体" w:hAnsi="宋体"/>
                <w:color w:val="000000" w:themeColor="text1"/>
                <w:sz w:val="22"/>
                <w14:textFill>
                  <w14:solidFill>
                    <w14:schemeClr w14:val="tx1"/>
                  </w14:solidFill>
                </w14:textFill>
              </w:rPr>
              <w:t>9</w:t>
            </w:r>
            <w:r>
              <w:rPr>
                <w:rFonts w:hint="eastAsia" w:ascii="宋体" w:hAnsi="宋体"/>
                <w:color w:val="000000" w:themeColor="text1"/>
                <w:sz w:val="22"/>
                <w:lang w:val="en-US" w:eastAsia="zh-CN"/>
                <w14:textFill>
                  <w14:solidFill>
                    <w14:schemeClr w14:val="tx1"/>
                  </w14:solidFill>
                </w14:textFill>
              </w:rPr>
              <w:t>8.63</w:t>
            </w:r>
          </w:p>
        </w:tc>
      </w:tr>
      <w:tr>
        <w:tblPrEx>
          <w:tblLayout w:type="fixed"/>
          <w:tblCellMar>
            <w:top w:w="0" w:type="dxa"/>
            <w:left w:w="108" w:type="dxa"/>
            <w:bottom w:w="0" w:type="dxa"/>
            <w:right w:w="108" w:type="dxa"/>
          </w:tblCellMar>
        </w:tblPrEx>
        <w:trPr>
          <w:trHeight w:val="397" w:hRule="atLeast"/>
          <w:jc w:val="center"/>
        </w:trPr>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kern w:val="0"/>
                <w:sz w:val="22"/>
              </w:rPr>
            </w:pPr>
            <w:r>
              <w:rPr>
                <w:rFonts w:hint="eastAsia" w:ascii="宋体" w:hAnsi="宋体"/>
                <w:kern w:val="0"/>
                <w:sz w:val="22"/>
              </w:rPr>
              <w:t>得分率</w:t>
            </w:r>
          </w:p>
        </w:tc>
        <w:tc>
          <w:tcPr>
            <w:tcW w:w="142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100%</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9</w:t>
            </w:r>
            <w:r>
              <w:rPr>
                <w:rFonts w:hint="eastAsia" w:ascii="宋体" w:hAnsi="宋体"/>
                <w:color w:val="000000" w:themeColor="text1"/>
                <w:kern w:val="0"/>
                <w:sz w:val="22"/>
                <w:lang w:val="en-US" w:eastAsia="zh-CN"/>
                <w14:textFill>
                  <w14:solidFill>
                    <w14:schemeClr w14:val="tx1"/>
                  </w14:solidFill>
                </w14:textFill>
              </w:rPr>
              <w:t>7.50</w:t>
            </w:r>
            <w:r>
              <w:rPr>
                <w:rFonts w:hint="eastAsia" w:ascii="宋体" w:hAnsi="宋体"/>
                <w:color w:val="000000" w:themeColor="text1"/>
                <w:kern w:val="0"/>
                <w:sz w:val="22"/>
                <w14:textFill>
                  <w14:solidFill>
                    <w14:schemeClr w14:val="tx1"/>
                  </w14:solidFill>
                </w14:textFill>
              </w:rPr>
              <w:t>%</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97.83</w:t>
            </w:r>
            <w:r>
              <w:rPr>
                <w:rFonts w:hint="eastAsia" w:ascii="宋体" w:hAnsi="宋体"/>
                <w:color w:val="000000" w:themeColor="text1"/>
                <w:kern w:val="0"/>
                <w:sz w:val="22"/>
                <w14:textFill>
                  <w14:solidFill>
                    <w14:schemeClr w14:val="tx1"/>
                  </w14:solidFill>
                </w14:textFill>
              </w:rPr>
              <w:t>%</w:t>
            </w:r>
          </w:p>
        </w:tc>
        <w:tc>
          <w:tcPr>
            <w:tcW w:w="142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lang w:val="en-US" w:eastAsia="zh-CN"/>
                <w14:textFill>
                  <w14:solidFill>
                    <w14:schemeClr w14:val="tx1"/>
                  </w14:solidFill>
                </w14:textFill>
              </w:rPr>
              <w:t>100</w:t>
            </w:r>
            <w:r>
              <w:rPr>
                <w:rFonts w:hint="eastAsia" w:ascii="宋体" w:hAnsi="宋体"/>
                <w:color w:val="000000" w:themeColor="text1"/>
                <w:kern w:val="0"/>
                <w:sz w:val="22"/>
                <w14:textFill>
                  <w14:solidFill>
                    <w14:schemeClr w14:val="tx1"/>
                  </w14:solidFill>
                </w14:textFill>
              </w:rPr>
              <w:t>%</w:t>
            </w:r>
          </w:p>
        </w:tc>
        <w:tc>
          <w:tcPr>
            <w:tcW w:w="1293"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top"/>
              <w:rPr>
                <w:rFonts w:ascii="宋体" w:hAnsi="宋体"/>
                <w:color w:val="000000" w:themeColor="text1"/>
                <w:kern w:val="0"/>
                <w:sz w:val="22"/>
                <w14:textFill>
                  <w14:solidFill>
                    <w14:schemeClr w14:val="tx1"/>
                  </w14:solidFill>
                </w14:textFill>
              </w:rPr>
            </w:pPr>
            <w:r>
              <w:rPr>
                <w:rFonts w:hint="eastAsia" w:ascii="宋体" w:hAnsi="宋体"/>
                <w:color w:val="000000" w:themeColor="text1"/>
                <w:kern w:val="0"/>
                <w:sz w:val="22"/>
                <w14:textFill>
                  <w14:solidFill>
                    <w14:schemeClr w14:val="tx1"/>
                  </w14:solidFill>
                </w14:textFill>
              </w:rPr>
              <w:t>9</w:t>
            </w:r>
            <w:r>
              <w:rPr>
                <w:rFonts w:hint="eastAsia" w:ascii="宋体" w:hAnsi="宋体"/>
                <w:color w:val="000000" w:themeColor="text1"/>
                <w:kern w:val="0"/>
                <w:sz w:val="22"/>
                <w:lang w:val="en-US" w:eastAsia="zh-CN"/>
                <w14:textFill>
                  <w14:solidFill>
                    <w14:schemeClr w14:val="tx1"/>
                  </w14:solidFill>
                </w14:textFill>
              </w:rPr>
              <w:t>8.63</w:t>
            </w:r>
            <w:r>
              <w:rPr>
                <w:rFonts w:hint="eastAsia" w:ascii="宋体" w:hAnsi="宋体"/>
                <w:color w:val="000000" w:themeColor="text1"/>
                <w:kern w:val="0"/>
                <w:sz w:val="22"/>
                <w14:textFill>
                  <w14:solidFill>
                    <w14:schemeClr w14:val="tx1"/>
                  </w14:solidFill>
                </w14:textFill>
              </w:rPr>
              <w:t>%</w:t>
            </w:r>
          </w:p>
        </w:tc>
      </w:tr>
    </w:tbl>
    <w:p>
      <w:pPr>
        <w:pStyle w:val="2"/>
      </w:pPr>
    </w:p>
    <w:p>
      <w:pPr>
        <w:pStyle w:val="4"/>
        <w:ind w:firstLine="643"/>
        <w:rPr>
          <w:b/>
          <w:bCs/>
          <w:sz w:val="32"/>
          <w:szCs w:val="32"/>
        </w:rPr>
      </w:pPr>
      <w:r>
        <w:rPr>
          <w:rFonts w:hint="eastAsia"/>
          <w:b/>
          <w:bCs/>
          <w:sz w:val="32"/>
          <w:szCs w:val="32"/>
        </w:rPr>
        <w:t>四、绩效评价指标分析</w:t>
      </w:r>
    </w:p>
    <w:p>
      <w:pPr>
        <w:pStyle w:val="4"/>
        <w:ind w:firstLine="640"/>
        <w:rPr>
          <w:rFonts w:ascii="楷体" w:hAnsi="楷体" w:eastAsia="楷体" w:cs="仿宋"/>
          <w:sz w:val="32"/>
          <w:szCs w:val="32"/>
        </w:rPr>
      </w:pPr>
      <w:r>
        <w:rPr>
          <w:rFonts w:hint="eastAsia" w:ascii="楷体" w:hAnsi="楷体" w:eastAsia="楷体" w:cs="仿宋"/>
          <w:sz w:val="32"/>
          <w:szCs w:val="32"/>
        </w:rPr>
        <w:t>（一）项目决策情况</w:t>
      </w:r>
    </w:p>
    <w:p>
      <w:pPr>
        <w:numPr>
          <w:ilvl w:val="0"/>
          <w:numId w:val="3"/>
        </w:numPr>
        <w:tabs>
          <w:tab w:val="left" w:pos="312"/>
        </w:tabs>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项目立项</w:t>
      </w:r>
    </w:p>
    <w:p>
      <w:pPr>
        <w:spacing w:line="60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（1）立项依据充分性</w:t>
      </w:r>
    </w:p>
    <w:p>
      <w:pPr>
        <w:keepNext w:val="0"/>
        <w:keepLines w:val="0"/>
        <w:pageBreakBefore w:val="0"/>
        <w:widowControl w:val="0"/>
        <w:numPr>
          <w:ilvl w:val="0"/>
          <w:numId w:val="0"/>
        </w:numPr>
        <w:tabs>
          <w:tab w:val="clear" w:pos="312"/>
        </w:tabs>
        <w:kinsoku/>
        <w:wordWrap/>
        <w:overflowPunct/>
        <w:topLinePunct w:val="0"/>
        <w:autoSpaceDE/>
        <w:autoSpaceDN/>
        <w:bidi w:val="0"/>
        <w:adjustRightInd/>
        <w:snapToGrid/>
        <w:spacing w:line="600" w:lineRule="exact"/>
        <w:ind w:left="0" w:leftChars="0" w:right="0" w:rightChars="0" w:firstLine="664" w:firstLineChars="200"/>
        <w:jc w:val="both"/>
        <w:textAlignment w:val="auto"/>
        <w:outlineLvl w:val="9"/>
        <w:rPr>
          <w:rFonts w:hint="eastAsia" w:ascii="仿宋_GB2312" w:hAnsi="黑体" w:eastAsia="仿宋_GB2312"/>
          <w:spacing w:val="6"/>
          <w:sz w:val="32"/>
          <w:szCs w:val="32"/>
        </w:rPr>
      </w:pPr>
      <w:r>
        <w:rPr>
          <w:rFonts w:hint="eastAsia" w:ascii="仿宋_GB2312" w:hAnsi="黑体" w:eastAsia="仿宋_GB2312"/>
          <w:spacing w:val="6"/>
          <w:sz w:val="32"/>
          <w:szCs w:val="32"/>
        </w:rPr>
        <w:t>该项目以《关于进一步完善“访惠聚”驻村干部关心关爱机制的意见》的通知（ 新民办发</w:t>
      </w:r>
      <w:r>
        <w:rPr>
          <w:rFonts w:hint="eastAsia" w:ascii="宋体" w:hAnsi="宋体" w:eastAsia="宋体" w:cs="宋体"/>
          <w:spacing w:val="6"/>
          <w:sz w:val="32"/>
          <w:szCs w:val="32"/>
        </w:rPr>
        <w:t>﹝</w:t>
      </w:r>
      <w:r>
        <w:rPr>
          <w:rFonts w:hint="eastAsia" w:ascii="仿宋_GB2312" w:hAnsi="黑体" w:eastAsia="仿宋_GB2312"/>
          <w:spacing w:val="6"/>
          <w:sz w:val="32"/>
          <w:szCs w:val="32"/>
        </w:rPr>
        <w:t>2018</w:t>
      </w:r>
      <w:r>
        <w:rPr>
          <w:rFonts w:hint="eastAsia" w:ascii="宋体" w:hAnsi="宋体" w:eastAsia="宋体" w:cs="宋体"/>
          <w:spacing w:val="6"/>
          <w:sz w:val="32"/>
          <w:szCs w:val="32"/>
        </w:rPr>
        <w:t>﹞</w:t>
      </w:r>
      <w:r>
        <w:rPr>
          <w:rFonts w:hint="eastAsia" w:ascii="仿宋_GB2312" w:hAnsi="黑体" w:eastAsia="仿宋_GB2312"/>
          <w:spacing w:val="6"/>
          <w:sz w:val="32"/>
          <w:szCs w:val="32"/>
        </w:rPr>
        <w:t>22号） </w:t>
      </w:r>
      <w:r>
        <w:rPr>
          <w:rFonts w:hint="eastAsia" w:ascii="仿宋_GB2312" w:hAnsi="黑体" w:eastAsia="仿宋_GB2312"/>
          <w:spacing w:val="6"/>
          <w:sz w:val="32"/>
          <w:szCs w:val="32"/>
          <w:lang w:eastAsia="zh-CN"/>
        </w:rPr>
        <w:t>、</w:t>
      </w:r>
      <w:r>
        <w:rPr>
          <w:rFonts w:hint="eastAsia" w:ascii="仿宋_GB2312" w:hAnsi="黑体" w:eastAsia="仿宋_GB2312"/>
          <w:spacing w:val="6"/>
          <w:sz w:val="32"/>
          <w:szCs w:val="32"/>
        </w:rPr>
        <w:t>《关于强化深度贫困村第一书记统筹推进脱贫攻坚工作的</w:t>
      </w:r>
      <w:r>
        <w:rPr>
          <w:rFonts w:hint="eastAsia" w:ascii="仿宋_GB2312" w:hAnsi="黑体" w:eastAsia="仿宋_GB2312"/>
          <w:spacing w:val="6"/>
          <w:sz w:val="32"/>
          <w:szCs w:val="32"/>
          <w:lang w:eastAsia="zh-CN"/>
        </w:rPr>
        <w:t>通</w:t>
      </w:r>
      <w:r>
        <w:rPr>
          <w:rFonts w:hint="eastAsia" w:ascii="仿宋_GB2312" w:hAnsi="黑体" w:eastAsia="仿宋_GB2312"/>
          <w:spacing w:val="6"/>
          <w:sz w:val="32"/>
          <w:szCs w:val="32"/>
        </w:rPr>
        <w:t>知》（新党组通字</w:t>
      </w:r>
      <w:r>
        <w:rPr>
          <w:rFonts w:hint="eastAsia" w:ascii="宋体" w:hAnsi="宋体" w:eastAsia="宋体" w:cs="宋体"/>
          <w:spacing w:val="6"/>
          <w:sz w:val="32"/>
          <w:szCs w:val="32"/>
        </w:rPr>
        <w:t>﹝</w:t>
      </w:r>
      <w:r>
        <w:rPr>
          <w:rFonts w:hint="eastAsia" w:ascii="仿宋_GB2312" w:hAnsi="黑体" w:eastAsia="仿宋_GB2312"/>
          <w:spacing w:val="6"/>
          <w:sz w:val="32"/>
          <w:szCs w:val="32"/>
        </w:rPr>
        <w:t>2018</w:t>
      </w:r>
      <w:r>
        <w:rPr>
          <w:rFonts w:hint="eastAsia" w:ascii="宋体" w:hAnsi="宋体" w:eastAsia="宋体" w:cs="宋体"/>
          <w:spacing w:val="6"/>
          <w:sz w:val="32"/>
          <w:szCs w:val="32"/>
        </w:rPr>
        <w:t>﹞</w:t>
      </w:r>
      <w:r>
        <w:rPr>
          <w:rFonts w:hint="eastAsia" w:ascii="仿宋_GB2312" w:hAnsi="黑体" w:eastAsia="仿宋_GB2312"/>
          <w:spacing w:val="6"/>
          <w:sz w:val="32"/>
          <w:szCs w:val="32"/>
        </w:rPr>
        <w:t>5号）、 根据自治区党委办公厅 自治区人民政府办公厅印发《关于进一步加强和改进离退休干部工作的实施意见》的通知、自治区党委老干部局</w:t>
      </w:r>
      <w:r>
        <w:rPr>
          <w:rFonts w:hint="eastAsia" w:ascii="宋体" w:hAnsi="宋体" w:eastAsia="宋体" w:cs="宋体"/>
          <w:spacing w:val="6"/>
          <w:sz w:val="32"/>
          <w:szCs w:val="32"/>
        </w:rPr>
        <w:t>﹝</w:t>
      </w:r>
      <w:r>
        <w:rPr>
          <w:rFonts w:hint="eastAsia" w:ascii="仿宋_GB2312" w:hAnsi="黑体" w:eastAsia="仿宋_GB2312"/>
          <w:spacing w:val="6"/>
          <w:sz w:val="32"/>
          <w:szCs w:val="32"/>
        </w:rPr>
        <w:t>201</w:t>
      </w:r>
      <w:r>
        <w:rPr>
          <w:rFonts w:hint="eastAsia" w:ascii="仿宋_GB2312" w:hAnsi="黑体" w:eastAsia="仿宋_GB2312"/>
          <w:spacing w:val="6"/>
          <w:sz w:val="32"/>
          <w:szCs w:val="32"/>
          <w:lang w:val="en-US" w:eastAsia="zh-CN"/>
        </w:rPr>
        <w:t>9</w:t>
      </w:r>
      <w:r>
        <w:rPr>
          <w:rFonts w:hint="eastAsia" w:ascii="宋体" w:hAnsi="宋体" w:eastAsia="宋体" w:cs="宋体"/>
          <w:spacing w:val="6"/>
          <w:sz w:val="32"/>
          <w:szCs w:val="32"/>
        </w:rPr>
        <w:t>﹞</w:t>
      </w:r>
      <w:r>
        <w:rPr>
          <w:rFonts w:hint="eastAsia" w:ascii="仿宋_GB2312" w:hAnsi="黑体" w:eastAsia="仿宋_GB2312"/>
          <w:spacing w:val="6"/>
          <w:sz w:val="32"/>
          <w:szCs w:val="32"/>
        </w:rPr>
        <w:t>7号、自治区党委老干部局</w:t>
      </w:r>
      <w:r>
        <w:rPr>
          <w:rFonts w:hint="eastAsia" w:ascii="宋体" w:hAnsi="宋体" w:eastAsia="宋体" w:cs="宋体"/>
          <w:spacing w:val="6"/>
          <w:sz w:val="32"/>
          <w:szCs w:val="32"/>
        </w:rPr>
        <w:t>﹝</w:t>
      </w:r>
      <w:r>
        <w:rPr>
          <w:rFonts w:hint="eastAsia" w:ascii="仿宋_GB2312" w:hAnsi="黑体" w:eastAsia="仿宋_GB2312"/>
          <w:spacing w:val="6"/>
          <w:sz w:val="32"/>
          <w:szCs w:val="32"/>
        </w:rPr>
        <w:t>201</w:t>
      </w:r>
      <w:r>
        <w:rPr>
          <w:rFonts w:hint="eastAsia" w:ascii="仿宋_GB2312" w:hAnsi="黑体" w:eastAsia="仿宋_GB2312"/>
          <w:spacing w:val="6"/>
          <w:sz w:val="32"/>
          <w:szCs w:val="32"/>
          <w:lang w:val="en-US" w:eastAsia="zh-CN"/>
        </w:rPr>
        <w:t>9</w:t>
      </w:r>
      <w:r>
        <w:rPr>
          <w:rFonts w:hint="eastAsia" w:ascii="宋体" w:hAnsi="宋体" w:eastAsia="宋体" w:cs="宋体"/>
          <w:spacing w:val="6"/>
          <w:sz w:val="32"/>
          <w:szCs w:val="32"/>
        </w:rPr>
        <w:t>﹞</w:t>
      </w:r>
      <w:r>
        <w:rPr>
          <w:rFonts w:hint="eastAsia" w:ascii="仿宋_GB2312" w:hAnsi="黑体" w:eastAsia="仿宋_GB2312"/>
          <w:spacing w:val="6"/>
          <w:sz w:val="32"/>
          <w:szCs w:val="32"/>
        </w:rPr>
        <w:t>7号等文件作为立项依据，项目立项符合国家法律法规</w:t>
      </w:r>
      <w:r>
        <w:rPr>
          <w:rFonts w:hint="eastAsia" w:ascii="仿宋_GB2312" w:hAnsi="黑体" w:eastAsia="仿宋_GB2312"/>
          <w:spacing w:val="6"/>
          <w:sz w:val="32"/>
          <w:szCs w:val="32"/>
          <w:lang w:eastAsia="zh-CN"/>
        </w:rPr>
        <w:t>和</w:t>
      </w:r>
      <w:r>
        <w:rPr>
          <w:rFonts w:hint="eastAsia" w:ascii="仿宋_GB2312" w:hAnsi="黑体" w:eastAsia="仿宋_GB2312"/>
          <w:spacing w:val="6"/>
          <w:sz w:val="32"/>
          <w:szCs w:val="32"/>
        </w:rPr>
        <w:t>相关政策要求及自治区残疾人联合会的部门职责，立项依据充分。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根据评分规则，该指标权重分值5分，实际得分5分。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（2）立项程序规范性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自治区残疾人联合会能够召开会议，对该项目进行集体决策，立项程序规范。</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根据评分规则，该指标权重分值5分，实际得分5分。</w:t>
      </w:r>
    </w:p>
    <w:p>
      <w:pPr>
        <w:pStyle w:val="3"/>
        <w:spacing w:before="0" w:beforeAutospacing="0" w:after="0" w:afterAutospacing="0" w:line="600" w:lineRule="exact"/>
        <w:ind w:firstLine="640" w:firstLineChars="200"/>
        <w:rPr>
          <w:rFonts w:ascii="仿宋" w:hAnsi="仿宋" w:eastAsia="仿宋" w:cs="仿宋"/>
          <w:b w:val="0"/>
          <w:bCs w:val="0"/>
          <w:kern w:val="2"/>
          <w:sz w:val="32"/>
          <w:szCs w:val="32"/>
        </w:rPr>
      </w:pPr>
      <w:r>
        <w:rPr>
          <w:rFonts w:hint="eastAsia" w:ascii="仿宋" w:hAnsi="仿宋" w:eastAsia="仿宋" w:cs="仿宋"/>
          <w:b w:val="0"/>
          <w:bCs w:val="0"/>
          <w:kern w:val="2"/>
          <w:sz w:val="32"/>
          <w:szCs w:val="32"/>
        </w:rPr>
        <w:t>2.绩效目标</w:t>
      </w:r>
    </w:p>
    <w:p>
      <w:pPr>
        <w:spacing w:line="60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（1）绩效目标合理性</w:t>
      </w:r>
    </w:p>
    <w:p>
      <w:pPr>
        <w:ind w:firstLine="664" w:firstLineChars="200"/>
        <w:jc w:val="left"/>
        <w:rPr>
          <w:rFonts w:ascii="仿宋_GB2312" w:hAnsi="黑体" w:eastAsia="仿宋_GB2312"/>
          <w:spacing w:val="6"/>
          <w:sz w:val="32"/>
          <w:szCs w:val="32"/>
        </w:rPr>
      </w:pPr>
      <w:r>
        <w:rPr>
          <w:rFonts w:hint="eastAsia" w:ascii="仿宋_GB2312" w:hAnsi="黑体" w:eastAsia="仿宋_GB2312"/>
          <w:spacing w:val="6"/>
          <w:sz w:val="32"/>
          <w:szCs w:val="32"/>
        </w:rPr>
        <w:t>能够结合工作职责及拟开展的工作设定绩效目标，绩效目标设定依据充分，基本符合客观实际情况，设定的绩效目标能够与其工作内容相关，设定的绩效目标能够与项目资金量相匹配。</w:t>
      </w:r>
    </w:p>
    <w:p>
      <w:pPr>
        <w:spacing w:line="590" w:lineRule="exact"/>
        <w:ind w:firstLine="664" w:firstLineChars="200"/>
      </w:pPr>
      <w:r>
        <w:rPr>
          <w:rFonts w:hint="eastAsia" w:ascii="仿宋_GB2312" w:hAnsi="黑体" w:eastAsia="仿宋_GB2312"/>
          <w:spacing w:val="6"/>
          <w:sz w:val="32"/>
          <w:szCs w:val="32"/>
        </w:rPr>
        <w:t>根据评分规则，该指标权重分值2.5分，实际得分2.5分。</w:t>
      </w:r>
    </w:p>
    <w:p>
      <w:pPr>
        <w:pStyle w:val="5"/>
        <w:spacing w:line="59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（2）绩效指标明确性</w:t>
      </w:r>
    </w:p>
    <w:p>
      <w:pPr>
        <w:pStyle w:val="5"/>
        <w:spacing w:line="60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够结合实际需求，将绩效目标细化分解为具体的绩效指标，设定的具体指标值，包含定量指标</w:t>
      </w:r>
      <w:r>
        <w:rPr>
          <w:rFonts w:hint="eastAsia" w:ascii="仿宋_GB2312" w:hAnsi="黑体"/>
          <w:b w:val="0"/>
          <w:spacing w:val="6"/>
          <w:sz w:val="32"/>
          <w:szCs w:val="32"/>
          <w:lang w:val="en-US" w:eastAsia="zh-CN"/>
        </w:rPr>
        <w:t>12</w:t>
      </w:r>
      <w:r>
        <w:rPr>
          <w:rFonts w:hint="eastAsia" w:ascii="仿宋_GB2312" w:hAnsi="黑体" w:eastAsia="仿宋_GB2312"/>
          <w:b w:val="0"/>
          <w:spacing w:val="6"/>
          <w:sz w:val="32"/>
          <w:szCs w:val="32"/>
        </w:rPr>
        <w:t>个，设定的绩效指标清晰，具有可衡量性。</w:t>
      </w:r>
    </w:p>
    <w:p>
      <w:pPr>
        <w:pStyle w:val="5"/>
        <w:spacing w:line="600" w:lineRule="exact"/>
        <w:ind w:firstLine="664" w:firstLineChars="200"/>
        <w:jc w:val="both"/>
        <w:rPr>
          <w:rFonts w:ascii="仿宋_GB2312" w:hAnsi="黑体" w:eastAsia="仿宋_GB2312"/>
          <w:b w:val="0"/>
          <w:spacing w:val="6"/>
          <w:sz w:val="32"/>
          <w:szCs w:val="32"/>
        </w:rPr>
      </w:pPr>
      <w:r>
        <w:rPr>
          <w:rFonts w:hint="eastAsia" w:ascii="仿宋_GB2312" w:hAnsi="黑体" w:eastAsia="仿宋_GB2312"/>
          <w:b w:val="0"/>
          <w:spacing w:val="6"/>
          <w:sz w:val="32"/>
          <w:szCs w:val="32"/>
        </w:rPr>
        <w:t>根据评分规则，该指标权重分值2.5分，实际得分2.5分。</w:t>
      </w:r>
    </w:p>
    <w:p>
      <w:pPr>
        <w:numPr>
          <w:ilvl w:val="255"/>
          <w:numId w:val="0"/>
        </w:numPr>
        <w:spacing w:line="600" w:lineRule="exact"/>
        <w:ind w:left="319" w:leftChars="152" w:firstLine="320" w:firstLineChars="100"/>
        <w:rPr>
          <w:rFonts w:ascii="仿宋_GB2312" w:hAnsi="黑体" w:eastAsia="仿宋_GB2312"/>
          <w:spacing w:val="6"/>
          <w:sz w:val="32"/>
          <w:szCs w:val="32"/>
        </w:rPr>
      </w:pPr>
      <w:r>
        <w:rPr>
          <w:rFonts w:hint="eastAsia" w:ascii="仿宋" w:hAnsi="仿宋" w:eastAsia="仿宋" w:cs="仿宋"/>
          <w:sz w:val="32"/>
          <w:szCs w:val="32"/>
        </w:rPr>
        <w:t>3.资金投入</w:t>
      </w:r>
      <w:r>
        <w:rPr>
          <w:rFonts w:hint="eastAsia" w:ascii="仿宋_GB2312" w:hAnsi="仿宋_GB2312" w:eastAsia="仿宋_GB2312" w:cs="仿宋_GB2312"/>
          <w:spacing w:val="-4"/>
          <w:sz w:val="24"/>
        </w:rPr>
        <w:br w:type="textWrapping"/>
      </w:r>
      <w:r>
        <w:rPr>
          <w:rFonts w:hint="eastAsia" w:ascii="仿宋_GB2312" w:hAnsi="黑体" w:eastAsia="仿宋_GB2312"/>
          <w:spacing w:val="6"/>
          <w:sz w:val="32"/>
          <w:szCs w:val="32"/>
        </w:rPr>
        <w:t>（1）预算编制科学性</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自治区残疾人联合会在进行项目概算时，根据相关规程并结合实际情况对预算进行编制，能够与工作任务相匹配，编制较为科学。</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根据评分规则，该指标权重分值2.5分，实际得分2.5分。</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（2）资金分配合理性</w:t>
      </w:r>
    </w:p>
    <w:p>
      <w:pPr>
        <w:spacing w:line="590" w:lineRule="exact"/>
        <w:ind w:firstLine="664" w:firstLineChars="200"/>
        <w:rPr>
          <w:rFonts w:hint="eastAsia" w:ascii="仿宋_GB2312" w:hAnsi="黑体" w:eastAsia="仿宋_GB2312"/>
          <w:spacing w:val="6"/>
          <w:sz w:val="32"/>
          <w:szCs w:val="32"/>
        </w:rPr>
      </w:pPr>
      <w:r>
        <w:rPr>
          <w:rFonts w:hint="eastAsia" w:ascii="仿宋_GB2312" w:hAnsi="黑体" w:eastAsia="仿宋_GB2312"/>
          <w:spacing w:val="6"/>
          <w:sz w:val="32"/>
          <w:szCs w:val="32"/>
        </w:rPr>
        <w:t>项目预算资金分配有测算依据，与</w:t>
      </w:r>
      <w:r>
        <w:rPr>
          <w:rFonts w:hint="eastAsia" w:ascii="仿宋_GB2312" w:hAnsi="黑体" w:eastAsia="仿宋_GB2312"/>
          <w:spacing w:val="6"/>
          <w:sz w:val="32"/>
          <w:szCs w:val="32"/>
          <w:lang w:eastAsia="zh-CN"/>
        </w:rPr>
        <w:t>相关部室工作职责</w:t>
      </w:r>
      <w:r>
        <w:rPr>
          <w:rFonts w:hint="eastAsia" w:ascii="仿宋_GB2312" w:hAnsi="黑体" w:eastAsia="仿宋_GB2312"/>
          <w:spacing w:val="6"/>
          <w:sz w:val="32"/>
          <w:szCs w:val="32"/>
        </w:rPr>
        <w:t>相适应，资金分配方案经自治区残疾人联合会党组会议审议同意</w:t>
      </w:r>
      <w:r>
        <w:rPr>
          <w:rFonts w:hint="eastAsia" w:ascii="仿宋_GB2312" w:hAnsi="黑体" w:eastAsia="仿宋_GB2312"/>
          <w:spacing w:val="6"/>
          <w:sz w:val="32"/>
          <w:szCs w:val="32"/>
          <w:lang w:eastAsia="zh-CN"/>
        </w:rPr>
        <w:t>，</w:t>
      </w:r>
      <w:r>
        <w:rPr>
          <w:rFonts w:hint="eastAsia" w:ascii="仿宋_GB2312" w:hAnsi="黑体" w:eastAsia="仿宋_GB2312"/>
          <w:spacing w:val="6"/>
          <w:sz w:val="32"/>
          <w:szCs w:val="32"/>
        </w:rPr>
        <w:t>预算资金分配合理。</w:t>
      </w:r>
    </w:p>
    <w:p>
      <w:pPr>
        <w:spacing w:line="590" w:lineRule="exact"/>
        <w:ind w:firstLine="664" w:firstLineChars="200"/>
      </w:pPr>
      <w:r>
        <w:rPr>
          <w:rFonts w:hint="eastAsia" w:ascii="仿宋_GB2312" w:hAnsi="黑体" w:eastAsia="仿宋_GB2312"/>
          <w:spacing w:val="6"/>
          <w:sz w:val="32"/>
          <w:szCs w:val="32"/>
        </w:rPr>
        <w:t>根据评分规则，该指标权重分值2.5分，实际得分2.5分。</w:t>
      </w:r>
    </w:p>
    <w:p>
      <w:pPr>
        <w:pStyle w:val="4"/>
        <w:ind w:firstLine="640"/>
        <w:rPr>
          <w:rFonts w:ascii="仿宋" w:hAnsi="仿宋" w:eastAsia="仿宋" w:cs="仿宋"/>
          <w:sz w:val="32"/>
          <w:szCs w:val="32"/>
        </w:rPr>
      </w:pPr>
      <w:r>
        <w:rPr>
          <w:rFonts w:hint="eastAsia" w:ascii="仿宋" w:hAnsi="仿宋" w:eastAsia="仿宋" w:cs="仿宋"/>
          <w:sz w:val="32"/>
          <w:szCs w:val="32"/>
        </w:rPr>
        <w:t>（二）</w:t>
      </w:r>
      <w:r>
        <w:rPr>
          <w:rFonts w:hint="eastAsia" w:ascii="楷体" w:hAnsi="楷体" w:eastAsia="楷体" w:cs="仿宋"/>
          <w:sz w:val="32"/>
          <w:szCs w:val="32"/>
        </w:rPr>
        <w:t>项目过程情况</w:t>
      </w:r>
    </w:p>
    <w:p>
      <w:pPr>
        <w:pStyle w:val="4"/>
        <w:ind w:firstLine="640"/>
        <w:rPr>
          <w:rFonts w:ascii="仿宋_GB2312" w:hAnsi="黑体" w:eastAsia="仿宋_GB2312"/>
          <w:spacing w:val="6"/>
          <w:sz w:val="32"/>
          <w:szCs w:val="32"/>
        </w:rPr>
      </w:pPr>
      <w:r>
        <w:rPr>
          <w:rFonts w:hint="eastAsia" w:ascii="仿宋" w:hAnsi="仿宋" w:eastAsia="仿宋" w:cs="仿宋"/>
          <w:sz w:val="32"/>
          <w:szCs w:val="32"/>
        </w:rPr>
        <w:t>1.</w:t>
      </w:r>
      <w:r>
        <w:rPr>
          <w:rFonts w:hint="eastAsia" w:ascii="仿宋_GB2312" w:hAnsi="黑体" w:eastAsia="仿宋_GB2312"/>
          <w:spacing w:val="6"/>
          <w:sz w:val="32"/>
          <w:szCs w:val="32"/>
        </w:rPr>
        <w:t>资金管理</w:t>
      </w:r>
    </w:p>
    <w:p>
      <w:pPr>
        <w:pStyle w:val="4"/>
        <w:keepNext w:val="0"/>
        <w:keepLines w:val="0"/>
        <w:pageBreakBefore w:val="0"/>
        <w:widowControl w:val="0"/>
        <w:kinsoku/>
        <w:wordWrap/>
        <w:overflowPunct/>
        <w:topLinePunct w:val="0"/>
        <w:autoSpaceDE/>
        <w:autoSpaceDN/>
        <w:bidi w:val="0"/>
        <w:adjustRightInd/>
        <w:snapToGrid/>
        <w:spacing w:line="600" w:lineRule="exact"/>
        <w:ind w:firstLine="664"/>
        <w:textAlignment w:val="auto"/>
        <w:rPr>
          <w:rFonts w:ascii="仿宋" w:hAnsi="仿宋" w:eastAsia="仿宋" w:cs="仿宋"/>
          <w:sz w:val="32"/>
          <w:szCs w:val="32"/>
        </w:rPr>
      </w:pPr>
      <w:r>
        <w:rPr>
          <w:rFonts w:hint="eastAsia" w:ascii="仿宋_GB2312" w:hAnsi="黑体" w:eastAsia="仿宋_GB2312"/>
          <w:spacing w:val="6"/>
          <w:sz w:val="32"/>
          <w:szCs w:val="32"/>
        </w:rPr>
        <w:t>（1）</w:t>
      </w:r>
      <w:r>
        <w:rPr>
          <w:rFonts w:hint="eastAsia" w:ascii="仿宋" w:hAnsi="仿宋" w:eastAsia="仿宋" w:cs="仿宋"/>
          <w:sz w:val="32"/>
          <w:szCs w:val="32"/>
        </w:rPr>
        <w:t>资金到位率：自治区财政厅202</w:t>
      </w:r>
      <w:r>
        <w:rPr>
          <w:rFonts w:hint="eastAsia" w:ascii="仿宋" w:hAnsi="仿宋" w:eastAsia="仿宋" w:cs="仿宋"/>
          <w:sz w:val="32"/>
          <w:szCs w:val="32"/>
          <w:lang w:val="en-US" w:eastAsia="zh-CN"/>
        </w:rPr>
        <w:t>2</w:t>
      </w:r>
      <w:r>
        <w:rPr>
          <w:rFonts w:hint="eastAsia" w:ascii="仿宋" w:hAnsi="仿宋" w:eastAsia="仿宋" w:cs="仿宋"/>
          <w:sz w:val="32"/>
          <w:szCs w:val="32"/>
        </w:rPr>
        <w:t>年</w:t>
      </w:r>
      <w:r>
        <w:rPr>
          <w:rFonts w:hint="eastAsia" w:ascii="仿宋" w:hAnsi="仿宋" w:eastAsia="仿宋" w:cs="仿宋"/>
          <w:sz w:val="32"/>
          <w:szCs w:val="32"/>
          <w:lang w:val="en-US" w:eastAsia="zh-CN"/>
        </w:rPr>
        <w:t>1</w:t>
      </w:r>
      <w:r>
        <w:rPr>
          <w:rFonts w:hint="eastAsia" w:ascii="仿宋" w:hAnsi="仿宋" w:eastAsia="仿宋" w:cs="仿宋"/>
          <w:sz w:val="32"/>
          <w:szCs w:val="32"/>
        </w:rPr>
        <w:t>月拨付</w:t>
      </w:r>
      <w:r>
        <w:rPr>
          <w:rFonts w:hint="eastAsia" w:ascii="仿宋" w:hAnsi="仿宋" w:eastAsia="仿宋" w:cs="仿宋"/>
          <w:sz w:val="32"/>
          <w:szCs w:val="32"/>
        </w:rPr>
        <w:t>2022年自治区</w:t>
      </w:r>
      <w:r>
        <w:rPr>
          <w:rFonts w:hint="eastAsia" w:ascii="仿宋" w:hAnsi="仿宋" w:eastAsia="仿宋" w:cs="仿宋"/>
          <w:i w:val="0"/>
          <w:caps w:val="0"/>
          <w:color w:val="333333"/>
          <w:spacing w:val="0"/>
          <w:kern w:val="2"/>
          <w:sz w:val="32"/>
          <w:szCs w:val="32"/>
          <w:shd w:val="clear" w:fill="FFFFFF"/>
          <w:lang w:val="en-US" w:eastAsia="zh-CN" w:bidi="ar-SA"/>
        </w:rPr>
        <w:t>残疾人事业综合性经费</w:t>
      </w:r>
      <w:r>
        <w:rPr>
          <w:rFonts w:hint="eastAsia" w:ascii="仿宋" w:hAnsi="仿宋" w:eastAsia="仿宋" w:cs="仿宋"/>
          <w:sz w:val="32"/>
          <w:szCs w:val="32"/>
          <w:lang w:val="en-US" w:eastAsia="zh-CN"/>
        </w:rPr>
        <w:t>430.47</w:t>
      </w:r>
      <w:r>
        <w:rPr>
          <w:rFonts w:hint="eastAsia" w:ascii="仿宋" w:hAnsi="仿宋" w:eastAsia="仿宋" w:cs="仿宋"/>
          <w:sz w:val="32"/>
          <w:szCs w:val="32"/>
        </w:rPr>
        <w:t>万元，资金到位率100%。</w:t>
      </w:r>
    </w:p>
    <w:p>
      <w:pPr>
        <w:keepNext w:val="0"/>
        <w:keepLines w:val="0"/>
        <w:pageBreakBefore w:val="0"/>
        <w:widowControl w:val="0"/>
        <w:kinsoku/>
        <w:wordWrap/>
        <w:overflowPunct/>
        <w:topLinePunct w:val="0"/>
        <w:autoSpaceDE/>
        <w:autoSpaceDN/>
        <w:bidi w:val="0"/>
        <w:adjustRightInd/>
        <w:snapToGrid/>
        <w:spacing w:line="600" w:lineRule="exact"/>
        <w:ind w:left="319" w:leftChars="152" w:firstLine="332" w:firstLineChars="100"/>
        <w:jc w:val="left"/>
        <w:textAlignment w:val="auto"/>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根据评分规则，该指标权重分值4分，实际得分4分</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40" w:firstLineChars="200"/>
        <w:jc w:val="both"/>
        <w:textAlignment w:val="auto"/>
        <w:outlineLvl w:val="9"/>
        <w:rPr>
          <w:rFonts w:ascii="仿宋" w:hAnsi="仿宋" w:eastAsia="仿宋" w:cs="仿宋"/>
          <w:sz w:val="32"/>
          <w:szCs w:val="32"/>
        </w:rPr>
      </w:pPr>
      <w:r>
        <w:rPr>
          <w:rFonts w:hint="eastAsia" w:ascii="仿宋" w:hAnsi="仿宋" w:eastAsia="仿宋" w:cs="仿宋"/>
          <w:sz w:val="32"/>
          <w:szCs w:val="32"/>
        </w:rPr>
        <w:t>（2）预算执行率：2022年</w:t>
      </w:r>
      <w:r>
        <w:rPr>
          <w:rFonts w:hint="eastAsia" w:ascii="仿宋" w:hAnsi="仿宋" w:eastAsia="仿宋" w:cs="仿宋"/>
          <w:sz w:val="32"/>
          <w:szCs w:val="32"/>
        </w:rPr>
        <w:t>自治区</w:t>
      </w:r>
      <w:r>
        <w:rPr>
          <w:rFonts w:hint="eastAsia" w:ascii="仿宋" w:hAnsi="仿宋" w:eastAsia="仿宋" w:cs="仿宋"/>
          <w:i w:val="0"/>
          <w:caps w:val="0"/>
          <w:color w:val="333333"/>
          <w:spacing w:val="0"/>
          <w:kern w:val="2"/>
          <w:sz w:val="32"/>
          <w:szCs w:val="32"/>
          <w:shd w:val="clear" w:fill="FFFFFF"/>
          <w:lang w:val="en-US" w:eastAsia="zh-CN" w:bidi="ar-SA"/>
        </w:rPr>
        <w:t>残疾人事业综合性经费</w:t>
      </w:r>
      <w:r>
        <w:rPr>
          <w:rFonts w:hint="eastAsia" w:ascii="仿宋" w:hAnsi="仿宋" w:eastAsia="仿宋" w:cs="仿宋"/>
          <w:sz w:val="32"/>
          <w:szCs w:val="32"/>
        </w:rPr>
        <w:t>到位</w:t>
      </w:r>
      <w:r>
        <w:rPr>
          <w:rFonts w:hint="eastAsia" w:ascii="仿宋" w:hAnsi="仿宋" w:eastAsia="仿宋" w:cs="仿宋"/>
          <w:sz w:val="32"/>
          <w:szCs w:val="32"/>
          <w:lang w:val="en-US" w:eastAsia="zh-CN"/>
        </w:rPr>
        <w:t>430.47</w:t>
      </w:r>
      <w:r>
        <w:rPr>
          <w:rFonts w:hint="eastAsia" w:ascii="仿宋" w:hAnsi="仿宋" w:eastAsia="仿宋" w:cs="仿宋"/>
          <w:sz w:val="32"/>
          <w:szCs w:val="32"/>
        </w:rPr>
        <w:t>万元，实际支出</w:t>
      </w:r>
      <w:r>
        <w:rPr>
          <w:rFonts w:hint="eastAsia" w:ascii="仿宋" w:hAnsi="仿宋" w:eastAsia="仿宋" w:cs="仿宋"/>
          <w:sz w:val="32"/>
          <w:szCs w:val="32"/>
          <w:lang w:val="en-US" w:eastAsia="zh-CN"/>
        </w:rPr>
        <w:t>381.39</w:t>
      </w:r>
      <w:r>
        <w:rPr>
          <w:rFonts w:hint="eastAsia" w:ascii="仿宋" w:hAnsi="仿宋" w:eastAsia="仿宋" w:cs="仿宋"/>
          <w:sz w:val="32"/>
          <w:szCs w:val="32"/>
        </w:rPr>
        <w:t>万元，预算执行率8</w:t>
      </w:r>
      <w:r>
        <w:rPr>
          <w:rFonts w:hint="eastAsia" w:ascii="仿宋" w:hAnsi="仿宋" w:eastAsia="仿宋" w:cs="仿宋"/>
          <w:sz w:val="32"/>
          <w:szCs w:val="32"/>
          <w:lang w:val="en-US" w:eastAsia="zh-CN"/>
        </w:rPr>
        <w:t>8.60</w:t>
      </w:r>
      <w:r>
        <w:rPr>
          <w:rFonts w:hint="eastAsia" w:ascii="仿宋" w:hAnsi="仿宋" w:eastAsia="仿宋" w:cs="仿宋"/>
          <w:sz w:val="32"/>
          <w:szCs w:val="32"/>
        </w:rPr>
        <w:t>%。</w:t>
      </w:r>
    </w:p>
    <w:p>
      <w:pPr>
        <w:spacing w:line="590" w:lineRule="exact"/>
        <w:ind w:firstLine="664" w:firstLineChars="200"/>
        <w:rPr>
          <w:rFonts w:ascii="仿宋" w:hAnsi="仿宋" w:eastAsia="仿宋" w:cs="仿宋"/>
          <w:sz w:val="32"/>
          <w:szCs w:val="32"/>
        </w:rPr>
      </w:pPr>
      <w:r>
        <w:rPr>
          <w:rFonts w:hint="eastAsia" w:ascii="仿宋_GB2312" w:hAnsi="黑体" w:eastAsia="仿宋_GB2312"/>
          <w:spacing w:val="6"/>
          <w:sz w:val="32"/>
          <w:szCs w:val="32"/>
        </w:rPr>
        <w:t>根据评分规则，该指标权重分值4分，实际得分3.</w:t>
      </w:r>
      <w:r>
        <w:rPr>
          <w:rFonts w:hint="eastAsia" w:ascii="仿宋_GB2312" w:hAnsi="黑体"/>
          <w:spacing w:val="6"/>
          <w:sz w:val="32"/>
          <w:szCs w:val="32"/>
          <w:lang w:val="en-US" w:eastAsia="zh-CN"/>
        </w:rPr>
        <w:t>5</w:t>
      </w:r>
      <w:r>
        <w:rPr>
          <w:rFonts w:hint="eastAsia" w:ascii="仿宋_GB2312" w:hAnsi="黑体" w:eastAsia="仿宋_GB2312"/>
          <w:spacing w:val="6"/>
          <w:sz w:val="32"/>
          <w:szCs w:val="32"/>
        </w:rPr>
        <w:t>分。</w:t>
      </w:r>
    </w:p>
    <w:p>
      <w:pPr>
        <w:numPr>
          <w:ilvl w:val="0"/>
          <w:numId w:val="4"/>
        </w:numPr>
        <w:spacing w:line="590" w:lineRule="exact"/>
        <w:ind w:firstLine="640" w:firstLineChars="200"/>
        <w:rPr>
          <w:rFonts w:ascii="仿宋_GB2312" w:hAnsi="黑体" w:eastAsia="仿宋_GB2312"/>
          <w:spacing w:val="6"/>
          <w:sz w:val="32"/>
          <w:szCs w:val="32"/>
        </w:rPr>
      </w:pPr>
      <w:r>
        <w:rPr>
          <w:rFonts w:hint="eastAsia" w:ascii="仿宋" w:hAnsi="仿宋" w:eastAsia="仿宋" w:cs="仿宋"/>
          <w:sz w:val="32"/>
          <w:szCs w:val="32"/>
        </w:rPr>
        <w:t>资金使用合规性：项目使用资金符合相关的财务管理制度，</w:t>
      </w:r>
      <w:r>
        <w:rPr>
          <w:rFonts w:hint="eastAsia" w:ascii="仿宋_GB2312" w:hAnsi="黑体" w:eastAsia="仿宋_GB2312"/>
          <w:spacing w:val="6"/>
          <w:sz w:val="32"/>
          <w:szCs w:val="32"/>
        </w:rPr>
        <w:t>项目资金的使用、支出有完整的审批程序和手续。</w:t>
      </w:r>
    </w:p>
    <w:p>
      <w:pPr>
        <w:spacing w:line="590" w:lineRule="exact"/>
        <w:ind w:firstLine="664" w:firstLineChars="200"/>
      </w:pPr>
      <w:r>
        <w:rPr>
          <w:rFonts w:hint="eastAsia" w:ascii="仿宋_GB2312" w:hAnsi="黑体" w:eastAsia="仿宋_GB2312"/>
          <w:spacing w:val="6"/>
          <w:sz w:val="32"/>
          <w:szCs w:val="32"/>
        </w:rPr>
        <w:t>根据评分规则，该指标权重分值4分，实际得分4分。</w:t>
      </w:r>
    </w:p>
    <w:p>
      <w:pPr>
        <w:pStyle w:val="4"/>
        <w:ind w:firstLine="640"/>
        <w:rPr>
          <w:rFonts w:ascii="仿宋" w:hAnsi="仿宋" w:eastAsia="仿宋" w:cs="仿宋"/>
          <w:sz w:val="32"/>
          <w:szCs w:val="32"/>
        </w:rPr>
      </w:pPr>
      <w:r>
        <w:rPr>
          <w:rFonts w:hint="eastAsia" w:ascii="仿宋" w:hAnsi="仿宋" w:eastAsia="仿宋" w:cs="仿宋"/>
          <w:sz w:val="32"/>
          <w:szCs w:val="32"/>
        </w:rPr>
        <w:t>2.组织实施</w:t>
      </w:r>
    </w:p>
    <w:p>
      <w:pPr>
        <w:pStyle w:val="4"/>
        <w:ind w:firstLine="640"/>
        <w:rPr>
          <w:rFonts w:ascii="仿宋" w:hAnsi="仿宋" w:eastAsia="仿宋" w:cs="仿宋"/>
          <w:sz w:val="32"/>
          <w:szCs w:val="32"/>
        </w:rPr>
      </w:pPr>
      <w:r>
        <w:rPr>
          <w:rFonts w:hint="eastAsia" w:ascii="仿宋" w:hAnsi="仿宋" w:eastAsia="仿宋" w:cs="仿宋"/>
          <w:sz w:val="32"/>
          <w:szCs w:val="32"/>
        </w:rPr>
        <w:t>（1）管理制度健全性：</w:t>
      </w:r>
      <w:r>
        <w:rPr>
          <w:rFonts w:hint="eastAsia" w:ascii="仿宋_GB2312" w:hAnsi="黑体" w:eastAsia="仿宋_GB2312"/>
          <w:spacing w:val="6"/>
          <w:sz w:val="32"/>
          <w:szCs w:val="32"/>
        </w:rPr>
        <w:t>自治区残疾人联合会制定并执行《新疆维吾尔自治区残疾人联合会财务管理制度》、《新疆维吾尔自治区残疾人事业发展补助资金管理办法》，</w:t>
      </w:r>
      <w:r>
        <w:rPr>
          <w:rFonts w:hint="eastAsia" w:ascii="仿宋" w:hAnsi="仿宋" w:eastAsia="仿宋" w:cs="仿宋"/>
          <w:sz w:val="32"/>
          <w:szCs w:val="32"/>
        </w:rPr>
        <w:t>财务和业务管理制度健全，严格依据年初预算申报自治区</w:t>
      </w:r>
      <w:r>
        <w:rPr>
          <w:rFonts w:hint="eastAsia" w:ascii="仿宋" w:hAnsi="仿宋" w:eastAsia="仿宋" w:cs="仿宋"/>
          <w:i w:val="0"/>
          <w:caps w:val="0"/>
          <w:color w:val="333333"/>
          <w:spacing w:val="0"/>
          <w:kern w:val="2"/>
          <w:sz w:val="32"/>
          <w:szCs w:val="32"/>
          <w:shd w:val="clear" w:fill="FFFFFF"/>
          <w:lang w:val="en-US" w:eastAsia="zh-CN" w:bidi="ar-SA"/>
        </w:rPr>
        <w:t>残疾人事业综合性经费</w:t>
      </w:r>
      <w:r>
        <w:rPr>
          <w:rFonts w:hint="eastAsia" w:ascii="仿宋" w:hAnsi="仿宋" w:eastAsia="仿宋" w:cs="仿宋"/>
          <w:sz w:val="32"/>
          <w:szCs w:val="32"/>
        </w:rPr>
        <w:t>资金用途，专款专用，每月统计通报资金执行情况，保障项目顺利实施。</w:t>
      </w:r>
    </w:p>
    <w:p>
      <w:pPr>
        <w:spacing w:line="590" w:lineRule="exact"/>
        <w:ind w:firstLine="664" w:firstLineChars="200"/>
        <w:rPr>
          <w:rFonts w:ascii="仿宋" w:hAnsi="仿宋" w:eastAsia="仿宋" w:cs="仿宋"/>
          <w:sz w:val="32"/>
          <w:szCs w:val="32"/>
        </w:rPr>
      </w:pPr>
      <w:r>
        <w:rPr>
          <w:rFonts w:hint="eastAsia" w:ascii="仿宋_GB2312" w:hAnsi="黑体" w:eastAsia="仿宋_GB2312"/>
          <w:spacing w:val="6"/>
          <w:sz w:val="32"/>
          <w:szCs w:val="32"/>
        </w:rPr>
        <w:t>根据评分规则，该指标权重分值4分，实际得分4分。</w:t>
      </w:r>
    </w:p>
    <w:p>
      <w:pPr>
        <w:spacing w:line="590" w:lineRule="exact"/>
        <w:ind w:firstLine="640" w:firstLineChars="200"/>
        <w:rPr>
          <w:rFonts w:ascii="仿宋_GB2312" w:hAnsi="黑体" w:eastAsia="仿宋_GB2312"/>
          <w:spacing w:val="6"/>
          <w:sz w:val="32"/>
          <w:szCs w:val="32"/>
        </w:rPr>
      </w:pPr>
      <w:r>
        <w:rPr>
          <w:rFonts w:hint="eastAsia" w:ascii="仿宋" w:hAnsi="仿宋" w:eastAsia="仿宋" w:cs="仿宋"/>
          <w:sz w:val="32"/>
          <w:szCs w:val="32"/>
        </w:rPr>
        <w:t>（2）</w:t>
      </w:r>
      <w:r>
        <w:rPr>
          <w:rFonts w:hint="eastAsia" w:ascii="仿宋_GB2312" w:hAnsi="黑体" w:eastAsia="仿宋_GB2312"/>
          <w:spacing w:val="6"/>
          <w:sz w:val="32"/>
          <w:szCs w:val="32"/>
        </w:rPr>
        <w:t>制度执行有效性</w:t>
      </w:r>
    </w:p>
    <w:p>
      <w:pPr>
        <w:pStyle w:val="4"/>
        <w:ind w:firstLine="664"/>
        <w:rPr>
          <w:rFonts w:ascii="仿宋_GB2312" w:hAnsi="黑体" w:eastAsia="仿宋_GB2312"/>
          <w:spacing w:val="6"/>
          <w:sz w:val="32"/>
          <w:szCs w:val="32"/>
        </w:rPr>
      </w:pPr>
      <w:r>
        <w:rPr>
          <w:rFonts w:hint="eastAsia" w:ascii="仿宋_GB2312" w:hAnsi="黑体" w:eastAsia="仿宋_GB2312"/>
          <w:spacing w:val="6"/>
          <w:sz w:val="32"/>
          <w:szCs w:val="32"/>
        </w:rPr>
        <w:t>自治区残疾人联合会在项目执行过程中，能够认真贯彻执行相关法律法规、制度、办法和约定，制度执行较为有效。</w:t>
      </w:r>
    </w:p>
    <w:p>
      <w:pPr>
        <w:spacing w:line="590" w:lineRule="exact"/>
        <w:ind w:firstLine="664" w:firstLineChars="200"/>
        <w:rPr>
          <w:rFonts w:ascii="仿宋_GB2312" w:hAnsi="黑体" w:eastAsia="仿宋_GB2312"/>
          <w:spacing w:val="6"/>
          <w:sz w:val="32"/>
          <w:szCs w:val="32"/>
        </w:rPr>
      </w:pPr>
      <w:r>
        <w:rPr>
          <w:rFonts w:hint="eastAsia" w:ascii="仿宋_GB2312" w:hAnsi="黑体" w:eastAsia="仿宋_GB2312"/>
          <w:spacing w:val="6"/>
          <w:sz w:val="32"/>
          <w:szCs w:val="32"/>
        </w:rPr>
        <w:t>根据评分规则，该指标权重分值4分，实际得分</w:t>
      </w:r>
      <w:r>
        <w:rPr>
          <w:rFonts w:hint="eastAsia" w:ascii="仿宋_GB2312" w:hAnsi="黑体"/>
          <w:spacing w:val="6"/>
          <w:sz w:val="32"/>
          <w:szCs w:val="32"/>
          <w:lang w:val="en-US" w:eastAsia="zh-CN"/>
        </w:rPr>
        <w:t>4</w:t>
      </w:r>
      <w:r>
        <w:rPr>
          <w:rFonts w:hint="eastAsia" w:ascii="仿宋_GB2312" w:hAnsi="黑体" w:eastAsia="仿宋_GB2312"/>
          <w:spacing w:val="6"/>
          <w:sz w:val="32"/>
          <w:szCs w:val="32"/>
        </w:rPr>
        <w:t>分。</w:t>
      </w:r>
    </w:p>
    <w:p>
      <w:pPr>
        <w:pStyle w:val="4"/>
        <w:ind w:firstLine="640"/>
        <w:rPr>
          <w:rFonts w:ascii="楷体" w:hAnsi="楷体" w:eastAsia="楷体" w:cs="仿宋"/>
          <w:color w:val="FF0000"/>
          <w:sz w:val="32"/>
          <w:szCs w:val="32"/>
        </w:rPr>
      </w:pPr>
      <w:r>
        <w:rPr>
          <w:rFonts w:hint="eastAsia" w:ascii="楷体" w:hAnsi="楷体" w:eastAsia="楷体" w:cs="仿宋"/>
          <w:sz w:val="32"/>
          <w:szCs w:val="32"/>
        </w:rPr>
        <w:t>（三）项目产出情况</w:t>
      </w:r>
    </w:p>
    <w:p>
      <w:pPr>
        <w:pStyle w:val="4"/>
        <w:ind w:firstLine="640"/>
        <w:rPr>
          <w:rFonts w:ascii="仿宋" w:hAnsi="仿宋" w:eastAsia="仿宋" w:cs="仿宋"/>
          <w:sz w:val="32"/>
          <w:szCs w:val="32"/>
        </w:rPr>
      </w:pPr>
      <w:r>
        <w:rPr>
          <w:rFonts w:hint="eastAsia" w:ascii="仿宋" w:hAnsi="仿宋" w:eastAsia="仿宋" w:cs="仿宋"/>
          <w:sz w:val="32"/>
          <w:szCs w:val="32"/>
        </w:rPr>
        <w:t>1.数量指标</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rPr>
      </w:pPr>
      <w:r>
        <w:rPr>
          <w:rFonts w:hint="eastAsia" w:ascii="仿宋" w:hAnsi="仿宋" w:eastAsia="仿宋" w:cs="仿宋"/>
          <w:sz w:val="32"/>
          <w:szCs w:val="32"/>
        </w:rPr>
        <w:t>指标1.慰问离退休干部人数，</w:t>
      </w:r>
      <w:r>
        <w:rPr>
          <w:rFonts w:hint="eastAsia" w:ascii="仿宋_GB2312" w:hAnsi="仿宋_GB2312" w:eastAsia="仿宋_GB2312" w:cs="仿宋_GB2312"/>
          <w:sz w:val="32"/>
          <w:szCs w:val="32"/>
        </w:rPr>
        <w:t>指标值≥</w:t>
      </w:r>
      <w:r>
        <w:rPr>
          <w:rFonts w:hint="eastAsia" w:ascii="仿宋_GB2312" w:hAnsi="仿宋_GB2312" w:cs="仿宋_GB2312"/>
          <w:sz w:val="32"/>
          <w:szCs w:val="32"/>
          <w:lang w:val="en-US" w:eastAsia="zh-CN"/>
        </w:rPr>
        <w:t>4</w:t>
      </w:r>
      <w:r>
        <w:rPr>
          <w:rFonts w:hint="eastAsia" w:ascii="仿宋_GB2312" w:hAnsi="仿宋_GB2312" w:eastAsia="仿宋_GB2312" w:cs="仿宋_GB2312"/>
          <w:sz w:val="32"/>
          <w:szCs w:val="32"/>
        </w:rPr>
        <w:t>0人，</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cs="仿宋_GB2312"/>
          <w:sz w:val="32"/>
          <w:szCs w:val="32"/>
          <w:lang w:val="en-US" w:eastAsia="zh-CN"/>
        </w:rPr>
        <w:t>41</w:t>
      </w:r>
      <w:r>
        <w:rPr>
          <w:rFonts w:hint="eastAsia" w:ascii="仿宋_GB2312" w:hAnsi="仿宋_GB2312" w:eastAsia="仿宋_GB2312" w:cs="仿宋_GB2312"/>
          <w:sz w:val="32"/>
          <w:szCs w:val="32"/>
        </w:rPr>
        <w:t>人，指标完成率1</w:t>
      </w:r>
      <w:r>
        <w:rPr>
          <w:rFonts w:hint="eastAsia" w:ascii="仿宋_GB2312" w:hAnsi="仿宋_GB2312" w:cs="仿宋_GB2312"/>
          <w:sz w:val="32"/>
          <w:szCs w:val="32"/>
          <w:lang w:val="en-US" w:eastAsia="zh-CN"/>
        </w:rPr>
        <w:t>02.5</w:t>
      </w:r>
      <w:r>
        <w:rPr>
          <w:rFonts w:hint="eastAsia" w:ascii="仿宋_GB2312" w:hAnsi="仿宋_GB2312" w:eastAsia="仿宋_GB2312" w:cs="仿宋_GB2312"/>
          <w:sz w:val="32"/>
          <w:szCs w:val="32"/>
        </w:rPr>
        <w:t>%；</w:t>
      </w:r>
    </w:p>
    <w:p>
      <w:pPr>
        <w:pStyle w:val="8"/>
        <w:widowControl/>
        <w:spacing w:before="40" w:beforeAutospacing="0" w:after="0" w:afterAutospacing="0" w:line="520" w:lineRule="atLeast"/>
        <w:ind w:firstLine="640"/>
        <w:jc w:val="both"/>
        <w:rPr>
          <w:rFonts w:hint="eastAsia" w:ascii="仿宋_GB2312" w:hAnsi="仿宋_GB2312" w:cs="仿宋_GB2312"/>
          <w:sz w:val="32"/>
          <w:szCs w:val="32"/>
          <w:lang w:val="en-US" w:eastAsia="zh-CN"/>
        </w:rPr>
      </w:pPr>
      <w:r>
        <w:rPr>
          <w:rFonts w:hint="eastAsia" w:ascii="仿宋_GB2312" w:hAnsi="仿宋_GB2312" w:eastAsia="仿宋_GB2312" w:cs="仿宋_GB2312"/>
          <w:sz w:val="32"/>
          <w:szCs w:val="32"/>
        </w:rPr>
        <w:t>指标2.驻村工作人员人数，指标值≥</w:t>
      </w:r>
      <w:r>
        <w:rPr>
          <w:rFonts w:hint="eastAsia" w:ascii="仿宋_GB2312" w:hAnsi="仿宋_GB2312" w:cs="仿宋_GB2312"/>
          <w:sz w:val="32"/>
          <w:szCs w:val="32"/>
          <w:lang w:val="en-US" w:eastAsia="zh-CN"/>
        </w:rPr>
        <w:t>18</w:t>
      </w:r>
      <w:r>
        <w:rPr>
          <w:rFonts w:hint="eastAsia" w:ascii="仿宋_GB2312" w:hAnsi="仿宋_GB2312" w:eastAsia="仿宋_GB2312" w:cs="仿宋_GB2312"/>
          <w:sz w:val="32"/>
          <w:szCs w:val="32"/>
        </w:rPr>
        <w:t>人，</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cs="仿宋_GB2312"/>
          <w:sz w:val="32"/>
          <w:szCs w:val="32"/>
          <w:lang w:val="en-US" w:eastAsia="zh-CN"/>
        </w:rPr>
        <w:t>15</w:t>
      </w:r>
      <w:r>
        <w:rPr>
          <w:rFonts w:hint="eastAsia" w:ascii="仿宋_GB2312" w:hAnsi="仿宋_GB2312" w:eastAsia="仿宋_GB2312" w:cs="仿宋_GB2312"/>
          <w:sz w:val="32"/>
          <w:szCs w:val="32"/>
        </w:rPr>
        <w:t>人，指标完成率</w:t>
      </w:r>
      <w:r>
        <w:rPr>
          <w:rFonts w:hint="eastAsia" w:ascii="仿宋_GB2312" w:hAnsi="仿宋_GB2312" w:cs="仿宋_GB2312"/>
          <w:sz w:val="32"/>
          <w:szCs w:val="32"/>
          <w:lang w:val="en-US" w:eastAsia="zh-CN"/>
        </w:rPr>
        <w:t>83.33</w:t>
      </w:r>
      <w:r>
        <w:rPr>
          <w:rFonts w:hint="eastAsia" w:ascii="仿宋_GB2312" w:hAnsi="仿宋_GB2312" w:eastAsia="仿宋_GB2312" w:cs="仿宋_GB2312"/>
          <w:sz w:val="32"/>
          <w:szCs w:val="32"/>
        </w:rPr>
        <w:t>%；</w:t>
      </w:r>
      <w:r>
        <w:rPr>
          <w:rFonts w:hint="eastAsia" w:ascii="仿宋_GB2312" w:hAnsi="仿宋_GB2312" w:cs="仿宋_GB2312"/>
          <w:sz w:val="32"/>
          <w:szCs w:val="32"/>
          <w:lang w:eastAsia="zh-CN"/>
        </w:rPr>
        <w:t>因</w:t>
      </w:r>
      <w:r>
        <w:rPr>
          <w:rFonts w:hint="eastAsia" w:ascii="仿宋_GB2312" w:hAnsi="仿宋_GB2312" w:cs="仿宋_GB2312"/>
          <w:sz w:val="32"/>
          <w:szCs w:val="32"/>
          <w:lang w:val="en-US" w:eastAsia="zh-CN"/>
        </w:rPr>
        <w:t>支教活动取消，3名支教教师不再驻村。</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.保障公务用车数量</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eastAsia="zh-CN"/>
        </w:rPr>
        <w:t>为</w:t>
      </w:r>
      <w:r>
        <w:rPr>
          <w:rFonts w:hint="eastAsia" w:ascii="仿宋_GB2312" w:hAnsi="仿宋_GB2312" w:eastAsia="仿宋_GB2312" w:cs="仿宋_GB2312"/>
          <w:sz w:val="32"/>
          <w:szCs w:val="32"/>
          <w:lang w:val="en-US" w:eastAsia="zh-CN"/>
        </w:rPr>
        <w:t>7辆，</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7辆，</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指标4.保障办公人员人数，</w:t>
      </w:r>
      <w:r>
        <w:rPr>
          <w:rFonts w:hint="eastAsia" w:ascii="仿宋_GB2312" w:hAnsi="仿宋_GB2312" w:eastAsia="仿宋_GB2312" w:cs="仿宋_GB2312"/>
          <w:sz w:val="32"/>
          <w:szCs w:val="32"/>
        </w:rPr>
        <w:t>指标值≥</w:t>
      </w:r>
      <w:r>
        <w:rPr>
          <w:rFonts w:hint="eastAsia" w:ascii="仿宋_GB2312" w:hAnsi="仿宋_GB2312" w:cs="仿宋_GB2312"/>
          <w:sz w:val="32"/>
          <w:szCs w:val="32"/>
          <w:lang w:val="en-US" w:eastAsia="zh-CN"/>
        </w:rPr>
        <w:t>49</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54人，</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110.20%。</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指标5.慰问离退休干部次数，</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3次，</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3次，</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p>
    <w:p>
      <w:pPr>
        <w:spacing w:line="590" w:lineRule="exact"/>
        <w:ind w:firstLine="664" w:firstLineChars="200"/>
        <w:rPr>
          <w:rFonts w:hint="eastAsia" w:ascii="仿宋_GB2312" w:hAnsi="黑体" w:eastAsia="仿宋_GB2312"/>
          <w:spacing w:val="6"/>
          <w:sz w:val="32"/>
          <w:szCs w:val="32"/>
        </w:rPr>
      </w:pPr>
      <w:r>
        <w:rPr>
          <w:rFonts w:hint="eastAsia" w:ascii="仿宋_GB2312" w:hAnsi="黑体" w:eastAsia="仿宋_GB2312"/>
          <w:spacing w:val="6"/>
          <w:sz w:val="32"/>
          <w:szCs w:val="32"/>
        </w:rPr>
        <w:t>根据评分规则，该指标权重分值18分，实际得分1</w:t>
      </w:r>
      <w:r>
        <w:rPr>
          <w:rFonts w:hint="eastAsia" w:ascii="仿宋_GB2312" w:hAnsi="黑体"/>
          <w:spacing w:val="6"/>
          <w:sz w:val="32"/>
          <w:szCs w:val="32"/>
          <w:lang w:val="en-US" w:eastAsia="zh-CN"/>
        </w:rPr>
        <w:t>7.40</w:t>
      </w:r>
      <w:r>
        <w:rPr>
          <w:rFonts w:hint="eastAsia" w:ascii="仿宋_GB2312" w:hAnsi="黑体" w:eastAsia="仿宋_GB2312"/>
          <w:spacing w:val="6"/>
          <w:sz w:val="32"/>
          <w:szCs w:val="32"/>
        </w:rPr>
        <w:t>分。</w:t>
      </w:r>
    </w:p>
    <w:p>
      <w:pPr>
        <w:pStyle w:val="8"/>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2.质量指标   </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指标1.补助资金发放完成率</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指标值≥</w:t>
      </w:r>
      <w:r>
        <w:rPr>
          <w:rFonts w:hint="eastAsia" w:ascii="仿宋_GB2312" w:hAnsi="仿宋_GB2312" w:eastAsia="仿宋_GB2312" w:cs="仿宋_GB2312"/>
          <w:sz w:val="32"/>
          <w:szCs w:val="32"/>
          <w:lang w:val="en-US" w:eastAsia="zh-CN"/>
        </w:rPr>
        <w:t>95%，</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p>
    <w:p>
      <w:pPr>
        <w:spacing w:line="590" w:lineRule="exact"/>
        <w:ind w:firstLine="664" w:firstLineChars="200"/>
        <w:rPr>
          <w:rFonts w:hint="eastAsia" w:ascii="仿宋_GB2312" w:hAnsi="黑体" w:eastAsia="仿宋_GB2312"/>
          <w:spacing w:val="6"/>
          <w:sz w:val="32"/>
          <w:szCs w:val="32"/>
        </w:rPr>
      </w:pPr>
      <w:r>
        <w:rPr>
          <w:rFonts w:hint="eastAsia" w:ascii="仿宋_GB2312" w:hAnsi="黑体" w:eastAsia="仿宋_GB2312"/>
          <w:spacing w:val="6"/>
          <w:sz w:val="32"/>
          <w:szCs w:val="32"/>
        </w:rPr>
        <w:t>根据评分规则，该指标权重分值</w:t>
      </w:r>
      <w:r>
        <w:rPr>
          <w:rFonts w:hint="eastAsia" w:ascii="仿宋_GB2312" w:hAnsi="黑体" w:eastAsia="仿宋_GB2312"/>
          <w:spacing w:val="6"/>
          <w:sz w:val="32"/>
          <w:szCs w:val="32"/>
          <w:lang w:val="en-US" w:eastAsia="zh-CN"/>
        </w:rPr>
        <w:t>9</w:t>
      </w:r>
      <w:r>
        <w:rPr>
          <w:rFonts w:hint="eastAsia" w:ascii="仿宋_GB2312" w:hAnsi="黑体" w:eastAsia="仿宋_GB2312"/>
          <w:spacing w:val="6"/>
          <w:sz w:val="32"/>
          <w:szCs w:val="32"/>
        </w:rPr>
        <w:t>分，实际得分</w:t>
      </w:r>
      <w:r>
        <w:rPr>
          <w:rFonts w:hint="eastAsia" w:ascii="仿宋_GB2312" w:hAnsi="黑体" w:eastAsia="仿宋_GB2312"/>
          <w:spacing w:val="6"/>
          <w:sz w:val="32"/>
          <w:szCs w:val="32"/>
          <w:lang w:val="en-US" w:eastAsia="zh-CN"/>
        </w:rPr>
        <w:t>9</w:t>
      </w:r>
      <w:r>
        <w:rPr>
          <w:rFonts w:hint="eastAsia" w:ascii="仿宋_GB2312" w:hAnsi="黑体" w:eastAsia="仿宋_GB2312"/>
          <w:spacing w:val="6"/>
          <w:sz w:val="32"/>
          <w:szCs w:val="32"/>
        </w:rPr>
        <w:t>分。</w:t>
      </w:r>
    </w:p>
    <w:p>
      <w:pPr>
        <w:pStyle w:val="8"/>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3.时效指标</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指标1.补助资金发放及时率</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指标值≥90%</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100%，</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指标2.办公经费支付及时率</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指标值≥90%</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98.6%，</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p>
    <w:p>
      <w:pPr>
        <w:spacing w:line="590" w:lineRule="exact"/>
        <w:ind w:firstLine="664" w:firstLineChars="200"/>
        <w:rPr>
          <w:rFonts w:hint="eastAsia" w:ascii="仿宋_GB2312" w:hAnsi="仿宋_GB2312" w:eastAsia="仿宋_GB2312" w:cs="仿宋_GB2312"/>
          <w:sz w:val="32"/>
          <w:szCs w:val="32"/>
          <w:lang w:val="en-US" w:eastAsia="zh-CN"/>
        </w:rPr>
      </w:pPr>
      <w:r>
        <w:rPr>
          <w:rFonts w:hint="eastAsia" w:ascii="仿宋_GB2312" w:hAnsi="黑体" w:eastAsia="仿宋_GB2312"/>
          <w:spacing w:val="6"/>
          <w:sz w:val="32"/>
          <w:szCs w:val="32"/>
        </w:rPr>
        <w:t>根据评分规则，该指标权重分值</w:t>
      </w:r>
      <w:r>
        <w:rPr>
          <w:rFonts w:hint="eastAsia" w:ascii="仿宋_GB2312" w:hAnsi="黑体" w:eastAsia="仿宋_GB2312"/>
          <w:spacing w:val="6"/>
          <w:sz w:val="32"/>
          <w:szCs w:val="32"/>
          <w:lang w:val="en-US" w:eastAsia="zh-CN"/>
        </w:rPr>
        <w:t>6</w:t>
      </w:r>
      <w:r>
        <w:rPr>
          <w:rFonts w:hint="eastAsia" w:ascii="仿宋_GB2312" w:hAnsi="黑体" w:eastAsia="仿宋_GB2312"/>
          <w:spacing w:val="6"/>
          <w:sz w:val="32"/>
          <w:szCs w:val="32"/>
        </w:rPr>
        <w:t>分，实际得分</w:t>
      </w:r>
      <w:r>
        <w:rPr>
          <w:rFonts w:hint="eastAsia" w:ascii="仿宋_GB2312" w:hAnsi="黑体" w:eastAsia="仿宋_GB2312"/>
          <w:spacing w:val="6"/>
          <w:sz w:val="32"/>
          <w:szCs w:val="32"/>
          <w:lang w:val="en-US" w:eastAsia="zh-CN"/>
        </w:rPr>
        <w:t>6</w:t>
      </w:r>
      <w:r>
        <w:rPr>
          <w:rFonts w:hint="eastAsia" w:ascii="仿宋_GB2312" w:hAnsi="黑体" w:eastAsia="仿宋_GB2312"/>
          <w:spacing w:val="6"/>
          <w:sz w:val="32"/>
          <w:szCs w:val="32"/>
        </w:rPr>
        <w:t>分。</w:t>
      </w:r>
    </w:p>
    <w:p>
      <w:pPr>
        <w:pStyle w:val="8"/>
        <w:widowControl/>
        <w:spacing w:before="40" w:beforeAutospacing="0" w:after="0" w:afterAutospacing="0" w:line="520" w:lineRule="atLeast"/>
        <w:ind w:firstLine="640" w:firstLineChars="200"/>
        <w:jc w:val="both"/>
        <w:rPr>
          <w:rFonts w:ascii="仿宋_GB2312" w:hAnsi="仿宋_GB2312" w:eastAsia="仿宋_GB2312" w:cs="仿宋_GB2312"/>
          <w:sz w:val="32"/>
          <w:szCs w:val="32"/>
        </w:rPr>
      </w:pPr>
      <w:r>
        <w:rPr>
          <w:rFonts w:hint="eastAsia" w:ascii="仿宋_GB2312" w:hAnsi="仿宋_GB2312" w:eastAsia="仿宋_GB2312" w:cs="仿宋_GB2312"/>
          <w:sz w:val="32"/>
          <w:szCs w:val="32"/>
        </w:rPr>
        <w:t>4.成本指标</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指标1.离退休干部慰问经费</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指标值≤5万元</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完成4.5万元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90%。受疫情影响，部分慰问活动无法开展。</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指标2.驻村工作人员经费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指标值≤119.64万元</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完成114.12万元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95.39%。支教活动取消，相关费用有结余。</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w:t>
      </w: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.保障办公运转经费</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指标值≤197万元</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完成194.80万元</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98.88%。主要是会议地点变更，节约了相关了费用。</w:t>
      </w:r>
    </w:p>
    <w:p>
      <w:pPr>
        <w:spacing w:line="590" w:lineRule="exact"/>
        <w:ind w:firstLine="664" w:firstLineChars="200"/>
        <w:rPr>
          <w:rFonts w:hint="eastAsia" w:ascii="仿宋_GB2312" w:hAnsi="仿宋_GB2312" w:eastAsia="仿宋_GB2312" w:cs="仿宋_GB2312"/>
          <w:sz w:val="32"/>
          <w:szCs w:val="32"/>
          <w:lang w:val="en-US" w:eastAsia="zh-CN"/>
        </w:rPr>
      </w:pPr>
      <w:r>
        <w:rPr>
          <w:rFonts w:hint="eastAsia" w:ascii="仿宋_GB2312" w:hAnsi="黑体" w:eastAsia="仿宋_GB2312"/>
          <w:spacing w:val="6"/>
          <w:sz w:val="32"/>
          <w:szCs w:val="32"/>
        </w:rPr>
        <w:t>根据评分规则，该指标权重分值</w:t>
      </w:r>
      <w:r>
        <w:rPr>
          <w:rFonts w:hint="eastAsia" w:ascii="仿宋_GB2312" w:hAnsi="黑体" w:eastAsia="仿宋_GB2312"/>
          <w:spacing w:val="6"/>
          <w:sz w:val="32"/>
          <w:szCs w:val="32"/>
          <w:lang w:val="en-US" w:eastAsia="zh-CN"/>
        </w:rPr>
        <w:t>7</w:t>
      </w:r>
      <w:r>
        <w:rPr>
          <w:rFonts w:hint="eastAsia" w:ascii="仿宋_GB2312" w:hAnsi="黑体" w:eastAsia="仿宋_GB2312"/>
          <w:spacing w:val="6"/>
          <w:sz w:val="32"/>
          <w:szCs w:val="32"/>
        </w:rPr>
        <w:t>分，实际得分</w:t>
      </w:r>
      <w:r>
        <w:rPr>
          <w:rFonts w:hint="eastAsia" w:ascii="仿宋_GB2312" w:hAnsi="黑体" w:eastAsia="仿宋_GB2312"/>
          <w:spacing w:val="6"/>
          <w:sz w:val="32"/>
          <w:szCs w:val="32"/>
          <w:lang w:val="en-US" w:eastAsia="zh-CN"/>
        </w:rPr>
        <w:t>6.73</w:t>
      </w:r>
      <w:r>
        <w:rPr>
          <w:rFonts w:hint="eastAsia" w:ascii="仿宋_GB2312" w:hAnsi="黑体" w:eastAsia="仿宋_GB2312"/>
          <w:spacing w:val="6"/>
          <w:sz w:val="32"/>
          <w:szCs w:val="32"/>
        </w:rPr>
        <w:t>分。</w:t>
      </w:r>
    </w:p>
    <w:p>
      <w:pPr>
        <w:pStyle w:val="8"/>
        <w:widowControl/>
        <w:spacing w:before="40" w:beforeAutospacing="0" w:after="0" w:afterAutospacing="0" w:line="520" w:lineRule="atLeast"/>
        <w:ind w:firstLine="640" w:firstLineChars="200"/>
        <w:jc w:val="both"/>
        <w:rPr>
          <w:rFonts w:ascii="楷体" w:hAnsi="楷体" w:eastAsia="楷体" w:cs="仿宋_GB2312"/>
          <w:sz w:val="32"/>
          <w:szCs w:val="32"/>
        </w:rPr>
      </w:pPr>
      <w:r>
        <w:rPr>
          <w:rFonts w:hint="eastAsia" w:ascii="楷体" w:hAnsi="楷体" w:eastAsia="楷体" w:cs="仿宋_GB2312"/>
          <w:sz w:val="32"/>
          <w:szCs w:val="32"/>
        </w:rPr>
        <w:t>（四）项目满意度情况</w:t>
      </w:r>
    </w:p>
    <w:p>
      <w:pPr>
        <w:pStyle w:val="8"/>
        <w:widowControl/>
        <w:spacing w:before="40" w:beforeAutospacing="0" w:after="0" w:afterAutospacing="0" w:line="520" w:lineRule="atLeast"/>
        <w:ind w:firstLine="640"/>
        <w:jc w:val="both"/>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指标1.自治区残疾人事业发展工作人员满意度</w:t>
      </w:r>
      <w:r>
        <w:rPr>
          <w:rFonts w:hint="eastAsia" w:ascii="仿宋_GB2312" w:hAnsi="仿宋_GB2312" w:cs="仿宋_GB2312"/>
          <w:sz w:val="32"/>
          <w:szCs w:val="32"/>
          <w:lang w:eastAsia="zh-CN"/>
        </w:rPr>
        <w:t>，</w:t>
      </w:r>
      <w:r>
        <w:rPr>
          <w:rFonts w:hint="eastAsia" w:ascii="仿宋_GB2312" w:hAnsi="仿宋_GB2312" w:eastAsia="仿宋_GB2312" w:cs="仿宋_GB2312"/>
          <w:sz w:val="32"/>
          <w:szCs w:val="32"/>
        </w:rPr>
        <w:t>指标值≥90%</w:t>
      </w:r>
      <w:r>
        <w:rPr>
          <w:rFonts w:hint="eastAsia" w:ascii="仿宋_GB2312" w:hAnsi="仿宋_GB2312" w:eastAsia="仿宋_GB2312" w:cs="仿宋_GB2312"/>
          <w:sz w:val="32"/>
          <w:szCs w:val="32"/>
          <w:lang w:eastAsia="zh-CN"/>
        </w:rPr>
        <w:t>，</w:t>
      </w:r>
      <w:r>
        <w:rPr>
          <w:rFonts w:hint="eastAsia" w:ascii="仿宋_GB2312" w:hAnsi="仿宋_GB2312" w:cs="仿宋_GB2312"/>
          <w:sz w:val="32"/>
          <w:szCs w:val="32"/>
          <w:lang w:eastAsia="zh-CN"/>
        </w:rPr>
        <w:t>实际</w:t>
      </w:r>
      <w:r>
        <w:rPr>
          <w:rFonts w:hint="eastAsia" w:ascii="仿宋_GB2312" w:hAnsi="仿宋_GB2312" w:eastAsia="仿宋_GB2312" w:cs="仿宋_GB2312"/>
          <w:sz w:val="32"/>
          <w:szCs w:val="32"/>
        </w:rPr>
        <w:t>完成</w:t>
      </w:r>
      <w:r>
        <w:rPr>
          <w:rFonts w:hint="eastAsia" w:ascii="仿宋_GB2312" w:hAnsi="仿宋_GB2312" w:eastAsia="仿宋_GB2312" w:cs="仿宋_GB2312"/>
          <w:sz w:val="32"/>
          <w:szCs w:val="32"/>
          <w:lang w:val="en-US" w:eastAsia="zh-CN"/>
        </w:rPr>
        <w:t>95%，</w:t>
      </w:r>
      <w:r>
        <w:rPr>
          <w:rFonts w:hint="eastAsia" w:ascii="仿宋_GB2312" w:hAnsi="仿宋_GB2312" w:eastAsia="仿宋_GB2312" w:cs="仿宋_GB2312"/>
          <w:sz w:val="32"/>
          <w:szCs w:val="32"/>
        </w:rPr>
        <w:t>指标完成率</w:t>
      </w:r>
      <w:r>
        <w:rPr>
          <w:rFonts w:hint="eastAsia" w:ascii="仿宋_GB2312" w:hAnsi="仿宋_GB2312" w:eastAsia="仿宋_GB2312" w:cs="仿宋_GB2312"/>
          <w:sz w:val="32"/>
          <w:szCs w:val="32"/>
          <w:lang w:val="en-US" w:eastAsia="zh-CN"/>
        </w:rPr>
        <w:t>100%。</w:t>
      </w:r>
    </w:p>
    <w:p>
      <w:pPr>
        <w:spacing w:line="590" w:lineRule="exact"/>
        <w:ind w:firstLine="664" w:firstLineChars="200"/>
        <w:rPr>
          <w:rFonts w:hint="eastAsia" w:ascii="仿宋_GB2312" w:hAnsi="仿宋_GB2312" w:eastAsia="仿宋_GB2312" w:cs="仿宋_GB2312"/>
          <w:sz w:val="32"/>
          <w:szCs w:val="32"/>
          <w:lang w:val="en-US" w:eastAsia="zh-CN"/>
        </w:rPr>
      </w:pPr>
      <w:r>
        <w:rPr>
          <w:rFonts w:hint="eastAsia" w:ascii="仿宋_GB2312" w:hAnsi="黑体" w:eastAsia="仿宋_GB2312"/>
          <w:spacing w:val="6"/>
          <w:sz w:val="32"/>
          <w:szCs w:val="32"/>
        </w:rPr>
        <w:t>根据评分规则，该指标权重分值</w:t>
      </w:r>
      <w:r>
        <w:rPr>
          <w:rFonts w:hint="eastAsia" w:ascii="仿宋_GB2312" w:hAnsi="黑体" w:eastAsia="仿宋_GB2312"/>
          <w:spacing w:val="6"/>
          <w:sz w:val="32"/>
          <w:szCs w:val="32"/>
          <w:lang w:val="en-US" w:eastAsia="zh-CN"/>
        </w:rPr>
        <w:t>20</w:t>
      </w:r>
      <w:r>
        <w:rPr>
          <w:rFonts w:hint="eastAsia" w:ascii="仿宋_GB2312" w:hAnsi="黑体" w:eastAsia="仿宋_GB2312"/>
          <w:spacing w:val="6"/>
          <w:sz w:val="32"/>
          <w:szCs w:val="32"/>
        </w:rPr>
        <w:t>分，实际得分</w:t>
      </w:r>
      <w:r>
        <w:rPr>
          <w:rFonts w:hint="eastAsia" w:ascii="仿宋_GB2312" w:hAnsi="黑体" w:eastAsia="仿宋_GB2312"/>
          <w:spacing w:val="6"/>
          <w:sz w:val="32"/>
          <w:szCs w:val="32"/>
          <w:lang w:val="en-US" w:eastAsia="zh-CN"/>
        </w:rPr>
        <w:t>20</w:t>
      </w:r>
      <w:r>
        <w:rPr>
          <w:rFonts w:hint="eastAsia" w:ascii="仿宋_GB2312" w:hAnsi="黑体" w:eastAsia="仿宋_GB2312"/>
          <w:spacing w:val="6"/>
          <w:sz w:val="32"/>
          <w:szCs w:val="32"/>
        </w:rPr>
        <w:t>分。</w:t>
      </w:r>
    </w:p>
    <w:p>
      <w:pPr>
        <w:pStyle w:val="4"/>
        <w:ind w:firstLine="643"/>
        <w:rPr>
          <w:b/>
          <w:bCs/>
          <w:sz w:val="32"/>
          <w:szCs w:val="32"/>
        </w:rPr>
      </w:pPr>
      <w:r>
        <w:rPr>
          <w:rFonts w:hint="eastAsia"/>
          <w:b/>
          <w:bCs/>
          <w:sz w:val="32"/>
          <w:szCs w:val="32"/>
        </w:rPr>
        <w:t>五、主要经验及做法、存在的问题及原因分析</w:t>
      </w:r>
    </w:p>
    <w:p>
      <w:pPr>
        <w:pStyle w:val="4"/>
        <w:ind w:firstLine="640"/>
        <w:rPr>
          <w:rFonts w:ascii="楷体" w:hAnsi="楷体" w:eastAsia="楷体" w:cs="仿宋"/>
          <w:sz w:val="32"/>
          <w:szCs w:val="32"/>
        </w:rPr>
      </w:pPr>
      <w:r>
        <w:rPr>
          <w:rFonts w:hint="eastAsia" w:ascii="楷体" w:hAnsi="楷体" w:eastAsia="楷体" w:cs="仿宋"/>
          <w:sz w:val="32"/>
          <w:szCs w:val="32"/>
        </w:rPr>
        <w:t>（一）主要经验及做法</w:t>
      </w:r>
    </w:p>
    <w:p>
      <w:pPr>
        <w:spacing w:line="600" w:lineRule="exact"/>
        <w:ind w:firstLine="624" w:firstLineChars="200"/>
        <w:rPr>
          <w:rFonts w:ascii="Times New Roman" w:hAnsi="Times New Roman" w:eastAsia="仿宋"/>
          <w:sz w:val="32"/>
          <w:szCs w:val="32"/>
        </w:rPr>
      </w:pPr>
      <w:r>
        <w:rPr>
          <w:rFonts w:hint="eastAsia" w:ascii="仿宋_GB2312" w:eastAsia="仿宋_GB2312"/>
          <w:spacing w:val="-4"/>
          <w:sz w:val="32"/>
          <w:szCs w:val="32"/>
        </w:rPr>
        <w:t>1.</w:t>
      </w:r>
      <w:r>
        <w:rPr>
          <w:rFonts w:ascii="Times New Roman" w:hAnsi="Times New Roman" w:eastAsia="仿宋"/>
          <w:sz w:val="32"/>
          <w:szCs w:val="32"/>
        </w:rPr>
        <w:t>自治区残联党组、理事会科学合理统筹安排从项目资金分配、管理和使用等方面提出意见，作出决定，强调“花钱必问效，无效必问责”的绩效管理原则。</w:t>
      </w:r>
    </w:p>
    <w:p>
      <w:pPr>
        <w:spacing w:line="600" w:lineRule="exact"/>
        <w:ind w:firstLine="640" w:firstLineChars="200"/>
      </w:pPr>
      <w:r>
        <w:rPr>
          <w:rFonts w:hint="eastAsia" w:ascii="仿宋" w:hAnsi="仿宋" w:eastAsia="仿宋"/>
          <w:sz w:val="32"/>
          <w:szCs w:val="32"/>
        </w:rPr>
        <w:t>2</w:t>
      </w:r>
      <w:r>
        <w:rPr>
          <w:rFonts w:hint="eastAsia" w:ascii="仿宋" w:hAnsi="仿宋" w:eastAsia="仿宋"/>
          <w:sz w:val="32"/>
          <w:szCs w:val="32"/>
          <w:lang w:eastAsia="zh-CN"/>
        </w:rPr>
        <w:t>.</w:t>
      </w:r>
      <w:r>
        <w:rPr>
          <w:rFonts w:ascii="仿宋" w:hAnsi="仿宋" w:eastAsia="仿宋"/>
          <w:sz w:val="32"/>
          <w:szCs w:val="32"/>
        </w:rPr>
        <w:t>每月统计并通报资金执行进度情况，</w:t>
      </w:r>
      <w:r>
        <w:rPr>
          <w:rFonts w:hint="eastAsia" w:ascii="仿宋" w:hAnsi="仿宋" w:eastAsia="仿宋" w:cs="仿宋"/>
          <w:sz w:val="32"/>
          <w:szCs w:val="32"/>
        </w:rPr>
        <w:t>对执行进度缓慢的，</w:t>
      </w:r>
      <w:r>
        <w:rPr>
          <w:rFonts w:ascii="Times New Roman" w:hAnsi="Times New Roman" w:eastAsia="仿宋"/>
          <w:sz w:val="32"/>
          <w:szCs w:val="32"/>
        </w:rPr>
        <w:t>督促其全面查摆滞后原因，立查立改</w:t>
      </w:r>
      <w:r>
        <w:rPr>
          <w:rFonts w:hint="eastAsia" w:ascii="Times New Roman" w:hAnsi="Times New Roman" w:eastAsia="仿宋"/>
          <w:sz w:val="32"/>
          <w:szCs w:val="32"/>
        </w:rPr>
        <w:t>。</w:t>
      </w:r>
    </w:p>
    <w:p>
      <w:pPr>
        <w:pStyle w:val="4"/>
        <w:ind w:firstLine="640"/>
        <w:rPr>
          <w:rFonts w:hint="eastAsia" w:ascii="楷体" w:hAnsi="楷体" w:eastAsia="楷体" w:cs="仿宋"/>
          <w:sz w:val="32"/>
          <w:szCs w:val="32"/>
        </w:rPr>
      </w:pPr>
      <w:r>
        <w:rPr>
          <w:rFonts w:hint="eastAsia" w:ascii="楷体" w:hAnsi="楷体" w:eastAsia="楷体" w:cs="仿宋"/>
          <w:sz w:val="32"/>
          <w:szCs w:val="32"/>
        </w:rPr>
        <w:t>（二）存在的问题及原因分析</w:t>
      </w:r>
    </w:p>
    <w:p>
      <w:pPr>
        <w:pStyle w:val="4"/>
        <w:ind w:firstLine="640"/>
        <w:rPr>
          <w:rFonts w:hint="eastAsia" w:ascii="楷体" w:hAnsi="楷体" w:eastAsia="楷体" w:cs="仿宋"/>
          <w:sz w:val="32"/>
          <w:szCs w:val="32"/>
        </w:rPr>
      </w:pPr>
      <w:r>
        <w:rPr>
          <w:rFonts w:hint="eastAsia" w:ascii="仿宋_GB2312" w:hAnsi="黑体" w:eastAsia="仿宋_GB2312"/>
          <w:spacing w:val="6"/>
          <w:sz w:val="32"/>
          <w:szCs w:val="32"/>
        </w:rPr>
        <w:t>项目涉及的</w:t>
      </w:r>
      <w:r>
        <w:rPr>
          <w:rFonts w:hint="eastAsia" w:ascii="仿宋_GB2312" w:hAnsi="黑体"/>
          <w:spacing w:val="6"/>
          <w:sz w:val="32"/>
          <w:szCs w:val="32"/>
          <w:lang w:eastAsia="zh-CN"/>
        </w:rPr>
        <w:t>内容较</w:t>
      </w:r>
      <w:r>
        <w:rPr>
          <w:rFonts w:hint="eastAsia" w:ascii="仿宋_GB2312" w:hAnsi="黑体" w:eastAsia="仿宋_GB2312"/>
          <w:spacing w:val="6"/>
          <w:sz w:val="32"/>
          <w:szCs w:val="32"/>
        </w:rPr>
        <w:t>多，</w:t>
      </w:r>
      <w:r>
        <w:rPr>
          <w:rFonts w:hint="eastAsia" w:ascii="仿宋_GB2312" w:hAnsi="黑体"/>
          <w:spacing w:val="6"/>
          <w:sz w:val="32"/>
          <w:szCs w:val="32"/>
          <w:lang w:eastAsia="zh-CN"/>
        </w:rPr>
        <w:t>设置绩效目标时，难以全面精确反映工作内容。此外，还</w:t>
      </w:r>
      <w:r>
        <w:rPr>
          <w:rFonts w:hint="eastAsia" w:ascii="仿宋_GB2312" w:hAnsi="黑体" w:eastAsia="仿宋_GB2312"/>
          <w:spacing w:val="6"/>
          <w:sz w:val="32"/>
          <w:szCs w:val="32"/>
        </w:rPr>
        <w:t>需加强对</w:t>
      </w:r>
      <w:r>
        <w:rPr>
          <w:rFonts w:hint="eastAsia" w:ascii="仿宋_GB2312" w:hAnsi="黑体"/>
          <w:spacing w:val="6"/>
          <w:sz w:val="32"/>
          <w:szCs w:val="32"/>
          <w:lang w:eastAsia="zh-CN"/>
        </w:rPr>
        <w:t>项目</w:t>
      </w:r>
      <w:r>
        <w:rPr>
          <w:rFonts w:hint="eastAsia" w:ascii="仿宋_GB2312" w:hAnsi="黑体" w:eastAsia="仿宋_GB2312"/>
          <w:spacing w:val="6"/>
          <w:sz w:val="32"/>
          <w:szCs w:val="32"/>
        </w:rPr>
        <w:t>实施</w:t>
      </w:r>
      <w:r>
        <w:rPr>
          <w:rFonts w:hint="eastAsia" w:ascii="仿宋_GB2312" w:hAnsi="黑体"/>
          <w:spacing w:val="6"/>
          <w:sz w:val="32"/>
          <w:szCs w:val="32"/>
          <w:lang w:eastAsia="zh-CN"/>
        </w:rPr>
        <w:t>的</w:t>
      </w:r>
      <w:r>
        <w:rPr>
          <w:rFonts w:hint="eastAsia" w:ascii="仿宋_GB2312" w:hAnsi="黑体" w:eastAsia="仿宋_GB2312"/>
          <w:spacing w:val="6"/>
          <w:sz w:val="32"/>
          <w:szCs w:val="32"/>
        </w:rPr>
        <w:t>档案归集管理工作</w:t>
      </w:r>
      <w:r>
        <w:rPr>
          <w:rFonts w:hint="eastAsia" w:ascii="仿宋_GB2312" w:hAnsi="黑体"/>
          <w:spacing w:val="6"/>
          <w:sz w:val="32"/>
          <w:szCs w:val="32"/>
          <w:lang w:eastAsia="zh-CN"/>
        </w:rPr>
        <w:t>。</w:t>
      </w:r>
    </w:p>
    <w:p>
      <w:pPr>
        <w:numPr>
          <w:ilvl w:val="0"/>
          <w:numId w:val="5"/>
        </w:numPr>
        <w:spacing w:line="600" w:lineRule="exact"/>
        <w:ind w:firstLine="600" w:firstLineChars="200"/>
        <w:rPr>
          <w:rFonts w:hint="eastAsia" w:ascii="黑体" w:hAnsi="黑体" w:eastAsia="黑体"/>
        </w:rPr>
      </w:pPr>
      <w:r>
        <w:rPr>
          <w:rFonts w:hint="eastAsia" w:ascii="黑体" w:hAnsi="黑体" w:eastAsia="黑体"/>
        </w:rPr>
        <w:t>有关建议</w:t>
      </w:r>
    </w:p>
    <w:p>
      <w:pPr>
        <w:spacing w:line="590" w:lineRule="exact"/>
        <w:ind w:firstLine="640" w:firstLineChars="200"/>
      </w:pPr>
      <w:r>
        <w:rPr>
          <w:rFonts w:hint="eastAsia" w:ascii="仿宋_GB2312" w:hAnsi="黑体"/>
          <w:spacing w:val="6"/>
          <w:sz w:val="32"/>
          <w:szCs w:val="32"/>
          <w:lang w:eastAsia="zh-CN"/>
        </w:rPr>
        <w:t>加强对</w:t>
      </w:r>
      <w:r>
        <w:rPr>
          <w:rFonts w:hint="eastAsia" w:ascii="仿宋_GB2312" w:hAnsi="黑体" w:eastAsia="仿宋_GB2312"/>
          <w:spacing w:val="6"/>
          <w:sz w:val="32"/>
          <w:szCs w:val="32"/>
        </w:rPr>
        <w:t>预算绩效管理的培训、指导，树立全员预算绩效管理理念</w:t>
      </w:r>
      <w:r>
        <w:rPr>
          <w:rFonts w:hint="eastAsia" w:ascii="仿宋_GB2312" w:hAnsi="黑体" w:eastAsia="仿宋_GB2312"/>
          <w:spacing w:val="6"/>
          <w:sz w:val="32"/>
          <w:szCs w:val="32"/>
          <w:lang w:eastAsia="zh-CN"/>
        </w:rPr>
        <w:t>，</w:t>
      </w:r>
      <w:r>
        <w:rPr>
          <w:rFonts w:hint="eastAsia" w:ascii="仿宋" w:hAnsi="仿宋" w:eastAsia="仿宋" w:cs="仿宋"/>
          <w:sz w:val="32"/>
          <w:szCs w:val="32"/>
        </w:rPr>
        <w:t>提高预算编制的准确性</w:t>
      </w:r>
      <w:r>
        <w:rPr>
          <w:rFonts w:hint="eastAsia" w:ascii="仿宋" w:hAnsi="仿宋" w:eastAsia="仿宋" w:cs="仿宋"/>
          <w:sz w:val="32"/>
          <w:szCs w:val="32"/>
          <w:lang w:eastAsia="zh-CN"/>
        </w:rPr>
        <w:t>。</w:t>
      </w:r>
      <w:r>
        <w:rPr>
          <w:rFonts w:hint="eastAsia" w:ascii="仿宋_GB2312" w:hAnsi="仿宋_GB2312" w:eastAsia="仿宋_GB2312" w:cs="仿宋_GB2312"/>
          <w:sz w:val="32"/>
          <w:szCs w:val="32"/>
        </w:rPr>
        <w:t>进一步</w:t>
      </w:r>
      <w:r>
        <w:rPr>
          <w:rFonts w:hint="eastAsia" w:ascii="仿宋_GB2312" w:hAnsi="黑体" w:eastAsia="仿宋_GB2312"/>
          <w:spacing w:val="6"/>
          <w:sz w:val="32"/>
          <w:szCs w:val="32"/>
        </w:rPr>
        <w:t>完善项目实施档案的归集和管理，</w:t>
      </w:r>
      <w:r>
        <w:rPr>
          <w:rFonts w:hint="eastAsia" w:ascii="仿宋_GB2312" w:hAnsi="仿宋_GB2312" w:eastAsia="仿宋_GB2312" w:cs="仿宋_GB2312"/>
          <w:sz w:val="32"/>
          <w:szCs w:val="32"/>
        </w:rPr>
        <w:t>运用好绩效评价的结果,</w:t>
      </w:r>
      <w:r>
        <w:rPr>
          <w:rFonts w:hint="eastAsia" w:ascii="仿宋_GB2312" w:hAnsi="黑体" w:eastAsia="仿宋_GB2312"/>
          <w:spacing w:val="6"/>
          <w:sz w:val="32"/>
          <w:szCs w:val="32"/>
        </w:rPr>
        <w:t>倒逼</w:t>
      </w:r>
      <w:r>
        <w:rPr>
          <w:rFonts w:hint="eastAsia" w:ascii="仿宋_GB2312" w:hAnsi="黑体"/>
          <w:spacing w:val="6"/>
          <w:sz w:val="32"/>
          <w:szCs w:val="32"/>
          <w:lang w:eastAsia="zh-CN"/>
        </w:rPr>
        <w:t>相关部门</w:t>
      </w:r>
      <w:r>
        <w:rPr>
          <w:rFonts w:hint="eastAsia" w:ascii="仿宋_GB2312" w:hAnsi="仿宋_GB2312" w:eastAsia="仿宋_GB2312" w:cs="仿宋_GB2312"/>
          <w:sz w:val="32"/>
          <w:szCs w:val="32"/>
        </w:rPr>
        <w:t>不断提升预算资金管理水平，</w:t>
      </w:r>
      <w:r>
        <w:rPr>
          <w:rFonts w:hint="eastAsia" w:ascii="仿宋_GB2312" w:hAnsi="黑体" w:eastAsia="仿宋_GB2312"/>
          <w:spacing w:val="6"/>
          <w:sz w:val="32"/>
          <w:szCs w:val="32"/>
        </w:rPr>
        <w:t>推进工作质效。</w:t>
      </w:r>
    </w:p>
    <w:p>
      <w:pPr>
        <w:spacing w:line="600" w:lineRule="exact"/>
        <w:ind w:firstLine="600" w:firstLineChars="200"/>
        <w:rPr>
          <w:rFonts w:hint="eastAsia" w:ascii="仿宋_GB2312"/>
          <w:bCs/>
          <w:sz w:val="32"/>
          <w:szCs w:val="32"/>
        </w:rPr>
      </w:pPr>
      <w:r>
        <w:rPr>
          <w:rFonts w:hint="eastAsia" w:ascii="黑体" w:hAnsi="黑体" w:eastAsia="黑体"/>
        </w:rPr>
        <w:t>七、其他需要说明的问题</w:t>
      </w:r>
    </w:p>
    <w:p>
      <w:pPr>
        <w:keepNext w:val="0"/>
        <w:keepLines w:val="0"/>
        <w:pageBreakBefore w:val="0"/>
        <w:widowControl w:val="0"/>
        <w:kinsoku/>
        <w:wordWrap/>
        <w:overflowPunct/>
        <w:topLinePunct w:val="0"/>
        <w:autoSpaceDE/>
        <w:autoSpaceDN/>
        <w:bidi w:val="0"/>
        <w:adjustRightInd/>
        <w:snapToGrid/>
        <w:spacing w:line="600" w:lineRule="exact"/>
        <w:ind w:left="0" w:leftChars="0" w:right="0" w:rightChars="0" w:firstLine="600" w:firstLineChars="200"/>
        <w:jc w:val="both"/>
        <w:textAlignment w:val="auto"/>
        <w:outlineLvl w:val="9"/>
        <w:rPr>
          <w:rFonts w:hint="eastAsia"/>
          <w:lang w:eastAsia="zh-CN"/>
        </w:rPr>
      </w:pPr>
      <w:r>
        <w:rPr>
          <w:rFonts w:hint="eastAsia"/>
          <w:lang w:eastAsia="zh-CN"/>
        </w:rPr>
        <w:t>无</w:t>
      </w: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rPr>
          <w:rFonts w:hint="eastAsia"/>
          <w:lang w:eastAsia="zh-CN"/>
        </w:rPr>
      </w:pPr>
    </w:p>
    <w:p>
      <w:pPr>
        <w:pStyle w:val="2"/>
        <w:ind w:left="0" w:leftChars="0" w:firstLine="0" w:firstLineChars="0"/>
        <w:rPr>
          <w:rFonts w:hint="eastAsia"/>
          <w:lang w:eastAsia="zh-CN"/>
        </w:rPr>
      </w:pPr>
      <w:bookmarkStart w:id="1" w:name="_GoBack"/>
      <w:bookmarkEnd w:id="1"/>
    </w:p>
    <w:p>
      <w:pPr>
        <w:pStyle w:val="2"/>
        <w:ind w:left="0" w:leftChars="0" w:firstLine="0" w:firstLineChars="0"/>
        <w:rPr>
          <w:rFonts w:hint="eastAsia"/>
          <w:lang w:eastAsia="zh-CN"/>
        </w:rPr>
        <w:sectPr>
          <w:pgSz w:w="11906" w:h="16838"/>
          <w:pgMar w:top="1440" w:right="1800" w:bottom="1440" w:left="1800" w:header="851" w:footer="992" w:gutter="0"/>
          <w:cols w:space="425" w:num="1"/>
          <w:docGrid w:type="lines" w:linePitch="312" w:charSpace="0"/>
        </w:sectPr>
      </w:pPr>
    </w:p>
    <w:p>
      <w:pPr>
        <w:pStyle w:val="4"/>
        <w:ind w:firstLine="0" w:firstLineChars="0"/>
        <w:jc w:val="center"/>
        <w:outlineLvl w:val="1"/>
        <w:rPr>
          <w:rFonts w:hint="eastAsia"/>
          <w:lang w:eastAsia="zh-CN"/>
        </w:rPr>
      </w:pPr>
      <w:r>
        <w:rPr>
          <w:rFonts w:hint="eastAsia" w:ascii="方正小标宋简体" w:hAnsi="黑体" w:eastAsia="方正小标宋简体"/>
          <w:spacing w:val="6"/>
          <w:sz w:val="36"/>
          <w:szCs w:val="32"/>
        </w:rPr>
        <w:t>2022年自治区</w:t>
      </w:r>
      <w:r>
        <w:rPr>
          <w:rFonts w:hint="eastAsia" w:ascii="方正小标宋简体" w:hAnsi="黑体" w:eastAsia="方正小标宋简体"/>
          <w:spacing w:val="6"/>
          <w:sz w:val="36"/>
          <w:szCs w:val="32"/>
          <w:lang w:val="en-US" w:eastAsia="zh-CN"/>
        </w:rPr>
        <w:t>残疾人事业综合性经费</w:t>
      </w:r>
      <w:r>
        <w:rPr>
          <w:rFonts w:hint="eastAsia" w:ascii="方正小标宋简体" w:hAnsi="黑体" w:eastAsia="方正小标宋简体"/>
          <w:spacing w:val="6"/>
          <w:sz w:val="36"/>
          <w:szCs w:val="32"/>
        </w:rPr>
        <w:t>项目绩效评价指标体系及评分表</w:t>
      </w:r>
    </w:p>
    <w:tbl>
      <w:tblPr>
        <w:tblStyle w:val="10"/>
        <w:tblW w:w="13995" w:type="dxa"/>
        <w:tblInd w:w="0" w:type="dxa"/>
        <w:tblLayout w:type="fixed"/>
        <w:tblCellMar>
          <w:top w:w="0" w:type="dxa"/>
          <w:left w:w="108" w:type="dxa"/>
          <w:bottom w:w="0" w:type="dxa"/>
          <w:right w:w="108" w:type="dxa"/>
        </w:tblCellMar>
      </w:tblPr>
      <w:tblGrid>
        <w:gridCol w:w="1198"/>
        <w:gridCol w:w="855"/>
        <w:gridCol w:w="842"/>
        <w:gridCol w:w="644"/>
        <w:gridCol w:w="1591"/>
        <w:gridCol w:w="2955"/>
        <w:gridCol w:w="3180"/>
        <w:gridCol w:w="1110"/>
        <w:gridCol w:w="825"/>
        <w:gridCol w:w="795"/>
      </w:tblGrid>
      <w:tr>
        <w:tblPrEx>
          <w:tblLayout w:type="fixed"/>
          <w:tblCellMar>
            <w:top w:w="0" w:type="dxa"/>
            <w:left w:w="108" w:type="dxa"/>
            <w:bottom w:w="0" w:type="dxa"/>
            <w:right w:w="108" w:type="dxa"/>
          </w:tblCellMar>
        </w:tblPrEx>
        <w:trPr>
          <w:trHeight w:val="397" w:hRule="atLeast"/>
          <w:tblHeader/>
        </w:trPr>
        <w:tc>
          <w:tcPr>
            <w:tcW w:w="1198" w:type="dxa"/>
            <w:tcBorders>
              <w:top w:val="single" w:color="auto" w:sz="4" w:space="0"/>
              <w:left w:val="single" w:color="auto" w:sz="4" w:space="0"/>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一级指标</w:t>
            </w:r>
          </w:p>
        </w:tc>
        <w:tc>
          <w:tcPr>
            <w:tcW w:w="85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二级指标</w:t>
            </w:r>
          </w:p>
        </w:tc>
        <w:tc>
          <w:tcPr>
            <w:tcW w:w="842"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三级指标</w:t>
            </w:r>
          </w:p>
        </w:tc>
        <w:tc>
          <w:tcPr>
            <w:tcW w:w="644"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目标值</w:t>
            </w:r>
          </w:p>
        </w:tc>
        <w:tc>
          <w:tcPr>
            <w:tcW w:w="1591"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指标解释</w:t>
            </w:r>
          </w:p>
        </w:tc>
        <w:tc>
          <w:tcPr>
            <w:tcW w:w="295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评价标准</w:t>
            </w:r>
          </w:p>
        </w:tc>
        <w:tc>
          <w:tcPr>
            <w:tcW w:w="3180"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评价过程</w:t>
            </w:r>
          </w:p>
        </w:tc>
        <w:tc>
          <w:tcPr>
            <w:tcW w:w="1110"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业绩值</w:t>
            </w:r>
          </w:p>
        </w:tc>
        <w:tc>
          <w:tcPr>
            <w:tcW w:w="82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分值</w:t>
            </w:r>
          </w:p>
        </w:tc>
        <w:tc>
          <w:tcPr>
            <w:tcW w:w="795" w:type="dxa"/>
            <w:tcBorders>
              <w:top w:val="single" w:color="auto" w:sz="4" w:space="0"/>
              <w:left w:val="nil"/>
              <w:bottom w:val="single" w:color="auto" w:sz="4" w:space="0"/>
              <w:right w:val="single" w:color="auto" w:sz="4" w:space="0"/>
            </w:tcBorders>
            <w:shd w:val="clear" w:color="000000" w:fill="BFBFBF"/>
            <w:vAlign w:val="center"/>
          </w:tcPr>
          <w:p>
            <w:pPr>
              <w:widowControl/>
              <w:jc w:val="center"/>
              <w:rPr>
                <w:rFonts w:ascii="宋体" w:hAnsi="宋体"/>
                <w:b/>
                <w:bCs/>
                <w:kern w:val="0"/>
                <w:sz w:val="20"/>
                <w:szCs w:val="20"/>
              </w:rPr>
            </w:pPr>
            <w:r>
              <w:rPr>
                <w:rFonts w:hint="eastAsia" w:ascii="宋体" w:hAnsi="宋体"/>
                <w:b/>
                <w:bCs/>
                <w:kern w:val="0"/>
                <w:sz w:val="20"/>
                <w:szCs w:val="20"/>
              </w:rPr>
              <w:t>得分</w:t>
            </w:r>
          </w:p>
        </w:tc>
      </w:tr>
      <w:tr>
        <w:tblPrEx>
          <w:tblLayout w:type="fixed"/>
          <w:tblCellMar>
            <w:top w:w="0" w:type="dxa"/>
            <w:left w:w="108" w:type="dxa"/>
            <w:bottom w:w="0" w:type="dxa"/>
            <w:right w:w="108" w:type="dxa"/>
          </w:tblCellMar>
        </w:tblPrEx>
        <w:trPr>
          <w:trHeight w:val="397" w:hRule="atLeast"/>
        </w:trPr>
        <w:tc>
          <w:tcPr>
            <w:tcW w:w="11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项目决策</w:t>
            </w:r>
          </w:p>
          <w:p>
            <w:pPr>
              <w:widowControl/>
              <w:jc w:val="center"/>
              <w:rPr>
                <w:rFonts w:ascii="宋体" w:hAnsi="宋体"/>
                <w:kern w:val="0"/>
                <w:sz w:val="20"/>
                <w:szCs w:val="20"/>
              </w:rPr>
            </w:pPr>
            <w:r>
              <w:rPr>
                <w:rFonts w:hint="eastAsia" w:ascii="宋体" w:hAnsi="宋体"/>
                <w:kern w:val="0"/>
                <w:sz w:val="20"/>
                <w:szCs w:val="20"/>
              </w:rPr>
              <w:t>（20分）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项目立项（10分）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立项依据充分性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充分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项目立项是否符合法律法规、相关政策、发展规划以及部门职责，用以反映和考核项目立项依据情况。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项目立项符合国家法律法规、国民经济发展规划和相关政策要求及部门职责的，得满分；否则，不得分。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项目以相关方案、规划、通知等文件作为立项依据，项目实施单位将该项目纳入部门年度重点工作任务。项目立项符合国家法律法规、国民经济发展规划和相关政策要求及部门职责，立项依据充分。</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充分</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立项程序规范性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规范</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项目申请、设立过程是否符合相关要求，用以反映和考核项目立项的规范情况。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按照规定的程序申请设立且事前已经过必要的可行性研究、专家论证、风险评估、绩效评估、集体决策的，得满分；项目未按照规定的程序申请设立或事前未经过必要的可行性研究、专家论证、风险评估、绩效评估、集体决策的，按照指标权重分值的50%扣分；项目未按照规定的程序申请设立且事前未经过必要的可行性研究、专家论证、风险评估、绩效评估、集体决策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自治区残疾人联合会能够召开会议，对该项目进行集体决策，立项程序规范。</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规范</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绩效目标（5分）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绩效目标合理性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项目所设定的绩效目标是否依据充分，是否符合客观实际，用以反映和考核项目绩效目标与项目实施的相符情况。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设定的绩效目标依据充分，且符合客观实际的，得满分；设定的绩效目标与实际产出偏差较大的，按照偏差率扣分；设定的绩效目标缺乏依据充分或不符合客观实际，不得分。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lang w:eastAsia="zh-CN"/>
              </w:rPr>
              <w:t>根据相关部室的完成数，</w:t>
            </w:r>
            <w:r>
              <w:rPr>
                <w:rFonts w:hint="eastAsia" w:ascii="宋体" w:hAnsi="宋体"/>
                <w:kern w:val="0"/>
                <w:sz w:val="20"/>
                <w:szCs w:val="20"/>
              </w:rPr>
              <w:t>未出现</w:t>
            </w:r>
            <w:r>
              <w:rPr>
                <w:rFonts w:hint="eastAsia" w:ascii="宋体" w:hAnsi="宋体"/>
                <w:kern w:val="0"/>
                <w:sz w:val="20"/>
                <w:szCs w:val="20"/>
                <w:lang w:eastAsia="zh-CN"/>
              </w:rPr>
              <w:t>完成情况</w:t>
            </w:r>
            <w:r>
              <w:rPr>
                <w:rFonts w:hint="eastAsia" w:ascii="宋体" w:hAnsi="宋体"/>
                <w:kern w:val="0"/>
                <w:sz w:val="20"/>
                <w:szCs w:val="20"/>
              </w:rPr>
              <w:t>偏离目标较大的指标。</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绩效指标明确性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明确</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依据绩效目标设定的绩效指标是否清晰、细化、可衡量等，用以反映和考核项目绩效目标的明细化情况。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设定的绩效指标清晰，能够对指标进行细化和量化的，得满分；设定的绩效指标不清晰、笼统或对于能够量化的指标未进行量化的，按照不清晰、笼统或未量化指标数量占指标总数量的比率扣分。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将绩效目标细化分解为具体的绩效指标，包含定量指标</w:t>
            </w:r>
            <w:r>
              <w:rPr>
                <w:rFonts w:hint="eastAsia" w:ascii="宋体" w:hAnsi="宋体"/>
                <w:kern w:val="0"/>
                <w:sz w:val="20"/>
                <w:szCs w:val="20"/>
                <w:lang w:val="en-US" w:eastAsia="zh-CN"/>
              </w:rPr>
              <w:t>12</w:t>
            </w:r>
            <w:r>
              <w:rPr>
                <w:rFonts w:hint="eastAsia" w:ascii="宋体" w:hAnsi="宋体"/>
                <w:kern w:val="0"/>
                <w:sz w:val="20"/>
                <w:szCs w:val="20"/>
              </w:rPr>
              <w:t>个。设定的绩效指标清晰，具有可衡量性，且能够与项目目标计划数相对应。</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明确</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资金投入（5分）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预算编制科学性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科学</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项目预算编制是否经过科学论证、有明确标准，资金额度与年度目标是否相适应，用以反映和考核项目预算编制的科学性、合理性情况。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项目预算编制经过科学论证且依据充分的，得满分；预算编制论证、依据不够充分的，扣权重分值的50%；预算编制缺乏科学论证或缺乏依据的，不得分。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在进行项目概算时，根据相关规程并结合实际情况，确定该项目支出范围。在进行预算编制时，根据拟实施的项目</w:t>
            </w:r>
            <w:r>
              <w:rPr>
                <w:rFonts w:hint="eastAsia" w:ascii="宋体" w:hAnsi="宋体"/>
                <w:kern w:val="0"/>
                <w:sz w:val="20"/>
                <w:szCs w:val="20"/>
                <w:lang w:eastAsia="zh-CN"/>
              </w:rPr>
              <w:t>内容</w:t>
            </w:r>
            <w:r>
              <w:rPr>
                <w:rFonts w:hint="eastAsia" w:ascii="宋体" w:hAnsi="宋体"/>
                <w:kern w:val="0"/>
                <w:sz w:val="20"/>
                <w:szCs w:val="20"/>
              </w:rPr>
              <w:t>对预算进行编制，预算的编制能够与项目内容及工作任务相匹配，预算的编制能够按照相应的依据编制且较为科学。</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科学</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资金分配合理性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项目预算资金分配是否有测算依据，与补助单位或地方实际是否相适应，用以反映和考核项目预算资金分配的科学性、合理性情况。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预算资金分配依据充分且资金分配额度合理的，得满分；分配依据较充分或资金额度分配较合理的，按权重分值的50%扣分；分配依据不充分或资金额度分配不够合理的，不得分。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在进行项目资金分配时，按照</w:t>
            </w:r>
            <w:r>
              <w:rPr>
                <w:rFonts w:hint="eastAsia" w:ascii="宋体" w:hAnsi="宋体"/>
                <w:kern w:val="0"/>
                <w:sz w:val="20"/>
                <w:szCs w:val="20"/>
                <w:lang w:eastAsia="zh-CN"/>
              </w:rPr>
              <w:t>相关部室工作</w:t>
            </w:r>
            <w:r>
              <w:rPr>
                <w:rFonts w:hint="eastAsia" w:ascii="宋体" w:hAnsi="宋体"/>
                <w:kern w:val="0"/>
                <w:sz w:val="20"/>
                <w:szCs w:val="20"/>
              </w:rPr>
              <w:t>任务将项目资金进行分配，资金分配方案经自治区残疾人联合会党组会议审议同意。</w:t>
            </w:r>
          </w:p>
        </w:tc>
        <w:tc>
          <w:tcPr>
            <w:tcW w:w="1110"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合理</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c>
          <w:tcPr>
            <w:tcW w:w="79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2.5</w:t>
            </w:r>
          </w:p>
        </w:tc>
      </w:tr>
      <w:tr>
        <w:tblPrEx>
          <w:tblLayout w:type="fixed"/>
          <w:tblCellMar>
            <w:top w:w="0" w:type="dxa"/>
            <w:left w:w="108" w:type="dxa"/>
            <w:bottom w:w="0" w:type="dxa"/>
            <w:right w:w="108" w:type="dxa"/>
          </w:tblCellMar>
        </w:tblPrEx>
        <w:trPr>
          <w:trHeight w:val="397" w:hRule="atLeast"/>
        </w:trPr>
        <w:tc>
          <w:tcPr>
            <w:tcW w:w="1198" w:type="dxa"/>
            <w:vMerge w:val="restart"/>
            <w:tcBorders>
              <w:top w:val="nil"/>
              <w:left w:val="single" w:color="auto" w:sz="4" w:space="0"/>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项目过程（20分）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资金管理（12分）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资金到位率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实际到位资金与预算资金的比率，用以反映和考核资金落实情况对项目实施的总体保障程度。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项目资金足额及时到位的，得满分；未足额到位的资金按照，资金到位率=（实际到位资金/预算资金）×100%占权重分值来计算得分；实际到位资金：一定时期（本年度或项目期）内落实到具体项目的资金。</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该项目全年预算资金</w:t>
            </w:r>
            <w:r>
              <w:rPr>
                <w:rFonts w:hint="eastAsia" w:ascii="宋体" w:hAnsi="宋体"/>
                <w:kern w:val="0"/>
                <w:sz w:val="20"/>
                <w:szCs w:val="20"/>
                <w:lang w:val="en-US" w:eastAsia="zh-CN"/>
              </w:rPr>
              <w:t>430.47</w:t>
            </w:r>
            <w:r>
              <w:rPr>
                <w:rFonts w:hint="eastAsia" w:ascii="宋体" w:hAnsi="宋体"/>
                <w:kern w:val="0"/>
                <w:sz w:val="20"/>
                <w:szCs w:val="20"/>
              </w:rPr>
              <w:t>万元，资金到位率为100%。</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100%</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预算执行率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100%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项目预算资金是否按照计划执行，用以反映或考核项目预算执行情况。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预算执行率=（实际支出资金/实际到位资金）×100%。预算执行率100%的，得满分，每低于或高于1%扣0.1分，1%以内按比例扣分，扣完为止。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经对项目</w:t>
            </w:r>
            <w:r>
              <w:rPr>
                <w:rFonts w:hint="eastAsia" w:ascii="宋体" w:hAnsi="宋体"/>
                <w:kern w:val="0"/>
                <w:sz w:val="20"/>
                <w:szCs w:val="20"/>
                <w:lang w:eastAsia="zh-CN"/>
              </w:rPr>
              <w:t>支出</w:t>
            </w:r>
            <w:r>
              <w:rPr>
                <w:rFonts w:hint="eastAsia" w:ascii="宋体" w:hAnsi="宋体"/>
                <w:kern w:val="0"/>
                <w:sz w:val="20"/>
                <w:szCs w:val="20"/>
              </w:rPr>
              <w:t>资料进行审核，该项目全年支出资金</w:t>
            </w:r>
            <w:r>
              <w:rPr>
                <w:rFonts w:hint="eastAsia" w:ascii="宋体" w:hAnsi="宋体"/>
                <w:kern w:val="0"/>
                <w:sz w:val="20"/>
                <w:szCs w:val="20"/>
                <w:lang w:val="en-US" w:eastAsia="zh-CN"/>
              </w:rPr>
              <w:t>381.39</w:t>
            </w:r>
            <w:r>
              <w:rPr>
                <w:rFonts w:hint="eastAsia" w:ascii="宋体" w:hAnsi="宋体"/>
                <w:kern w:val="0"/>
                <w:sz w:val="20"/>
                <w:szCs w:val="20"/>
              </w:rPr>
              <w:t>万元，预算执行率为8</w:t>
            </w:r>
            <w:r>
              <w:rPr>
                <w:rFonts w:hint="eastAsia" w:ascii="宋体" w:hAnsi="宋体"/>
                <w:kern w:val="0"/>
                <w:sz w:val="20"/>
                <w:szCs w:val="20"/>
                <w:lang w:val="en-US" w:eastAsia="zh-CN"/>
              </w:rPr>
              <w:t>8.60</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8</w:t>
            </w:r>
            <w:r>
              <w:rPr>
                <w:rFonts w:hint="eastAsia" w:ascii="宋体" w:hAnsi="宋体"/>
                <w:kern w:val="0"/>
                <w:sz w:val="20"/>
                <w:szCs w:val="20"/>
                <w:lang w:val="en-US" w:eastAsia="zh-CN" w:bidi="ar"/>
              </w:rPr>
              <w:t>8.60</w:t>
            </w:r>
            <w:r>
              <w:rPr>
                <w:rFonts w:hint="eastAsia" w:ascii="宋体" w:hAnsi="宋体"/>
                <w:kern w:val="0"/>
                <w:sz w:val="20"/>
                <w:szCs w:val="20"/>
                <w:lang w:bidi="ar"/>
              </w:rPr>
              <w:t>%</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r>
              <w:rPr>
                <w:rFonts w:hint="eastAsia" w:ascii="宋体" w:hAnsi="宋体"/>
                <w:kern w:val="0"/>
                <w:sz w:val="20"/>
                <w:szCs w:val="20"/>
                <w:lang w:val="en-US" w:eastAsia="zh-CN" w:bidi="ar"/>
              </w:rPr>
              <w:t>5</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资金使用合规性</w:t>
            </w:r>
          </w:p>
        </w:tc>
        <w:tc>
          <w:tcPr>
            <w:tcW w:w="644"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合规</w:t>
            </w:r>
          </w:p>
        </w:tc>
        <w:tc>
          <w:tcPr>
            <w:tcW w:w="1591"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项目资金使用是否符合相关的财务管理制度规定，用以反映和考核项目资金的规范运行情况，</w:t>
            </w:r>
          </w:p>
        </w:tc>
        <w:tc>
          <w:tcPr>
            <w:tcW w:w="2955" w:type="dxa"/>
            <w:tcBorders>
              <w:top w:val="nil"/>
              <w:left w:val="nil"/>
              <w:bottom w:val="single" w:color="auto" w:sz="4" w:space="0"/>
              <w:right w:val="single" w:color="auto" w:sz="4" w:space="0"/>
            </w:tcBorders>
            <w:shd w:val="clear" w:color="auto" w:fill="auto"/>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项目资金的使用符合相关的财务管理制度及预算批复规定的，得满分；项目资金使用不符合财务管理制度及预算批复规定的，按发现的资金数额占项目拨付资金总额的比例所占权重分值扣分。</w:t>
            </w:r>
          </w:p>
        </w:tc>
        <w:tc>
          <w:tcPr>
            <w:tcW w:w="3180" w:type="dxa"/>
            <w:tcBorders>
              <w:top w:val="nil"/>
              <w:left w:val="nil"/>
              <w:bottom w:val="single" w:color="auto" w:sz="4" w:space="0"/>
              <w:right w:val="single" w:color="auto" w:sz="4" w:space="0"/>
            </w:tcBorders>
            <w:shd w:val="clear" w:color="auto" w:fill="auto"/>
            <w:vAlign w:val="center"/>
          </w:tcPr>
          <w:p>
            <w:pPr>
              <w:widowControl/>
              <w:jc w:val="left"/>
              <w:rPr>
                <w:rFonts w:ascii="宋体" w:hAnsi="宋体"/>
                <w:kern w:val="0"/>
                <w:sz w:val="20"/>
                <w:szCs w:val="20"/>
              </w:rPr>
            </w:pPr>
            <w:r>
              <w:rPr>
                <w:rFonts w:hint="eastAsia" w:ascii="宋体" w:hAnsi="宋体"/>
                <w:kern w:val="0"/>
                <w:sz w:val="20"/>
                <w:szCs w:val="20"/>
              </w:rPr>
              <w:t>经对项目支出明细进行延伸审核，项目资金的使用、支出有完整的审批程序和手续。</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合规</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组织实施（8分）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管理制度健全性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健全</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项目实施单位的财务和业务管理制度是否健全，用以反映和考核财务管理制度和业务管理制度对项目顺利实施的保障情况。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具有健全的财务管理制度和业务管理制度的，得满分；财务制度和业务管理制度较为健全的，按权重分值的40%扣分；财务制度或业务管理制度不健全的，按权重分值的60%扣分；无财务管理制度和业务管理制度的，不得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制定《新疆维吾尔自治区残疾人事业发展补助资金管理办法》具有健全的管理制度。</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健全</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4</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制度执行有效性</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有效</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项目实施是否符合相关管理规定，用以反映和考核相关管理制度的有效执行情况。</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是否遵守相关法律法规和相关管理规定；项目合同书、验收报告、技术鉴定等资料是否齐全并及时归档。</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color w:val="FF0000"/>
                <w:kern w:val="0"/>
                <w:sz w:val="20"/>
                <w:szCs w:val="20"/>
              </w:rPr>
            </w:pPr>
            <w:r>
              <w:rPr>
                <w:rFonts w:hint="eastAsia" w:ascii="宋体" w:hAnsi="宋体"/>
                <w:kern w:val="0"/>
                <w:sz w:val="20"/>
                <w:szCs w:val="20"/>
              </w:rPr>
              <w:t>根据项目实施过程留底资料、工作总结等相关资料评定。</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较有效</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4</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bidi="ar"/>
              </w:rPr>
              <w:t>4</w:t>
            </w:r>
          </w:p>
        </w:tc>
      </w:tr>
      <w:tr>
        <w:tblPrEx>
          <w:tblLayout w:type="fixed"/>
          <w:tblCellMar>
            <w:top w:w="0" w:type="dxa"/>
            <w:left w:w="108" w:type="dxa"/>
            <w:bottom w:w="0" w:type="dxa"/>
            <w:right w:w="108" w:type="dxa"/>
          </w:tblCellMar>
        </w:tblPrEx>
        <w:trPr>
          <w:trHeight w:val="397" w:hRule="atLeast"/>
        </w:trPr>
        <w:tc>
          <w:tcPr>
            <w:tcW w:w="1198" w:type="dxa"/>
            <w:vMerge w:val="restart"/>
            <w:tcBorders>
              <w:top w:val="nil"/>
              <w:left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产出指标（45分）</w:t>
            </w: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p>
          <w:p>
            <w:pPr>
              <w:widowControl/>
              <w:jc w:val="center"/>
              <w:rPr>
                <w:rFonts w:ascii="宋体" w:hAnsi="宋体"/>
                <w:kern w:val="0"/>
                <w:sz w:val="20"/>
                <w:szCs w:val="20"/>
              </w:rPr>
            </w:pPr>
            <w:r>
              <w:rPr>
                <w:rFonts w:hint="eastAsia" w:ascii="宋体" w:hAnsi="宋体"/>
                <w:kern w:val="0"/>
                <w:sz w:val="20"/>
                <w:szCs w:val="20"/>
              </w:rPr>
              <w:t>数量指</w:t>
            </w:r>
          </w:p>
          <w:p>
            <w:pPr>
              <w:widowControl/>
              <w:rPr>
                <w:rFonts w:ascii="宋体" w:hAnsi="宋体"/>
                <w:kern w:val="0"/>
                <w:sz w:val="20"/>
                <w:szCs w:val="20"/>
              </w:rPr>
            </w:pPr>
            <w:r>
              <w:rPr>
                <w:rFonts w:hint="eastAsia" w:ascii="宋体" w:hAnsi="宋体"/>
                <w:kern w:val="0"/>
                <w:sz w:val="20"/>
                <w:szCs w:val="20"/>
              </w:rPr>
              <w:t>标（18分）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慰问离退休干部人数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4</w:t>
            </w:r>
            <w:r>
              <w:rPr>
                <w:rFonts w:hint="eastAsia" w:ascii="宋体" w:hAnsi="宋体"/>
                <w:kern w:val="0"/>
                <w:sz w:val="20"/>
                <w:szCs w:val="20"/>
                <w:lang w:bidi="ar"/>
              </w:rPr>
              <w:t>0人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慰问</w:t>
            </w:r>
            <w:r>
              <w:rPr>
                <w:rFonts w:hint="eastAsia" w:ascii="宋体" w:hAnsi="宋体"/>
                <w:kern w:val="0"/>
                <w:sz w:val="20"/>
                <w:szCs w:val="20"/>
                <w:lang w:bidi="ar"/>
              </w:rPr>
              <w:t>人数≥</w:t>
            </w:r>
            <w:r>
              <w:rPr>
                <w:rFonts w:hint="eastAsia" w:ascii="宋体" w:hAnsi="宋体"/>
                <w:kern w:val="0"/>
                <w:sz w:val="20"/>
                <w:szCs w:val="20"/>
                <w:lang w:val="en-US" w:eastAsia="zh-CN" w:bidi="ar"/>
              </w:rPr>
              <w:t>4</w:t>
            </w:r>
            <w:r>
              <w:rPr>
                <w:rFonts w:hint="eastAsia" w:ascii="宋体" w:hAnsi="宋体"/>
                <w:kern w:val="0"/>
                <w:sz w:val="20"/>
                <w:szCs w:val="20"/>
                <w:lang w:bidi="ar"/>
              </w:rPr>
              <w:t>0人的，得满分；</w:t>
            </w:r>
            <w:r>
              <w:rPr>
                <w:rFonts w:hint="eastAsia" w:ascii="宋体" w:hAnsi="宋体"/>
                <w:kern w:val="0"/>
                <w:sz w:val="20"/>
                <w:szCs w:val="20"/>
              </w:rPr>
              <w:t>慰问</w:t>
            </w:r>
            <w:r>
              <w:rPr>
                <w:rFonts w:hint="eastAsia" w:ascii="宋体" w:hAnsi="宋体"/>
                <w:kern w:val="0"/>
                <w:sz w:val="20"/>
                <w:szCs w:val="20"/>
                <w:lang w:bidi="ar"/>
              </w:rPr>
              <w:t>人数＜</w:t>
            </w:r>
            <w:r>
              <w:rPr>
                <w:rFonts w:hint="eastAsia" w:ascii="宋体" w:hAnsi="宋体"/>
                <w:kern w:val="0"/>
                <w:sz w:val="20"/>
                <w:szCs w:val="20"/>
                <w:lang w:val="en-US" w:eastAsia="zh-CN" w:bidi="ar"/>
              </w:rPr>
              <w:t>4</w:t>
            </w:r>
            <w:r>
              <w:rPr>
                <w:rFonts w:hint="eastAsia" w:ascii="宋体" w:hAnsi="宋体"/>
                <w:kern w:val="0"/>
                <w:sz w:val="20"/>
                <w:szCs w:val="20"/>
                <w:lang w:bidi="ar"/>
              </w:rPr>
              <w:t>0人的，按照指标权重分值乘以未完成比例扣分。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机关党委人事部</w:t>
            </w:r>
            <w:r>
              <w:rPr>
                <w:rFonts w:hint="eastAsia" w:ascii="宋体" w:hAnsi="宋体"/>
                <w:kern w:val="0"/>
                <w:sz w:val="20"/>
                <w:szCs w:val="20"/>
              </w:rPr>
              <w:t>统计汇总，截止到2022年12月31日，实际</w:t>
            </w:r>
            <w:r>
              <w:rPr>
                <w:rFonts w:hint="eastAsia" w:ascii="宋体" w:hAnsi="宋体"/>
                <w:kern w:val="0"/>
                <w:sz w:val="20"/>
                <w:szCs w:val="20"/>
              </w:rPr>
              <w:t>慰问离退休干部人数</w:t>
            </w:r>
            <w:r>
              <w:rPr>
                <w:rFonts w:hint="eastAsia" w:ascii="宋体" w:hAnsi="宋体"/>
                <w:kern w:val="0"/>
                <w:sz w:val="20"/>
                <w:szCs w:val="20"/>
                <w:lang w:val="en-US" w:eastAsia="zh-CN"/>
              </w:rPr>
              <w:t>41</w:t>
            </w:r>
            <w:r>
              <w:rPr>
                <w:rFonts w:hint="eastAsia" w:ascii="宋体" w:hAnsi="宋体"/>
                <w:kern w:val="0"/>
                <w:sz w:val="20"/>
                <w:szCs w:val="20"/>
              </w:rPr>
              <w:t>人，实际完成率为1</w:t>
            </w:r>
            <w:r>
              <w:rPr>
                <w:rFonts w:hint="eastAsia" w:ascii="宋体" w:hAnsi="宋体"/>
                <w:kern w:val="0"/>
                <w:sz w:val="20"/>
                <w:szCs w:val="20"/>
                <w:lang w:val="en-US" w:eastAsia="zh-CN"/>
              </w:rPr>
              <w:t>02.5</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41</w:t>
            </w:r>
            <w:r>
              <w:rPr>
                <w:rFonts w:hint="eastAsia" w:ascii="宋体" w:hAnsi="宋体"/>
                <w:kern w:val="0"/>
                <w:sz w:val="20"/>
                <w:szCs w:val="20"/>
                <w:lang w:bidi="ar"/>
              </w:rPr>
              <w:t>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3.6</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bidi="ar"/>
              </w:rPr>
              <w:t>3.6</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驻村工作人员人数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18</w:t>
            </w:r>
            <w:r>
              <w:rPr>
                <w:rFonts w:hint="eastAsia" w:ascii="宋体" w:hAnsi="宋体"/>
                <w:kern w:val="0"/>
                <w:sz w:val="20"/>
                <w:szCs w:val="20"/>
                <w:lang w:bidi="ar"/>
              </w:rPr>
              <w:t>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驻村</w:t>
            </w:r>
            <w:r>
              <w:rPr>
                <w:rFonts w:hint="eastAsia" w:ascii="宋体" w:hAnsi="宋体"/>
                <w:kern w:val="0"/>
                <w:sz w:val="20"/>
                <w:szCs w:val="20"/>
                <w:lang w:bidi="ar"/>
              </w:rPr>
              <w:t>人数≥</w:t>
            </w:r>
            <w:r>
              <w:rPr>
                <w:rFonts w:hint="eastAsia" w:ascii="宋体" w:hAnsi="宋体"/>
                <w:kern w:val="0"/>
                <w:sz w:val="20"/>
                <w:szCs w:val="20"/>
                <w:lang w:val="en-US" w:eastAsia="zh-CN" w:bidi="ar"/>
              </w:rPr>
              <w:t>18</w:t>
            </w:r>
            <w:r>
              <w:rPr>
                <w:rFonts w:hint="eastAsia" w:ascii="宋体" w:hAnsi="宋体"/>
                <w:kern w:val="0"/>
                <w:sz w:val="20"/>
                <w:szCs w:val="20"/>
                <w:lang w:bidi="ar"/>
              </w:rPr>
              <w:t>人的，得满分；</w:t>
            </w:r>
            <w:r>
              <w:rPr>
                <w:rFonts w:hint="eastAsia" w:ascii="宋体" w:hAnsi="宋体"/>
                <w:kern w:val="0"/>
                <w:sz w:val="20"/>
                <w:szCs w:val="20"/>
              </w:rPr>
              <w:t>驻村</w:t>
            </w:r>
            <w:r>
              <w:rPr>
                <w:rFonts w:hint="eastAsia" w:ascii="宋体" w:hAnsi="宋体"/>
                <w:kern w:val="0"/>
                <w:sz w:val="20"/>
                <w:szCs w:val="20"/>
                <w:lang w:bidi="ar"/>
              </w:rPr>
              <w:t>人数＜</w:t>
            </w:r>
            <w:r>
              <w:rPr>
                <w:rFonts w:hint="eastAsia" w:ascii="宋体" w:hAnsi="宋体"/>
                <w:kern w:val="0"/>
                <w:sz w:val="20"/>
                <w:szCs w:val="20"/>
                <w:lang w:val="en-US" w:eastAsia="zh-CN" w:bidi="ar"/>
              </w:rPr>
              <w:t>18</w:t>
            </w:r>
            <w:r>
              <w:rPr>
                <w:rFonts w:hint="eastAsia" w:ascii="宋体" w:hAnsi="宋体"/>
                <w:kern w:val="0"/>
                <w:sz w:val="20"/>
                <w:szCs w:val="20"/>
                <w:lang w:bidi="ar"/>
              </w:rPr>
              <w:t>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经统计汇总，截止到2022年12月31日，实际</w:t>
            </w:r>
            <w:r>
              <w:rPr>
                <w:rFonts w:hint="eastAsia" w:ascii="宋体" w:hAnsi="宋体"/>
                <w:kern w:val="0"/>
                <w:sz w:val="20"/>
                <w:szCs w:val="20"/>
              </w:rPr>
              <w:t>驻村工作人员人数</w:t>
            </w:r>
            <w:r>
              <w:rPr>
                <w:rFonts w:hint="eastAsia" w:ascii="宋体" w:hAnsi="宋体"/>
                <w:kern w:val="0"/>
                <w:sz w:val="20"/>
                <w:szCs w:val="20"/>
                <w:lang w:eastAsia="zh-CN"/>
              </w:rPr>
              <w:t>为</w:t>
            </w:r>
            <w:r>
              <w:rPr>
                <w:rFonts w:hint="eastAsia" w:ascii="宋体" w:hAnsi="宋体"/>
                <w:kern w:val="0"/>
                <w:sz w:val="20"/>
                <w:szCs w:val="20"/>
                <w:lang w:val="en-US" w:eastAsia="zh-CN"/>
              </w:rPr>
              <w:t>15</w:t>
            </w:r>
            <w:r>
              <w:rPr>
                <w:rFonts w:hint="eastAsia" w:ascii="宋体" w:hAnsi="宋体"/>
                <w:kern w:val="0"/>
                <w:sz w:val="20"/>
                <w:szCs w:val="20"/>
              </w:rPr>
              <w:t>人，完成率为</w:t>
            </w:r>
            <w:r>
              <w:rPr>
                <w:rFonts w:hint="eastAsia" w:ascii="宋体" w:hAnsi="宋体"/>
                <w:kern w:val="0"/>
                <w:sz w:val="20"/>
                <w:szCs w:val="20"/>
                <w:lang w:val="en-US" w:eastAsia="zh-CN"/>
              </w:rPr>
              <w:t>83.33</w:t>
            </w:r>
            <w:r>
              <w:rPr>
                <w:rFonts w:hint="eastAsia" w:ascii="宋体" w:hAnsi="宋体"/>
                <w:kern w:val="0"/>
                <w:sz w:val="20"/>
                <w:szCs w:val="20"/>
              </w:rPr>
              <w:t>%。</w:t>
            </w:r>
            <w:r>
              <w:rPr>
                <w:rFonts w:hint="eastAsia" w:ascii="宋体" w:hAnsi="宋体"/>
                <w:kern w:val="0"/>
                <w:sz w:val="20"/>
                <w:szCs w:val="20"/>
                <w:lang w:eastAsia="zh-CN"/>
              </w:rPr>
              <w:t>因支教活动取消，</w:t>
            </w:r>
            <w:r>
              <w:rPr>
                <w:rFonts w:hint="eastAsia" w:ascii="宋体" w:hAnsi="宋体"/>
                <w:kern w:val="0"/>
                <w:sz w:val="20"/>
                <w:szCs w:val="20"/>
                <w:lang w:val="en-US" w:eastAsia="zh-CN"/>
              </w:rPr>
              <w:t>3名支教老师不再驻村。</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15</w:t>
            </w:r>
            <w:r>
              <w:rPr>
                <w:rFonts w:hint="eastAsia" w:ascii="宋体" w:hAnsi="宋体"/>
                <w:kern w:val="0"/>
                <w:sz w:val="20"/>
                <w:szCs w:val="20"/>
                <w:lang w:bidi="ar"/>
              </w:rPr>
              <w:t>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3.6</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保障公务用车数量</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7辆</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保障</w:t>
            </w:r>
            <w:r>
              <w:rPr>
                <w:rFonts w:hint="eastAsia" w:ascii="宋体" w:hAnsi="宋体"/>
                <w:kern w:val="0"/>
                <w:sz w:val="20"/>
                <w:szCs w:val="20"/>
                <w:lang w:eastAsia="zh-CN"/>
              </w:rPr>
              <w:t>车辆数</w:t>
            </w:r>
            <w:r>
              <w:rPr>
                <w:rFonts w:hint="eastAsia" w:ascii="宋体" w:hAnsi="宋体"/>
                <w:kern w:val="0"/>
                <w:sz w:val="20"/>
                <w:szCs w:val="20"/>
                <w:lang w:bidi="ar"/>
              </w:rPr>
              <w:t>≥</w:t>
            </w:r>
            <w:r>
              <w:rPr>
                <w:rFonts w:hint="eastAsia" w:ascii="宋体" w:hAnsi="宋体"/>
                <w:kern w:val="0"/>
                <w:sz w:val="20"/>
                <w:szCs w:val="20"/>
                <w:lang w:val="en-US" w:eastAsia="zh-CN" w:bidi="ar"/>
              </w:rPr>
              <w:t>7</w:t>
            </w:r>
            <w:r>
              <w:rPr>
                <w:rFonts w:hint="eastAsia" w:ascii="宋体" w:hAnsi="宋体"/>
                <w:kern w:val="0"/>
                <w:sz w:val="20"/>
                <w:szCs w:val="20"/>
                <w:lang w:eastAsia="zh-CN" w:bidi="ar"/>
              </w:rPr>
              <w:t>辆</w:t>
            </w:r>
            <w:r>
              <w:rPr>
                <w:rFonts w:hint="eastAsia" w:ascii="宋体" w:hAnsi="宋体"/>
                <w:kern w:val="0"/>
                <w:sz w:val="20"/>
                <w:szCs w:val="20"/>
                <w:lang w:bidi="ar"/>
              </w:rPr>
              <w:t>的，得满分；</w:t>
            </w:r>
            <w:r>
              <w:rPr>
                <w:rFonts w:hint="eastAsia" w:ascii="宋体" w:hAnsi="宋体"/>
                <w:kern w:val="0"/>
                <w:sz w:val="20"/>
                <w:szCs w:val="20"/>
              </w:rPr>
              <w:t>保障</w:t>
            </w:r>
            <w:r>
              <w:rPr>
                <w:rFonts w:hint="eastAsia" w:ascii="宋体" w:hAnsi="宋体"/>
                <w:kern w:val="0"/>
                <w:sz w:val="20"/>
                <w:szCs w:val="20"/>
                <w:lang w:eastAsia="zh-CN"/>
              </w:rPr>
              <w:t>车辆数</w:t>
            </w:r>
            <w:r>
              <w:rPr>
                <w:rFonts w:hint="eastAsia" w:ascii="宋体" w:hAnsi="宋体"/>
                <w:kern w:val="0"/>
                <w:sz w:val="20"/>
                <w:szCs w:val="20"/>
                <w:lang w:bidi="ar"/>
              </w:rPr>
              <w:t>＜</w:t>
            </w:r>
            <w:r>
              <w:rPr>
                <w:rFonts w:hint="eastAsia" w:ascii="宋体" w:hAnsi="宋体"/>
                <w:kern w:val="0"/>
                <w:sz w:val="20"/>
                <w:szCs w:val="20"/>
                <w:lang w:val="en-US" w:eastAsia="zh-CN" w:bidi="ar"/>
              </w:rPr>
              <w:t>7辆</w:t>
            </w:r>
            <w:r>
              <w:rPr>
                <w:rFonts w:hint="eastAsia" w:ascii="宋体" w:hAnsi="宋体"/>
                <w:kern w:val="0"/>
                <w:sz w:val="20"/>
                <w:szCs w:val="20"/>
                <w:lang w:bidi="ar"/>
              </w:rPr>
              <w:t>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办公室</w:t>
            </w:r>
            <w:r>
              <w:rPr>
                <w:rFonts w:hint="eastAsia" w:ascii="宋体" w:hAnsi="宋体"/>
                <w:kern w:val="0"/>
                <w:sz w:val="20"/>
                <w:szCs w:val="20"/>
              </w:rPr>
              <w:t>统计汇总，截止到2022年12月31日，实际</w:t>
            </w:r>
            <w:r>
              <w:rPr>
                <w:rFonts w:hint="eastAsia" w:ascii="宋体" w:hAnsi="宋体"/>
                <w:kern w:val="0"/>
                <w:sz w:val="20"/>
                <w:szCs w:val="20"/>
              </w:rPr>
              <w:t>保障公务用车数量</w:t>
            </w:r>
            <w:r>
              <w:rPr>
                <w:rFonts w:hint="eastAsia" w:ascii="宋体" w:hAnsi="宋体"/>
                <w:kern w:val="0"/>
                <w:sz w:val="20"/>
                <w:szCs w:val="20"/>
                <w:lang w:eastAsia="zh-CN"/>
              </w:rPr>
              <w:t>为</w:t>
            </w:r>
            <w:r>
              <w:rPr>
                <w:rFonts w:hint="eastAsia" w:ascii="宋体" w:hAnsi="宋体"/>
                <w:kern w:val="0"/>
                <w:sz w:val="20"/>
                <w:szCs w:val="20"/>
                <w:lang w:val="en-US" w:eastAsia="zh-CN"/>
              </w:rPr>
              <w:t>7辆</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bidi="ar"/>
              </w:rPr>
              <w:t>7辆</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3.6</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bidi="ar"/>
              </w:rPr>
              <w:t>3.6</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保障办公人员人数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49</w:t>
            </w:r>
            <w:r>
              <w:rPr>
                <w:rFonts w:hint="eastAsia" w:ascii="宋体" w:hAnsi="宋体"/>
                <w:kern w:val="0"/>
                <w:sz w:val="20"/>
                <w:szCs w:val="20"/>
                <w:lang w:bidi="ar"/>
              </w:rPr>
              <w:t>人</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保障</w:t>
            </w:r>
            <w:r>
              <w:rPr>
                <w:rFonts w:hint="eastAsia" w:ascii="宋体" w:hAnsi="宋体"/>
                <w:kern w:val="0"/>
                <w:sz w:val="20"/>
                <w:szCs w:val="20"/>
                <w:lang w:bidi="ar"/>
              </w:rPr>
              <w:t>人数≥</w:t>
            </w:r>
            <w:r>
              <w:rPr>
                <w:rFonts w:hint="eastAsia" w:ascii="宋体" w:hAnsi="宋体"/>
                <w:kern w:val="0"/>
                <w:sz w:val="20"/>
                <w:szCs w:val="20"/>
                <w:lang w:val="en-US" w:eastAsia="zh-CN" w:bidi="ar"/>
              </w:rPr>
              <w:t>4</w:t>
            </w:r>
            <w:r>
              <w:rPr>
                <w:rFonts w:hint="eastAsia" w:ascii="宋体" w:hAnsi="宋体"/>
                <w:kern w:val="0"/>
                <w:sz w:val="20"/>
                <w:szCs w:val="20"/>
                <w:lang w:bidi="ar"/>
              </w:rPr>
              <w:t>9人的，得满分；</w:t>
            </w:r>
            <w:r>
              <w:rPr>
                <w:rFonts w:hint="eastAsia" w:ascii="宋体" w:hAnsi="宋体"/>
                <w:kern w:val="0"/>
                <w:sz w:val="20"/>
                <w:szCs w:val="20"/>
              </w:rPr>
              <w:t>保障</w:t>
            </w:r>
            <w:r>
              <w:rPr>
                <w:rFonts w:hint="eastAsia" w:ascii="宋体" w:hAnsi="宋体"/>
                <w:kern w:val="0"/>
                <w:sz w:val="20"/>
                <w:szCs w:val="20"/>
                <w:lang w:bidi="ar"/>
              </w:rPr>
              <w:t>人数＜</w:t>
            </w:r>
            <w:r>
              <w:rPr>
                <w:rFonts w:hint="eastAsia" w:ascii="宋体" w:hAnsi="宋体"/>
                <w:kern w:val="0"/>
                <w:sz w:val="20"/>
                <w:szCs w:val="20"/>
                <w:lang w:val="en-US" w:eastAsia="zh-CN" w:bidi="ar"/>
              </w:rPr>
              <w:t>4</w:t>
            </w:r>
            <w:r>
              <w:rPr>
                <w:rFonts w:hint="eastAsia" w:ascii="宋体" w:hAnsi="宋体"/>
                <w:kern w:val="0"/>
                <w:sz w:val="20"/>
                <w:szCs w:val="20"/>
                <w:lang w:bidi="ar"/>
              </w:rPr>
              <w:t>9人的，按照指标权重分值乘以未完成比例扣分。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经统计，截止到2022年12月31日，实际</w:t>
            </w:r>
            <w:r>
              <w:rPr>
                <w:rFonts w:hint="eastAsia" w:ascii="宋体" w:hAnsi="宋体"/>
                <w:kern w:val="0"/>
                <w:sz w:val="20"/>
                <w:szCs w:val="20"/>
              </w:rPr>
              <w:t>办公人员人数</w:t>
            </w:r>
            <w:r>
              <w:rPr>
                <w:rFonts w:hint="eastAsia" w:ascii="宋体" w:hAnsi="宋体"/>
                <w:kern w:val="0"/>
                <w:sz w:val="20"/>
                <w:szCs w:val="20"/>
                <w:lang w:eastAsia="zh-CN"/>
              </w:rPr>
              <w:t>为</w:t>
            </w:r>
            <w:r>
              <w:rPr>
                <w:rFonts w:hint="eastAsia" w:ascii="宋体" w:hAnsi="宋体"/>
                <w:kern w:val="0"/>
                <w:sz w:val="20"/>
                <w:szCs w:val="20"/>
                <w:lang w:val="en-US" w:eastAsia="zh-CN"/>
              </w:rPr>
              <w:t>54</w:t>
            </w:r>
            <w:r>
              <w:rPr>
                <w:rFonts w:hint="eastAsia" w:ascii="宋体" w:hAnsi="宋体"/>
                <w:kern w:val="0"/>
                <w:sz w:val="20"/>
                <w:szCs w:val="20"/>
              </w:rPr>
              <w:t>人，实际完成率为1</w:t>
            </w:r>
            <w:r>
              <w:rPr>
                <w:rFonts w:hint="eastAsia" w:ascii="宋体" w:hAnsi="宋体"/>
                <w:kern w:val="0"/>
                <w:sz w:val="20"/>
                <w:szCs w:val="20"/>
                <w:lang w:val="en-US" w:eastAsia="zh-CN"/>
              </w:rPr>
              <w:t>10.2</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54</w:t>
            </w:r>
            <w:r>
              <w:rPr>
                <w:rFonts w:hint="eastAsia" w:ascii="宋体" w:hAnsi="宋体"/>
                <w:kern w:val="0"/>
                <w:sz w:val="20"/>
                <w:szCs w:val="20"/>
                <w:lang w:bidi="ar"/>
              </w:rPr>
              <w:t>人</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3.6</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bidi="ar"/>
              </w:rPr>
              <w:t>3.6</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慰问离退休干部次数</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w:t>
            </w:r>
            <w:r>
              <w:rPr>
                <w:rFonts w:hint="eastAsia" w:ascii="宋体" w:hAnsi="宋体"/>
                <w:kern w:val="0"/>
                <w:sz w:val="20"/>
                <w:szCs w:val="20"/>
                <w:lang w:val="en-US" w:eastAsia="zh-CN"/>
              </w:rPr>
              <w:t>3次</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项目实施的实际产出数与计划产出数的比率，用以反映和考核项目产出数量目标的实现程度。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慰问</w:t>
            </w:r>
            <w:r>
              <w:rPr>
                <w:rFonts w:hint="eastAsia" w:ascii="宋体" w:hAnsi="宋体"/>
                <w:kern w:val="0"/>
                <w:sz w:val="20"/>
                <w:szCs w:val="20"/>
                <w:lang w:eastAsia="zh-CN"/>
              </w:rPr>
              <w:t>次</w:t>
            </w:r>
            <w:r>
              <w:rPr>
                <w:rFonts w:hint="eastAsia" w:ascii="宋体" w:hAnsi="宋体"/>
                <w:kern w:val="0"/>
                <w:sz w:val="20"/>
                <w:szCs w:val="20"/>
                <w:lang w:bidi="ar"/>
              </w:rPr>
              <w:t>数≥</w:t>
            </w:r>
            <w:r>
              <w:rPr>
                <w:rFonts w:hint="eastAsia" w:ascii="宋体" w:hAnsi="宋体"/>
                <w:kern w:val="0"/>
                <w:sz w:val="20"/>
                <w:szCs w:val="20"/>
                <w:lang w:val="en-US" w:eastAsia="zh-CN" w:bidi="ar"/>
              </w:rPr>
              <w:t>3次</w:t>
            </w:r>
            <w:r>
              <w:rPr>
                <w:rFonts w:hint="eastAsia" w:ascii="宋体" w:hAnsi="宋体"/>
                <w:kern w:val="0"/>
                <w:sz w:val="20"/>
                <w:szCs w:val="20"/>
                <w:lang w:bidi="ar"/>
              </w:rPr>
              <w:t>的，得满分；扶</w:t>
            </w:r>
            <w:r>
              <w:rPr>
                <w:rFonts w:hint="eastAsia" w:ascii="宋体" w:hAnsi="宋体"/>
                <w:kern w:val="0"/>
                <w:sz w:val="20"/>
                <w:szCs w:val="20"/>
              </w:rPr>
              <w:t>慰问</w:t>
            </w:r>
            <w:r>
              <w:rPr>
                <w:rFonts w:hint="eastAsia" w:ascii="宋体" w:hAnsi="宋体"/>
                <w:kern w:val="0"/>
                <w:sz w:val="20"/>
                <w:szCs w:val="20"/>
                <w:lang w:eastAsia="zh-CN"/>
              </w:rPr>
              <w:t>次</w:t>
            </w:r>
            <w:r>
              <w:rPr>
                <w:rFonts w:hint="eastAsia" w:ascii="宋体" w:hAnsi="宋体"/>
                <w:kern w:val="0"/>
                <w:sz w:val="20"/>
                <w:szCs w:val="20"/>
                <w:lang w:bidi="ar"/>
              </w:rPr>
              <w:t>数</w:t>
            </w:r>
            <w:r>
              <w:rPr>
                <w:rFonts w:hint="eastAsia" w:ascii="宋体" w:hAnsi="宋体"/>
                <w:kern w:val="0"/>
                <w:sz w:val="20"/>
                <w:szCs w:val="20"/>
                <w:lang w:bidi="ar"/>
              </w:rPr>
              <w:t>＜</w:t>
            </w:r>
            <w:r>
              <w:rPr>
                <w:rFonts w:hint="eastAsia" w:ascii="宋体" w:hAnsi="宋体"/>
                <w:kern w:val="0"/>
                <w:sz w:val="20"/>
                <w:szCs w:val="20"/>
                <w:lang w:val="en-US" w:eastAsia="zh-CN" w:bidi="ar"/>
              </w:rPr>
              <w:t>3次</w:t>
            </w:r>
            <w:r>
              <w:rPr>
                <w:rFonts w:hint="eastAsia" w:ascii="宋体" w:hAnsi="宋体"/>
                <w:kern w:val="0"/>
                <w:sz w:val="20"/>
                <w:szCs w:val="20"/>
                <w:lang w:bidi="ar"/>
              </w:rPr>
              <w:t>的，按照指标权重分值乘以未完成比例扣分。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w:t>
            </w:r>
            <w:r>
              <w:rPr>
                <w:rFonts w:hint="eastAsia" w:ascii="宋体" w:hAnsi="宋体"/>
                <w:kern w:val="0"/>
                <w:sz w:val="20"/>
                <w:szCs w:val="20"/>
                <w:lang w:eastAsia="zh-CN"/>
              </w:rPr>
              <w:t>机关党委人事部</w:t>
            </w:r>
            <w:r>
              <w:rPr>
                <w:rFonts w:hint="eastAsia" w:ascii="宋体" w:hAnsi="宋体"/>
                <w:kern w:val="0"/>
                <w:sz w:val="20"/>
                <w:szCs w:val="20"/>
              </w:rPr>
              <w:t>统计，截止到2022年12月31日，实际完成</w:t>
            </w:r>
            <w:r>
              <w:rPr>
                <w:rFonts w:hint="eastAsia" w:ascii="宋体" w:hAnsi="宋体"/>
                <w:kern w:val="0"/>
                <w:sz w:val="20"/>
                <w:szCs w:val="20"/>
              </w:rPr>
              <w:t>慰问离退休干部次数</w:t>
            </w:r>
            <w:r>
              <w:rPr>
                <w:rFonts w:hint="eastAsia" w:ascii="宋体" w:hAnsi="宋体"/>
                <w:kern w:val="0"/>
                <w:sz w:val="20"/>
                <w:szCs w:val="20"/>
                <w:lang w:val="en-US" w:eastAsia="zh-CN"/>
              </w:rPr>
              <w:t>3次</w:t>
            </w:r>
            <w:r>
              <w:rPr>
                <w:rFonts w:hint="eastAsia" w:ascii="宋体" w:hAnsi="宋体"/>
                <w:kern w:val="0"/>
                <w:sz w:val="20"/>
                <w:szCs w:val="20"/>
              </w:rPr>
              <w:t>，完成率为</w:t>
            </w:r>
            <w:r>
              <w:rPr>
                <w:rFonts w:hint="eastAsia" w:ascii="宋体" w:hAnsi="宋体"/>
                <w:kern w:val="0"/>
                <w:sz w:val="20"/>
                <w:szCs w:val="20"/>
                <w:lang w:val="en-US" w:eastAsia="zh-CN"/>
              </w:rPr>
              <w:t>100</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3次</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3.6</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3.6</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质量指标（</w:t>
            </w:r>
            <w:r>
              <w:rPr>
                <w:rFonts w:ascii="宋体" w:hAnsi="宋体"/>
                <w:kern w:val="0"/>
                <w:sz w:val="20"/>
                <w:szCs w:val="20"/>
              </w:rPr>
              <w:t>9</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补助资金发放完成率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95</w:t>
            </w:r>
            <w:r>
              <w:rPr>
                <w:rFonts w:hint="eastAsia" w:ascii="宋体" w:hAnsi="宋体"/>
                <w:kern w:val="0"/>
                <w:sz w:val="20"/>
                <w:szCs w:val="20"/>
                <w:lang w:bidi="ar"/>
              </w:rPr>
              <w:t>%</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项目完成的质量达标产出数与实际产出数的比率，用以反映和考核项目产出质量目标的实现程度。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完成</w:t>
            </w:r>
            <w:r>
              <w:rPr>
                <w:rFonts w:hint="eastAsia" w:ascii="宋体" w:hAnsi="宋体"/>
                <w:kern w:val="0"/>
                <w:sz w:val="20"/>
                <w:szCs w:val="20"/>
                <w:lang w:bidi="ar"/>
              </w:rPr>
              <w:t>率≥</w:t>
            </w:r>
            <w:r>
              <w:rPr>
                <w:rFonts w:hint="eastAsia" w:ascii="宋体" w:hAnsi="宋体"/>
                <w:kern w:val="0"/>
                <w:sz w:val="20"/>
                <w:szCs w:val="20"/>
                <w:lang w:val="en-US" w:eastAsia="zh-CN" w:bidi="ar"/>
              </w:rPr>
              <w:t>95</w:t>
            </w:r>
            <w:r>
              <w:rPr>
                <w:rFonts w:hint="eastAsia" w:ascii="宋体" w:hAnsi="宋体"/>
                <w:kern w:val="0"/>
                <w:sz w:val="20"/>
                <w:szCs w:val="20"/>
                <w:lang w:bidi="ar"/>
              </w:rPr>
              <w:t>%的，得满分；</w:t>
            </w:r>
            <w:r>
              <w:rPr>
                <w:rFonts w:hint="eastAsia" w:ascii="宋体" w:hAnsi="宋体"/>
                <w:kern w:val="0"/>
                <w:sz w:val="20"/>
                <w:szCs w:val="20"/>
              </w:rPr>
              <w:t>完成</w:t>
            </w:r>
            <w:r>
              <w:rPr>
                <w:rFonts w:hint="eastAsia" w:ascii="宋体" w:hAnsi="宋体"/>
                <w:kern w:val="0"/>
                <w:sz w:val="20"/>
                <w:szCs w:val="20"/>
                <w:lang w:bidi="ar"/>
              </w:rPr>
              <w:t>率＜</w:t>
            </w:r>
            <w:r>
              <w:rPr>
                <w:rFonts w:hint="eastAsia" w:ascii="宋体" w:hAnsi="宋体"/>
                <w:kern w:val="0"/>
                <w:sz w:val="20"/>
                <w:szCs w:val="20"/>
                <w:lang w:val="en-US" w:eastAsia="zh-CN" w:bidi="ar"/>
              </w:rPr>
              <w:t>95</w:t>
            </w:r>
            <w:r>
              <w:rPr>
                <w:rFonts w:hint="eastAsia" w:ascii="宋体" w:hAnsi="宋体"/>
                <w:kern w:val="0"/>
                <w:sz w:val="20"/>
                <w:szCs w:val="20"/>
                <w:lang w:bidi="ar"/>
              </w:rPr>
              <w:t>%的，每低于1%扣0.5分，1%以内的按比例扣分，扣完为止。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根据统计数据显示，</w:t>
            </w:r>
            <w:r>
              <w:rPr>
                <w:rFonts w:hint="eastAsia" w:ascii="宋体" w:hAnsi="宋体"/>
                <w:kern w:val="0"/>
                <w:sz w:val="20"/>
                <w:szCs w:val="20"/>
              </w:rPr>
              <w:t>补助资金发放完成率</w:t>
            </w:r>
            <w:r>
              <w:rPr>
                <w:rFonts w:hint="eastAsia" w:ascii="宋体" w:hAnsi="宋体"/>
                <w:kern w:val="0"/>
                <w:sz w:val="20"/>
                <w:szCs w:val="20"/>
              </w:rPr>
              <w:t>为9</w:t>
            </w:r>
            <w:r>
              <w:rPr>
                <w:rFonts w:hint="eastAsia" w:ascii="宋体" w:hAnsi="宋体"/>
                <w:kern w:val="0"/>
                <w:sz w:val="20"/>
                <w:szCs w:val="20"/>
                <w:lang w:val="en-US" w:eastAsia="zh-CN"/>
              </w:rPr>
              <w:t>5</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9</w:t>
            </w:r>
            <w:r>
              <w:rPr>
                <w:rFonts w:hint="eastAsia" w:ascii="宋体" w:hAnsi="宋体"/>
                <w:kern w:val="0"/>
                <w:sz w:val="20"/>
                <w:szCs w:val="20"/>
                <w:lang w:val="en-US" w:eastAsia="zh-CN" w:bidi="ar"/>
              </w:rPr>
              <w:t>5</w:t>
            </w:r>
            <w:r>
              <w:rPr>
                <w:rFonts w:hint="eastAsia" w:ascii="宋体" w:hAnsi="宋体"/>
                <w:kern w:val="0"/>
                <w:sz w:val="20"/>
                <w:szCs w:val="20"/>
                <w:lang w:bidi="ar"/>
              </w:rPr>
              <w:t>%</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9</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rPr>
            </w:pPr>
            <w:r>
              <w:rPr>
                <w:rFonts w:hint="eastAsia" w:ascii="宋体" w:hAnsi="宋体"/>
                <w:kern w:val="0"/>
                <w:sz w:val="20"/>
                <w:szCs w:val="20"/>
                <w:lang w:val="en-US" w:eastAsia="zh-CN" w:bidi="ar"/>
              </w:rPr>
              <w:t>9</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时效指标（6分）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补助资金发放及时率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90</w:t>
            </w:r>
            <w:r>
              <w:rPr>
                <w:rFonts w:hint="eastAsia" w:ascii="宋体" w:hAnsi="宋体"/>
                <w:kern w:val="0"/>
                <w:sz w:val="20"/>
                <w:szCs w:val="20"/>
                <w:lang w:bidi="ar"/>
              </w:rPr>
              <w:t>%</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项目实际完成时间与计划完成时间的比较，用以反映和考核项目产出时效目标的实现程度。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补助资金在规定时间内发放的，得满分；否则按照未及时发放的资金占补助资金总额的比例乘以指标权重分值扣分。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2022年12月之前完成</w:t>
            </w:r>
            <w:r>
              <w:rPr>
                <w:rFonts w:hint="eastAsia" w:ascii="宋体" w:hAnsi="宋体"/>
                <w:kern w:val="0"/>
                <w:sz w:val="20"/>
                <w:szCs w:val="20"/>
                <w:lang w:eastAsia="zh-CN"/>
              </w:rPr>
              <w:t>各类补助资金的发放。</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rPr>
              <w:t>100%</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top w:val="nil"/>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办公经费支付及时率</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w:t>
            </w:r>
            <w:r>
              <w:rPr>
                <w:rFonts w:hint="eastAsia" w:ascii="宋体" w:hAnsi="宋体"/>
                <w:kern w:val="0"/>
                <w:sz w:val="20"/>
                <w:szCs w:val="20"/>
                <w:lang w:val="en-US" w:eastAsia="zh-CN" w:bidi="ar"/>
              </w:rPr>
              <w:t>90</w:t>
            </w:r>
            <w:r>
              <w:rPr>
                <w:rFonts w:hint="eastAsia" w:ascii="宋体" w:hAnsi="宋体"/>
                <w:kern w:val="0"/>
                <w:sz w:val="20"/>
                <w:szCs w:val="20"/>
                <w:lang w:bidi="ar"/>
              </w:rPr>
              <w:t>%</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lang w:bidi="ar"/>
              </w:rPr>
              <w:t>项目实际完成时间与计划完成时间的比较，用以反映和考核项目产出时效目标的实现程度。</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rPr>
            </w:pPr>
            <w:r>
              <w:rPr>
                <w:rFonts w:hint="eastAsia" w:ascii="宋体" w:hAnsi="宋体"/>
                <w:kern w:val="0"/>
                <w:sz w:val="20"/>
                <w:szCs w:val="20"/>
              </w:rPr>
              <w:t>办公经费</w:t>
            </w:r>
            <w:r>
              <w:rPr>
                <w:rFonts w:hint="eastAsia" w:ascii="宋体" w:hAnsi="宋体"/>
                <w:kern w:val="0"/>
                <w:sz w:val="20"/>
                <w:szCs w:val="20"/>
                <w:lang w:bidi="ar"/>
              </w:rPr>
              <w:t>在规定时间内</w:t>
            </w:r>
            <w:r>
              <w:rPr>
                <w:rFonts w:hint="eastAsia" w:ascii="宋体" w:hAnsi="宋体"/>
                <w:kern w:val="0"/>
                <w:sz w:val="20"/>
                <w:szCs w:val="20"/>
                <w:lang w:eastAsia="zh-CN" w:bidi="ar"/>
              </w:rPr>
              <w:t>支付</w:t>
            </w:r>
            <w:r>
              <w:rPr>
                <w:rFonts w:hint="eastAsia" w:ascii="宋体" w:hAnsi="宋体"/>
                <w:kern w:val="0"/>
                <w:sz w:val="20"/>
                <w:szCs w:val="20"/>
                <w:lang w:bidi="ar"/>
              </w:rPr>
              <w:t>的，得满分；否则按照未及时</w:t>
            </w:r>
            <w:r>
              <w:rPr>
                <w:rFonts w:hint="eastAsia" w:ascii="宋体" w:hAnsi="宋体"/>
                <w:kern w:val="0"/>
                <w:sz w:val="20"/>
                <w:szCs w:val="20"/>
                <w:lang w:eastAsia="zh-CN" w:bidi="ar"/>
              </w:rPr>
              <w:t>支付</w:t>
            </w:r>
            <w:r>
              <w:rPr>
                <w:rFonts w:hint="eastAsia" w:ascii="宋体" w:hAnsi="宋体"/>
                <w:kern w:val="0"/>
                <w:sz w:val="20"/>
                <w:szCs w:val="20"/>
                <w:lang w:bidi="ar"/>
              </w:rPr>
              <w:t>的资金占补助资金总额的比例乘以指标权重分值扣分。</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经对项目相关资料进行审核，</w:t>
            </w:r>
            <w:r>
              <w:rPr>
                <w:rFonts w:hint="eastAsia" w:ascii="宋体" w:hAnsi="宋体"/>
                <w:kern w:val="0"/>
                <w:sz w:val="20"/>
                <w:szCs w:val="20"/>
              </w:rPr>
              <w:t>资金</w:t>
            </w:r>
            <w:r>
              <w:rPr>
                <w:rFonts w:hint="eastAsia" w:ascii="宋体" w:hAnsi="宋体"/>
                <w:kern w:val="0"/>
                <w:sz w:val="20"/>
                <w:szCs w:val="20"/>
                <w:lang w:eastAsia="zh-CN"/>
              </w:rPr>
              <w:t>支付</w:t>
            </w:r>
            <w:r>
              <w:rPr>
                <w:rFonts w:hint="eastAsia" w:ascii="宋体" w:hAnsi="宋体"/>
                <w:kern w:val="0"/>
                <w:sz w:val="20"/>
                <w:szCs w:val="20"/>
              </w:rPr>
              <w:t>均能按照规定时间进行，发放及时率为</w:t>
            </w:r>
            <w:r>
              <w:rPr>
                <w:rFonts w:hint="eastAsia" w:ascii="宋体" w:hAnsi="宋体"/>
                <w:kern w:val="0"/>
                <w:sz w:val="20"/>
                <w:szCs w:val="20"/>
                <w:lang w:val="en-US" w:eastAsia="zh-CN"/>
              </w:rPr>
              <w:t>98.6</w:t>
            </w:r>
            <w:r>
              <w:rPr>
                <w:rFonts w:hint="eastAsia" w:ascii="宋体" w:hAnsi="宋体"/>
                <w:kern w:val="0"/>
                <w:sz w:val="20"/>
                <w:szCs w:val="20"/>
              </w:rPr>
              <w:t>%。</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rPr>
            </w:pPr>
            <w:r>
              <w:rPr>
                <w:rFonts w:hint="eastAsia" w:ascii="宋体" w:hAnsi="宋体"/>
                <w:kern w:val="0"/>
                <w:sz w:val="20"/>
                <w:szCs w:val="20"/>
                <w:lang w:val="en-US" w:eastAsia="zh-CN" w:bidi="ar"/>
              </w:rPr>
              <w:t>98.6</w:t>
            </w:r>
            <w:r>
              <w:rPr>
                <w:rFonts w:hint="eastAsia" w:ascii="宋体" w:hAnsi="宋体"/>
                <w:kern w:val="0"/>
                <w:sz w:val="20"/>
                <w:szCs w:val="20"/>
                <w:lang w:bidi="ar"/>
              </w:rPr>
              <w:t>%</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ascii="宋体" w:hAnsi="宋体"/>
                <w:kern w:val="0"/>
                <w:sz w:val="20"/>
                <w:szCs w:val="20"/>
              </w:rPr>
            </w:pPr>
            <w:r>
              <w:rPr>
                <w:rFonts w:hint="eastAsia" w:ascii="宋体" w:hAnsi="宋体"/>
                <w:kern w:val="0"/>
                <w:sz w:val="20"/>
                <w:szCs w:val="20"/>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ascii="宋体" w:hAnsi="宋体"/>
                <w:kern w:val="0"/>
                <w:sz w:val="20"/>
                <w:szCs w:val="20"/>
              </w:rPr>
            </w:pPr>
            <w:r>
              <w:rPr>
                <w:rFonts w:hint="eastAsia" w:ascii="宋体" w:hAnsi="宋体"/>
                <w:kern w:val="0"/>
                <w:sz w:val="20"/>
                <w:szCs w:val="20"/>
                <w:lang w:bidi="ar"/>
              </w:rPr>
              <w:t>3</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restart"/>
            <w:tcBorders>
              <w:top w:val="nil"/>
              <w:left w:val="nil"/>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成本指标（</w:t>
            </w:r>
            <w:r>
              <w:rPr>
                <w:rFonts w:ascii="宋体" w:hAnsi="宋体"/>
                <w:kern w:val="0"/>
                <w:sz w:val="20"/>
                <w:szCs w:val="20"/>
              </w:rPr>
              <w:t>7</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离退休干部慰问经费</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default" w:ascii="宋体" w:hAnsi="宋体" w:eastAsia="宋体"/>
                <w:kern w:val="0"/>
                <w:sz w:val="20"/>
                <w:szCs w:val="20"/>
                <w:highlight w:val="yellow"/>
                <w:lang w:val="en-US" w:eastAsia="zh-CN"/>
              </w:rPr>
            </w:pPr>
            <w:r>
              <w:rPr>
                <w:rFonts w:hint="eastAsia" w:ascii="宋体" w:hAnsi="宋体"/>
                <w:kern w:val="0"/>
                <w:sz w:val="20"/>
                <w:szCs w:val="20"/>
                <w:highlight w:val="none"/>
                <w:lang w:val="en-US" w:eastAsia="zh-CN"/>
              </w:rPr>
              <w:t>≤5万元</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highlight w:val="yellow"/>
              </w:rPr>
            </w:pPr>
            <w:r>
              <w:rPr>
                <w:rFonts w:hint="eastAsia" w:ascii="宋体" w:hAnsi="宋体"/>
                <w:kern w:val="0"/>
                <w:sz w:val="20"/>
                <w:szCs w:val="20"/>
                <w:highlight w:val="none"/>
                <w:lang w:bidi="ar"/>
              </w:rPr>
              <w:t>完成项目计划工作目标的成本与计划成本的比率，用以反映和考核项目的成本节约程度。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vAlign w:val="center"/>
          </w:tcPr>
          <w:p>
            <w:pPr>
              <w:keepNext w:val="0"/>
              <w:keepLines w:val="0"/>
              <w:widowControl/>
              <w:suppressLineNumbers w:val="0"/>
              <w:jc w:val="left"/>
              <w:rPr>
                <w:rFonts w:hint="eastAsia" w:eastAsia="宋体"/>
                <w:highlight w:val="none"/>
                <w:lang w:eastAsia="zh-CN"/>
              </w:rPr>
            </w:pPr>
            <w:r>
              <w:rPr>
                <w:rFonts w:hint="eastAsia" w:ascii="宋体" w:hAnsi="宋体"/>
                <w:kern w:val="0"/>
                <w:sz w:val="20"/>
                <w:szCs w:val="20"/>
                <w:highlight w:val="none"/>
              </w:rPr>
              <w:t>得分=实际完成值/年度指标值×权重。</w:t>
            </w:r>
            <w:r>
              <w:rPr>
                <w:rFonts w:hint="eastAsia" w:ascii="宋体" w:hAnsi="宋体"/>
                <w:kern w:val="0"/>
                <w:sz w:val="20"/>
                <w:szCs w:val="20"/>
                <w:highlight w:val="none"/>
                <w:lang w:eastAsia="zh-CN"/>
              </w:rPr>
              <w:t>实际成本：如期、保质保量完成既定工作目标实际所耗费的支出。</w:t>
            </w:r>
          </w:p>
          <w:p>
            <w:pPr>
              <w:widowControl/>
              <w:jc w:val="left"/>
              <w:textAlignment w:val="center"/>
              <w:rPr>
                <w:rFonts w:ascii="宋体" w:hAnsi="宋体"/>
                <w:kern w:val="0"/>
                <w:sz w:val="20"/>
                <w:szCs w:val="20"/>
                <w:highlight w:val="yellow"/>
              </w:rPr>
            </w:pP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default" w:ascii="宋体" w:hAnsi="宋体" w:eastAsia="宋体"/>
                <w:kern w:val="0"/>
                <w:sz w:val="20"/>
                <w:szCs w:val="20"/>
                <w:highlight w:val="yellow"/>
                <w:lang w:val="en-US" w:eastAsia="zh-CN"/>
              </w:rPr>
            </w:pPr>
            <w:r>
              <w:rPr>
                <w:rFonts w:hint="eastAsia" w:ascii="宋体" w:hAnsi="宋体"/>
                <w:kern w:val="0"/>
                <w:sz w:val="20"/>
                <w:szCs w:val="20"/>
              </w:rPr>
              <w:t>根据完成量评定得分；</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hint="eastAsia" w:ascii="宋体" w:hAnsi="宋体" w:eastAsia="仿宋_GB2312"/>
                <w:kern w:val="0"/>
                <w:sz w:val="20"/>
                <w:szCs w:val="20"/>
                <w:highlight w:val="yellow"/>
                <w:lang w:eastAsia="zh-CN"/>
              </w:rPr>
            </w:pPr>
            <w:r>
              <w:rPr>
                <w:rFonts w:hint="eastAsia" w:ascii="宋体" w:hAnsi="宋体"/>
                <w:kern w:val="0"/>
                <w:sz w:val="20"/>
                <w:szCs w:val="20"/>
                <w:highlight w:val="none"/>
                <w:lang w:val="en-US" w:eastAsia="zh-CN"/>
              </w:rPr>
              <w:t>4.5万元</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val="en-US" w:eastAsia="zh-CN"/>
              </w:rPr>
            </w:pPr>
            <w:r>
              <w:rPr>
                <w:rFonts w:hint="eastAsia" w:ascii="宋体" w:hAnsi="宋体"/>
                <w:kern w:val="0"/>
                <w:sz w:val="20"/>
                <w:szCs w:val="20"/>
                <w:lang w:val="en-US" w:eastAsia="zh-CN"/>
              </w:rPr>
              <w:t>1</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val="en-US" w:eastAsia="zh-CN"/>
              </w:rPr>
            </w:pPr>
            <w:r>
              <w:rPr>
                <w:rFonts w:hint="eastAsia" w:ascii="宋体" w:hAnsi="宋体"/>
                <w:kern w:val="0"/>
                <w:sz w:val="20"/>
                <w:szCs w:val="20"/>
                <w:lang w:val="en-US" w:eastAsia="zh-CN"/>
              </w:rPr>
              <w:t>0.9</w:t>
            </w:r>
          </w:p>
        </w:tc>
      </w:tr>
      <w:tr>
        <w:tblPrEx>
          <w:tblLayout w:type="fixed"/>
          <w:tblCellMar>
            <w:top w:w="0" w:type="dxa"/>
            <w:left w:w="108" w:type="dxa"/>
            <w:bottom w:w="0" w:type="dxa"/>
            <w:right w:w="108" w:type="dxa"/>
          </w:tblCellMar>
        </w:tblPrEx>
        <w:trPr>
          <w:trHeight w:val="397" w:hRule="atLeast"/>
        </w:trPr>
        <w:tc>
          <w:tcPr>
            <w:tcW w:w="1198" w:type="dxa"/>
            <w:vMerge w:val="restart"/>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hint="eastAsia"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kern w:val="0"/>
                <w:sz w:val="20"/>
                <w:szCs w:val="20"/>
              </w:rPr>
            </w:pPr>
            <w:r>
              <w:rPr>
                <w:rFonts w:hint="eastAsia" w:ascii="宋体" w:hAnsi="宋体"/>
                <w:kern w:val="0"/>
                <w:sz w:val="20"/>
                <w:szCs w:val="20"/>
              </w:rPr>
              <w:t>驻村工作人员经费</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kern w:val="0"/>
                <w:sz w:val="20"/>
                <w:szCs w:val="20"/>
                <w:highlight w:val="none"/>
                <w:lang w:val="en-US" w:eastAsia="zh-CN"/>
              </w:rPr>
            </w:pPr>
            <w:r>
              <w:rPr>
                <w:rFonts w:hint="eastAsia" w:ascii="宋体" w:hAnsi="宋体"/>
                <w:kern w:val="0"/>
                <w:sz w:val="20"/>
                <w:szCs w:val="20"/>
                <w:highlight w:val="none"/>
                <w:lang w:val="en-US" w:eastAsia="zh-CN"/>
              </w:rPr>
              <w:t>≤119.64万元</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hint="eastAsia" w:ascii="宋体" w:hAnsi="宋体"/>
                <w:kern w:val="0"/>
                <w:sz w:val="20"/>
                <w:szCs w:val="20"/>
                <w:highlight w:val="none"/>
                <w:lang w:bidi="ar"/>
              </w:rPr>
            </w:pPr>
            <w:r>
              <w:rPr>
                <w:rFonts w:hint="eastAsia" w:ascii="宋体" w:hAnsi="宋体"/>
                <w:kern w:val="0"/>
                <w:sz w:val="20"/>
                <w:szCs w:val="20"/>
                <w:highlight w:val="none"/>
                <w:lang w:bidi="ar"/>
              </w:rPr>
              <w:t>完成项目计划工作目标的成本与计划成本的比率，用以反映和考核项目的成本节约程度。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keepNext w:val="0"/>
              <w:keepLines w:val="0"/>
              <w:widowControl/>
              <w:suppressLineNumbers w:val="0"/>
              <w:jc w:val="left"/>
              <w:rPr>
                <w:rFonts w:hint="eastAsia" w:eastAsia="宋体"/>
                <w:highlight w:val="none"/>
                <w:lang w:eastAsia="zh-CN"/>
              </w:rPr>
            </w:pPr>
            <w:r>
              <w:rPr>
                <w:rFonts w:hint="eastAsia" w:ascii="宋体" w:hAnsi="宋体"/>
                <w:kern w:val="0"/>
                <w:sz w:val="20"/>
                <w:szCs w:val="20"/>
                <w:highlight w:val="none"/>
              </w:rPr>
              <w:t>得分=实际完成值/年度指标值×权重。</w:t>
            </w:r>
            <w:r>
              <w:rPr>
                <w:rFonts w:hint="eastAsia" w:ascii="宋体" w:hAnsi="宋体"/>
                <w:kern w:val="0"/>
                <w:sz w:val="20"/>
                <w:szCs w:val="20"/>
                <w:highlight w:val="none"/>
                <w:lang w:eastAsia="zh-CN"/>
              </w:rPr>
              <w:t>实际成本：如期、保质保量完成既定工作目标实际所耗费的支出。</w:t>
            </w:r>
          </w:p>
          <w:p>
            <w:pPr>
              <w:widowControl/>
              <w:jc w:val="left"/>
              <w:textAlignment w:val="center"/>
              <w:rPr>
                <w:rFonts w:ascii="宋体" w:hAnsi="宋体"/>
                <w:kern w:val="0"/>
                <w:sz w:val="20"/>
                <w:szCs w:val="20"/>
                <w:highlight w:val="yellow"/>
              </w:rPr>
            </w:pP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kern w:val="0"/>
                <w:sz w:val="20"/>
                <w:szCs w:val="20"/>
                <w:lang w:eastAsia="zh-CN"/>
              </w:rPr>
            </w:pPr>
            <w:r>
              <w:rPr>
                <w:rFonts w:hint="eastAsia" w:ascii="宋体" w:hAnsi="宋体"/>
                <w:kern w:val="0"/>
                <w:sz w:val="20"/>
                <w:szCs w:val="20"/>
              </w:rPr>
              <w:t>根据完成量评定得分；</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hint="eastAsia" w:ascii="宋体" w:hAnsi="宋体"/>
                <w:kern w:val="0"/>
                <w:sz w:val="20"/>
                <w:szCs w:val="20"/>
                <w:highlight w:val="none"/>
              </w:rPr>
            </w:pPr>
            <w:r>
              <w:rPr>
                <w:rFonts w:hint="eastAsia" w:ascii="宋体" w:hAnsi="宋体"/>
                <w:kern w:val="0"/>
                <w:sz w:val="20"/>
                <w:szCs w:val="20"/>
                <w:highlight w:val="none"/>
              </w:rPr>
              <w:t>114.12万元</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val="en-US"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val="en-US" w:eastAsia="zh-CN"/>
              </w:rPr>
            </w:pPr>
            <w:r>
              <w:rPr>
                <w:rFonts w:hint="eastAsia" w:ascii="宋体" w:hAnsi="宋体"/>
                <w:kern w:val="0"/>
                <w:sz w:val="20"/>
                <w:szCs w:val="20"/>
                <w:lang w:val="en-US" w:eastAsia="zh-CN"/>
              </w:rPr>
              <w:t>2.86</w:t>
            </w:r>
          </w:p>
        </w:tc>
      </w:tr>
      <w:tr>
        <w:tblPrEx>
          <w:tblLayout w:type="fixed"/>
          <w:tblCellMar>
            <w:top w:w="0" w:type="dxa"/>
            <w:left w:w="108" w:type="dxa"/>
            <w:bottom w:w="0" w:type="dxa"/>
            <w:right w:w="108" w:type="dxa"/>
          </w:tblCellMar>
        </w:tblPrEx>
        <w:trPr>
          <w:trHeight w:val="397" w:hRule="atLeast"/>
        </w:trPr>
        <w:tc>
          <w:tcPr>
            <w:tcW w:w="1198" w:type="dxa"/>
            <w:vMerge w:val="continue"/>
            <w:tcBorders>
              <w:left w:val="single" w:color="auto" w:sz="4" w:space="0"/>
              <w:right w:val="single" w:color="auto" w:sz="4" w:space="0"/>
            </w:tcBorders>
            <w:vAlign w:val="center"/>
          </w:tcPr>
          <w:p>
            <w:pPr>
              <w:widowControl/>
              <w:jc w:val="left"/>
              <w:rPr>
                <w:rFonts w:ascii="宋体" w:hAnsi="宋体"/>
                <w:kern w:val="0"/>
                <w:sz w:val="20"/>
                <w:szCs w:val="20"/>
              </w:rPr>
            </w:pPr>
          </w:p>
        </w:tc>
        <w:tc>
          <w:tcPr>
            <w:tcW w:w="855" w:type="dxa"/>
            <w:vMerge w:val="continue"/>
            <w:tcBorders>
              <w:left w:val="nil"/>
              <w:right w:val="single" w:color="auto" w:sz="4" w:space="0"/>
            </w:tcBorders>
            <w:shd w:val="clear" w:color="000000" w:fill="FFFFFF"/>
            <w:vAlign w:val="center"/>
          </w:tcPr>
          <w:p>
            <w:pPr>
              <w:widowControl/>
              <w:jc w:val="center"/>
              <w:rPr>
                <w:rFonts w:hint="eastAsia" w:ascii="宋体" w:hAnsi="宋体"/>
                <w:kern w:val="0"/>
                <w:sz w:val="20"/>
                <w:szCs w:val="20"/>
              </w:rPr>
            </w:pP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kern w:val="0"/>
                <w:sz w:val="20"/>
                <w:szCs w:val="20"/>
              </w:rPr>
            </w:pPr>
            <w:r>
              <w:rPr>
                <w:rFonts w:hint="eastAsia" w:ascii="宋体" w:hAnsi="宋体"/>
                <w:kern w:val="0"/>
                <w:sz w:val="20"/>
                <w:szCs w:val="20"/>
              </w:rPr>
              <w:t>保障办公运转经费</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hint="eastAsia" w:ascii="宋体" w:hAnsi="宋体"/>
                <w:kern w:val="0"/>
                <w:sz w:val="20"/>
                <w:szCs w:val="20"/>
                <w:highlight w:val="none"/>
                <w:lang w:val="en-US" w:eastAsia="zh-CN"/>
              </w:rPr>
            </w:pPr>
            <w:r>
              <w:rPr>
                <w:rFonts w:hint="eastAsia" w:ascii="宋体" w:hAnsi="宋体"/>
                <w:kern w:val="0"/>
                <w:sz w:val="20"/>
                <w:szCs w:val="20"/>
                <w:highlight w:val="none"/>
                <w:lang w:val="en-US" w:eastAsia="zh-CN"/>
              </w:rPr>
              <w:t>≤197万元</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hint="eastAsia" w:ascii="宋体" w:hAnsi="宋体"/>
                <w:kern w:val="0"/>
                <w:sz w:val="20"/>
                <w:szCs w:val="20"/>
                <w:highlight w:val="none"/>
                <w:lang w:bidi="ar"/>
              </w:rPr>
            </w:pPr>
            <w:r>
              <w:rPr>
                <w:rFonts w:hint="eastAsia" w:ascii="宋体" w:hAnsi="宋体"/>
                <w:kern w:val="0"/>
                <w:sz w:val="20"/>
                <w:szCs w:val="20"/>
                <w:highlight w:val="none"/>
                <w:lang w:bidi="ar"/>
              </w:rPr>
              <w:t>完成项目计划工作目标的成本与计划成本的比率，用以反映和考核项目的成本节约程度。</w:t>
            </w:r>
          </w:p>
        </w:tc>
        <w:tc>
          <w:tcPr>
            <w:tcW w:w="2955" w:type="dxa"/>
            <w:tcBorders>
              <w:top w:val="nil"/>
              <w:left w:val="nil"/>
              <w:bottom w:val="single" w:color="auto" w:sz="4" w:space="0"/>
              <w:right w:val="single" w:color="auto" w:sz="4" w:space="0"/>
            </w:tcBorders>
            <w:shd w:val="clear" w:color="000000" w:fill="FFFFFF"/>
            <w:textDirection w:val="lrTb"/>
            <w:vAlign w:val="center"/>
          </w:tcPr>
          <w:p>
            <w:pPr>
              <w:keepNext w:val="0"/>
              <w:keepLines w:val="0"/>
              <w:widowControl/>
              <w:suppressLineNumbers w:val="0"/>
              <w:jc w:val="left"/>
              <w:rPr>
                <w:rFonts w:hint="eastAsia" w:eastAsia="宋体"/>
                <w:highlight w:val="none"/>
                <w:lang w:eastAsia="zh-CN"/>
              </w:rPr>
            </w:pPr>
            <w:r>
              <w:rPr>
                <w:rFonts w:hint="eastAsia" w:ascii="宋体" w:hAnsi="宋体"/>
                <w:kern w:val="0"/>
                <w:sz w:val="20"/>
                <w:szCs w:val="20"/>
                <w:highlight w:val="none"/>
              </w:rPr>
              <w:t>得分=实际完成值/年度指标值×权重。</w:t>
            </w:r>
            <w:r>
              <w:rPr>
                <w:rFonts w:hint="eastAsia" w:ascii="宋体" w:hAnsi="宋体"/>
                <w:kern w:val="0"/>
                <w:sz w:val="20"/>
                <w:szCs w:val="20"/>
                <w:highlight w:val="none"/>
                <w:lang w:eastAsia="zh-CN"/>
              </w:rPr>
              <w:t>实际成本：如期、保质保量完成既定工作目标实际所耗费的支出。</w:t>
            </w:r>
          </w:p>
          <w:p>
            <w:pPr>
              <w:widowControl/>
              <w:jc w:val="left"/>
              <w:textAlignment w:val="center"/>
              <w:rPr>
                <w:rFonts w:ascii="宋体" w:hAnsi="宋体"/>
                <w:kern w:val="0"/>
                <w:sz w:val="20"/>
                <w:szCs w:val="20"/>
                <w:highlight w:val="yellow"/>
              </w:rPr>
            </w:pP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hint="eastAsia" w:ascii="宋体" w:hAnsi="宋体"/>
                <w:kern w:val="0"/>
                <w:sz w:val="20"/>
                <w:szCs w:val="20"/>
                <w:lang w:eastAsia="zh-CN"/>
              </w:rPr>
            </w:pPr>
            <w:r>
              <w:rPr>
                <w:rFonts w:hint="eastAsia" w:ascii="宋体" w:hAnsi="宋体"/>
                <w:kern w:val="0"/>
                <w:sz w:val="20"/>
                <w:szCs w:val="20"/>
              </w:rPr>
              <w:t>根据完成量评定得分；</w:t>
            </w:r>
          </w:p>
        </w:tc>
        <w:tc>
          <w:tcPr>
            <w:tcW w:w="1110" w:type="dxa"/>
            <w:tcBorders>
              <w:top w:val="nil"/>
              <w:left w:val="nil"/>
              <w:bottom w:val="single" w:color="auto" w:sz="4" w:space="0"/>
              <w:right w:val="single" w:color="auto" w:sz="4" w:space="0"/>
            </w:tcBorders>
            <w:shd w:val="clear" w:color="000000" w:fill="FFFFFF"/>
            <w:vAlign w:val="center"/>
          </w:tcPr>
          <w:p>
            <w:pPr>
              <w:widowControl/>
              <w:textAlignment w:val="center"/>
              <w:rPr>
                <w:rFonts w:hint="eastAsia" w:ascii="宋体" w:hAnsi="宋体"/>
                <w:kern w:val="0"/>
                <w:sz w:val="20"/>
                <w:szCs w:val="20"/>
                <w:highlight w:val="none"/>
              </w:rPr>
            </w:pPr>
            <w:r>
              <w:rPr>
                <w:rFonts w:hint="eastAsia" w:ascii="宋体" w:hAnsi="宋体"/>
                <w:kern w:val="0"/>
                <w:sz w:val="20"/>
                <w:szCs w:val="20"/>
                <w:highlight w:val="none"/>
              </w:rPr>
              <w:t>194.80万元</w:t>
            </w:r>
          </w:p>
        </w:tc>
        <w:tc>
          <w:tcPr>
            <w:tcW w:w="825" w:type="dxa"/>
            <w:tcBorders>
              <w:top w:val="nil"/>
              <w:left w:val="nil"/>
              <w:bottom w:val="single" w:color="auto" w:sz="4" w:space="0"/>
              <w:right w:val="single" w:color="auto" w:sz="4" w:space="0"/>
            </w:tcBorders>
            <w:shd w:val="clear" w:color="auto" w:fill="auto"/>
            <w:vAlign w:val="center"/>
          </w:tcPr>
          <w:p>
            <w:pPr>
              <w:widowControl/>
              <w:jc w:val="center"/>
              <w:rPr>
                <w:rFonts w:hint="eastAsia" w:ascii="宋体" w:hAnsi="宋体" w:eastAsia="仿宋_GB2312"/>
                <w:kern w:val="0"/>
                <w:sz w:val="20"/>
                <w:szCs w:val="20"/>
                <w:lang w:val="en-US" w:eastAsia="zh-CN"/>
              </w:rPr>
            </w:pPr>
            <w:r>
              <w:rPr>
                <w:rFonts w:hint="eastAsia" w:ascii="宋体" w:hAnsi="宋体"/>
                <w:kern w:val="0"/>
                <w:sz w:val="20"/>
                <w:szCs w:val="20"/>
                <w:lang w:val="en-US" w:eastAsia="zh-CN"/>
              </w:rPr>
              <w:t>3</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val="en-US" w:eastAsia="zh-CN"/>
              </w:rPr>
            </w:pPr>
            <w:r>
              <w:rPr>
                <w:rFonts w:hint="eastAsia" w:ascii="宋体" w:hAnsi="宋体"/>
                <w:kern w:val="0"/>
                <w:sz w:val="20"/>
                <w:szCs w:val="20"/>
                <w:lang w:val="en-US" w:eastAsia="zh-CN"/>
              </w:rPr>
              <w:t>2.97</w:t>
            </w:r>
          </w:p>
        </w:tc>
      </w:tr>
      <w:tr>
        <w:tblPrEx>
          <w:tblLayout w:type="fixed"/>
          <w:tblCellMar>
            <w:top w:w="0" w:type="dxa"/>
            <w:left w:w="108" w:type="dxa"/>
            <w:bottom w:w="0" w:type="dxa"/>
            <w:right w:w="108" w:type="dxa"/>
          </w:tblCellMar>
        </w:tblPrEx>
        <w:trPr>
          <w:trHeight w:val="397" w:hRule="atLeast"/>
        </w:trPr>
        <w:tc>
          <w:tcPr>
            <w:tcW w:w="1198" w:type="dxa"/>
            <w:vMerge w:val="continue"/>
            <w:tcBorders>
              <w:top w:val="single" w:color="auto" w:sz="4" w:space="0"/>
              <w:left w:val="single" w:color="auto" w:sz="4" w:space="0"/>
              <w:bottom w:val="single" w:color="auto" w:sz="4" w:space="0"/>
              <w:right w:val="single" w:color="auto" w:sz="4" w:space="0"/>
            </w:tcBorders>
            <w:vAlign w:val="center"/>
          </w:tcPr>
          <w:p>
            <w:pPr>
              <w:widowControl/>
              <w:jc w:val="left"/>
              <w:rPr>
                <w:rFonts w:ascii="宋体" w:hAnsi="宋体"/>
                <w:kern w:val="0"/>
                <w:sz w:val="20"/>
                <w:szCs w:val="20"/>
              </w:rPr>
            </w:pPr>
          </w:p>
        </w:tc>
        <w:tc>
          <w:tcPr>
            <w:tcW w:w="855" w:type="dxa"/>
            <w:tcBorders>
              <w:top w:val="single" w:color="auto" w:sz="4" w:space="0"/>
              <w:left w:val="nil"/>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满意度指标（</w:t>
            </w:r>
            <w:r>
              <w:rPr>
                <w:rFonts w:hint="eastAsia" w:ascii="宋体" w:hAnsi="宋体"/>
                <w:kern w:val="0"/>
                <w:sz w:val="20"/>
                <w:szCs w:val="20"/>
                <w:lang w:val="en-US" w:eastAsia="zh-CN"/>
              </w:rPr>
              <w:t>20</w:t>
            </w:r>
            <w:r>
              <w:rPr>
                <w:rFonts w:hint="eastAsia" w:ascii="宋体" w:hAnsi="宋体"/>
                <w:kern w:val="0"/>
                <w:sz w:val="20"/>
                <w:szCs w:val="20"/>
              </w:rPr>
              <w:t>分）</w:t>
            </w:r>
          </w:p>
        </w:tc>
        <w:tc>
          <w:tcPr>
            <w:tcW w:w="842" w:type="dxa"/>
            <w:tcBorders>
              <w:top w:val="nil"/>
              <w:left w:val="nil"/>
              <w:bottom w:val="single" w:color="auto" w:sz="4" w:space="0"/>
              <w:right w:val="single" w:color="auto" w:sz="4" w:space="0"/>
            </w:tcBorders>
            <w:shd w:val="clear" w:color="000000" w:fill="FFFFFF"/>
            <w:vAlign w:val="center"/>
          </w:tcPr>
          <w:p>
            <w:pPr>
              <w:widowControl/>
              <w:jc w:val="center"/>
              <w:rPr>
                <w:rFonts w:ascii="宋体" w:hAnsi="宋体"/>
                <w:kern w:val="0"/>
                <w:sz w:val="20"/>
                <w:szCs w:val="20"/>
              </w:rPr>
            </w:pPr>
            <w:r>
              <w:rPr>
                <w:rFonts w:hint="eastAsia" w:ascii="宋体" w:hAnsi="宋体"/>
                <w:kern w:val="0"/>
                <w:sz w:val="20"/>
                <w:szCs w:val="20"/>
              </w:rPr>
              <w:t>自治区残疾人事业发展工作人员满意度</w:t>
            </w:r>
          </w:p>
        </w:tc>
        <w:tc>
          <w:tcPr>
            <w:tcW w:w="644" w:type="dxa"/>
            <w:tcBorders>
              <w:top w:val="nil"/>
              <w:left w:val="nil"/>
              <w:bottom w:val="single" w:color="auto" w:sz="4" w:space="0"/>
              <w:right w:val="single" w:color="auto" w:sz="4" w:space="0"/>
            </w:tcBorders>
            <w:shd w:val="clear" w:color="000000" w:fill="FFFFFF"/>
            <w:vAlign w:val="center"/>
          </w:tcPr>
          <w:p>
            <w:pPr>
              <w:widowControl/>
              <w:jc w:val="center"/>
              <w:textAlignment w:val="center"/>
              <w:rPr>
                <w:rStyle w:val="11"/>
                <w:rFonts w:hint="default"/>
                <w:color w:val="auto"/>
                <w:lang w:bidi="ar"/>
              </w:rPr>
            </w:pPr>
            <w:r>
              <w:rPr>
                <w:rStyle w:val="11"/>
                <w:rFonts w:hint="default"/>
                <w:color w:val="auto"/>
                <w:lang w:bidi="ar"/>
              </w:rPr>
              <w:t>≥</w:t>
            </w:r>
            <w:r>
              <w:rPr>
                <w:rStyle w:val="12"/>
                <w:rFonts w:hint="eastAsia" w:ascii="宋体" w:hAnsi="宋体" w:eastAsia="宋体" w:cs="宋体"/>
                <w:color w:val="auto"/>
                <w:lang w:val="en-US" w:eastAsia="zh-CN" w:bidi="ar"/>
              </w:rPr>
              <w:t>9</w:t>
            </w:r>
            <w:r>
              <w:rPr>
                <w:rStyle w:val="12"/>
                <w:rFonts w:hint="eastAsia" w:ascii="宋体" w:hAnsi="宋体" w:cs="宋体"/>
                <w:color w:val="auto"/>
                <w:lang w:bidi="ar"/>
              </w:rPr>
              <w:t>0%</w:t>
            </w:r>
          </w:p>
        </w:tc>
        <w:tc>
          <w:tcPr>
            <w:tcW w:w="1591"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项目实施服务对象的满意程度是否达到预期目标值</w:t>
            </w:r>
          </w:p>
        </w:tc>
        <w:tc>
          <w:tcPr>
            <w:tcW w:w="2955" w:type="dxa"/>
            <w:tcBorders>
              <w:top w:val="nil"/>
              <w:left w:val="nil"/>
              <w:bottom w:val="single" w:color="auto" w:sz="4" w:space="0"/>
              <w:right w:val="single" w:color="auto" w:sz="4" w:space="0"/>
            </w:tcBorders>
            <w:shd w:val="clear" w:color="000000" w:fill="FFFFFF"/>
            <w:vAlign w:val="center"/>
          </w:tcPr>
          <w:p>
            <w:pPr>
              <w:widowControl/>
              <w:jc w:val="left"/>
              <w:textAlignment w:val="center"/>
              <w:rPr>
                <w:rFonts w:ascii="宋体" w:hAnsi="宋体"/>
                <w:kern w:val="0"/>
                <w:sz w:val="20"/>
                <w:szCs w:val="20"/>
                <w:lang w:bidi="ar"/>
              </w:rPr>
            </w:pPr>
            <w:r>
              <w:rPr>
                <w:rFonts w:hint="eastAsia" w:ascii="宋体" w:hAnsi="宋体"/>
                <w:kern w:val="0"/>
                <w:sz w:val="20"/>
                <w:szCs w:val="20"/>
                <w:lang w:bidi="ar"/>
              </w:rPr>
              <w:t>满意度≥</w:t>
            </w:r>
            <w:r>
              <w:rPr>
                <w:rFonts w:hint="eastAsia" w:ascii="宋体" w:hAnsi="宋体"/>
                <w:kern w:val="0"/>
                <w:sz w:val="20"/>
                <w:szCs w:val="20"/>
                <w:lang w:val="en-US" w:eastAsia="zh-CN" w:bidi="ar"/>
              </w:rPr>
              <w:t>9</w:t>
            </w:r>
            <w:r>
              <w:rPr>
                <w:rFonts w:hint="eastAsia" w:ascii="宋体" w:hAnsi="宋体"/>
                <w:kern w:val="0"/>
                <w:sz w:val="20"/>
                <w:szCs w:val="20"/>
                <w:lang w:bidi="ar"/>
              </w:rPr>
              <w:t>0%的，得满分；满意度＜</w:t>
            </w:r>
            <w:r>
              <w:rPr>
                <w:rFonts w:hint="eastAsia" w:ascii="宋体" w:hAnsi="宋体"/>
                <w:kern w:val="0"/>
                <w:sz w:val="20"/>
                <w:szCs w:val="20"/>
                <w:lang w:val="en-US" w:eastAsia="zh-CN" w:bidi="ar"/>
              </w:rPr>
              <w:t>9</w:t>
            </w:r>
            <w:r>
              <w:rPr>
                <w:rFonts w:hint="eastAsia" w:ascii="宋体" w:hAnsi="宋体"/>
                <w:kern w:val="0"/>
                <w:sz w:val="20"/>
                <w:szCs w:val="20"/>
                <w:lang w:bidi="ar"/>
              </w:rPr>
              <w:t>0%的，每低于1%扣0.5分，1%以内的按比例扣分，扣完为止。</w:t>
            </w:r>
          </w:p>
        </w:tc>
        <w:tc>
          <w:tcPr>
            <w:tcW w:w="3180" w:type="dxa"/>
            <w:tcBorders>
              <w:top w:val="nil"/>
              <w:left w:val="nil"/>
              <w:bottom w:val="single" w:color="auto" w:sz="4" w:space="0"/>
              <w:right w:val="single" w:color="auto" w:sz="4" w:space="0"/>
            </w:tcBorders>
            <w:shd w:val="clear" w:color="000000" w:fill="FFFFFF"/>
            <w:vAlign w:val="center"/>
          </w:tcPr>
          <w:p>
            <w:pPr>
              <w:widowControl/>
              <w:jc w:val="left"/>
              <w:rPr>
                <w:rFonts w:ascii="宋体" w:hAnsi="宋体"/>
                <w:kern w:val="0"/>
                <w:sz w:val="20"/>
                <w:szCs w:val="20"/>
              </w:rPr>
            </w:pPr>
            <w:r>
              <w:rPr>
                <w:rFonts w:hint="eastAsia" w:ascii="宋体" w:hAnsi="宋体"/>
                <w:kern w:val="0"/>
                <w:sz w:val="20"/>
                <w:szCs w:val="20"/>
              </w:rPr>
              <w:t>根据自评表、工作总结等相关资料评定</w:t>
            </w:r>
          </w:p>
        </w:tc>
        <w:tc>
          <w:tcPr>
            <w:tcW w:w="1110" w:type="dxa"/>
            <w:tcBorders>
              <w:top w:val="nil"/>
              <w:left w:val="nil"/>
              <w:bottom w:val="single" w:color="auto" w:sz="4" w:space="0"/>
              <w:right w:val="single" w:color="auto" w:sz="4" w:space="0"/>
            </w:tcBorders>
            <w:shd w:val="clear" w:color="000000" w:fill="FFFFFF"/>
            <w:vAlign w:val="center"/>
          </w:tcPr>
          <w:p>
            <w:pPr>
              <w:widowControl/>
              <w:jc w:val="center"/>
              <w:textAlignment w:val="center"/>
              <w:rPr>
                <w:rFonts w:ascii="宋体" w:hAnsi="宋体"/>
                <w:kern w:val="0"/>
                <w:sz w:val="20"/>
                <w:szCs w:val="20"/>
                <w:lang w:bidi="ar"/>
              </w:rPr>
            </w:pPr>
            <w:r>
              <w:rPr>
                <w:rFonts w:hint="eastAsia" w:ascii="宋体" w:hAnsi="宋体"/>
                <w:kern w:val="0"/>
                <w:sz w:val="20"/>
                <w:szCs w:val="20"/>
                <w:lang w:val="en-US" w:eastAsia="zh-CN" w:bidi="ar"/>
              </w:rPr>
              <w:t>95</w:t>
            </w:r>
            <w:r>
              <w:rPr>
                <w:rFonts w:hint="eastAsia" w:ascii="宋体" w:hAnsi="宋体"/>
                <w:kern w:val="0"/>
                <w:sz w:val="20"/>
                <w:szCs w:val="20"/>
                <w:lang w:bidi="ar"/>
              </w:rPr>
              <w:t>%</w:t>
            </w:r>
          </w:p>
        </w:tc>
        <w:tc>
          <w:tcPr>
            <w:tcW w:w="825" w:type="dxa"/>
            <w:tcBorders>
              <w:top w:val="nil"/>
              <w:left w:val="nil"/>
              <w:bottom w:val="single" w:color="auto" w:sz="4" w:space="0"/>
              <w:right w:val="single" w:color="auto" w:sz="4" w:space="0"/>
            </w:tcBorders>
            <w:shd w:val="clear" w:color="000000" w:fill="FFFFFF"/>
            <w:vAlign w:val="center"/>
          </w:tcPr>
          <w:p>
            <w:pPr>
              <w:widowControl/>
              <w:jc w:val="center"/>
              <w:rPr>
                <w:rFonts w:hint="eastAsia" w:ascii="宋体" w:hAnsi="宋体" w:eastAsia="仿宋_GB2312"/>
                <w:kern w:val="0"/>
                <w:sz w:val="20"/>
                <w:szCs w:val="20"/>
                <w:lang w:eastAsia="zh-CN"/>
              </w:rPr>
            </w:pPr>
            <w:r>
              <w:rPr>
                <w:rFonts w:hint="eastAsia" w:ascii="宋体" w:hAnsi="宋体"/>
                <w:kern w:val="0"/>
                <w:sz w:val="20"/>
                <w:szCs w:val="20"/>
                <w:lang w:val="en-US" w:eastAsia="zh-CN"/>
              </w:rPr>
              <w:t>20</w:t>
            </w:r>
          </w:p>
        </w:tc>
        <w:tc>
          <w:tcPr>
            <w:tcW w:w="795" w:type="dxa"/>
            <w:tcBorders>
              <w:top w:val="nil"/>
              <w:left w:val="nil"/>
              <w:bottom w:val="single" w:color="auto" w:sz="4" w:space="0"/>
              <w:right w:val="single" w:color="auto" w:sz="4" w:space="0"/>
            </w:tcBorders>
            <w:shd w:val="clear" w:color="auto" w:fill="auto"/>
            <w:vAlign w:val="center"/>
          </w:tcPr>
          <w:p>
            <w:pPr>
              <w:widowControl/>
              <w:jc w:val="center"/>
              <w:textAlignment w:val="center"/>
              <w:rPr>
                <w:rFonts w:hint="eastAsia" w:ascii="宋体" w:hAnsi="宋体" w:eastAsia="仿宋_GB2312"/>
                <w:kern w:val="0"/>
                <w:sz w:val="20"/>
                <w:szCs w:val="20"/>
                <w:lang w:eastAsia="zh-CN" w:bidi="ar"/>
              </w:rPr>
            </w:pPr>
            <w:r>
              <w:rPr>
                <w:rFonts w:hint="eastAsia" w:ascii="宋体" w:hAnsi="宋体"/>
                <w:kern w:val="0"/>
                <w:sz w:val="20"/>
                <w:szCs w:val="20"/>
                <w:lang w:val="en-US" w:eastAsia="zh-CN" w:bidi="ar"/>
              </w:rPr>
              <w:t>20</w:t>
            </w:r>
          </w:p>
        </w:tc>
      </w:tr>
    </w:tbl>
    <w:p>
      <w:pPr>
        <w:pStyle w:val="2"/>
        <w:ind w:left="0" w:leftChars="0" w:firstLine="0" w:firstLineChars="0"/>
        <w:rPr>
          <w:rFonts w:hint="eastAsia"/>
          <w:lang w:eastAsia="zh-CN"/>
        </w:rPr>
      </w:pPr>
    </w:p>
    <w:sectPr>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86"/>
    <w:family w:val="decorative"/>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modern"/>
    <w:pitch w:val="default"/>
    <w:sig w:usb0="E00002FF" w:usb1="400004FF" w:usb2="00000000" w:usb3="00000000" w:csb0="2000019F" w:csb1="00000000"/>
  </w:font>
  <w:font w:name="Calibri">
    <w:panose1 w:val="020F0502020204030204"/>
    <w:charset w:val="00"/>
    <w:family w:val="decorative"/>
    <w:pitch w:val="default"/>
    <w:sig w:usb0="E00002FF" w:usb1="4000ACFF" w:usb2="00000001" w:usb3="00000000" w:csb0="2000019F" w:csb1="00000000"/>
  </w:font>
  <w:font w:name="Arial">
    <w:panose1 w:val="020B0604020202020204"/>
    <w:charset w:val="01"/>
    <w:family w:val="decorative"/>
    <w:pitch w:val="default"/>
    <w:sig w:usb0="E0002AFF" w:usb1="C0007843" w:usb2="00000009" w:usb3="00000000" w:csb0="400001FF" w:csb1="FFFF0000"/>
  </w:font>
  <w:font w:name="Courier New">
    <w:panose1 w:val="02070309020205020404"/>
    <w:charset w:val="01"/>
    <w:family w:val="swiss"/>
    <w:pitch w:val="default"/>
    <w:sig w:usb0="E0002AFF" w:usb1="C0007843" w:usb2="00000009" w:usb3="00000000" w:csb0="400001FF" w:csb1="FFFF0000"/>
  </w:font>
  <w:font w:name="Symbol">
    <w:panose1 w:val="05050102010706020507"/>
    <w:charset w:val="02"/>
    <w:family w:val="modern"/>
    <w:pitch w:val="default"/>
    <w:sig w:usb0="00000000" w:usb1="00000000" w:usb2="00000000" w:usb3="00000000" w:csb0="80000000" w:csb1="00000000"/>
  </w:font>
  <w:font w:name="Cambria">
    <w:panose1 w:val="02040503050406030204"/>
    <w:charset w:val="00"/>
    <w:family w:val="swiss"/>
    <w:pitch w:val="default"/>
    <w:sig w:usb0="E00002FF" w:usb1="400004FF" w:usb2="00000000" w:usb3="00000000" w:csb0="2000019F" w:csb1="00000000"/>
  </w:font>
  <w:font w:name="Calibri">
    <w:panose1 w:val="020F0502020204030204"/>
    <w:charset w:val="00"/>
    <w:family w:val="roman"/>
    <w:pitch w:val="default"/>
    <w:sig w:usb0="E00002FF" w:usb1="4000ACFF" w:usb2="00000001" w:usb3="00000000" w:csb0="2000019F" w:csb1="00000000"/>
  </w:font>
  <w:font w:name="Arial">
    <w:panose1 w:val="020B0604020202020204"/>
    <w:charset w:val="01"/>
    <w:family w:val="roman"/>
    <w:pitch w:val="default"/>
    <w:sig w:usb0="E0002AFF" w:usb1="C0007843" w:usb2="00000009" w:usb3="00000000" w:csb0="400001FF" w:csb1="FFFF0000"/>
  </w:font>
  <w:font w:name="Courier New">
    <w:panose1 w:val="02070309020205020404"/>
    <w:charset w:val="01"/>
    <w:family w:val="decorative"/>
    <w:pitch w:val="default"/>
    <w:sig w:usb0="E0002AFF" w:usb1="C0007843" w:usb2="00000009" w:usb3="00000000" w:csb0="400001FF" w:csb1="FFFF0000"/>
  </w:font>
  <w:font w:name="Symbol">
    <w:panose1 w:val="05050102010706020507"/>
    <w:charset w:val="02"/>
    <w:family w:val="swiss"/>
    <w:pitch w:val="default"/>
    <w:sig w:usb0="00000000" w:usb1="00000000" w:usb2="00000000" w:usb3="00000000" w:csb0="80000000" w:csb1="00000000"/>
  </w:font>
  <w:font w:name="Cambria">
    <w:panose1 w:val="02040503050406030204"/>
    <w:charset w:val="00"/>
    <w:family w:val="decorative"/>
    <w:pitch w:val="default"/>
    <w:sig w:usb0="E00002FF" w:usb1="400004FF" w:usb2="00000000" w:usb3="00000000" w:csb0="2000019F" w:csb1="00000000"/>
  </w:font>
  <w:font w:name="Calibri">
    <w:panose1 w:val="020F0502020204030204"/>
    <w:charset w:val="00"/>
    <w:family w:val="modern"/>
    <w:pitch w:val="default"/>
    <w:sig w:usb0="E00002FF" w:usb1="4000ACFF" w:usb2="00000001" w:usb3="00000000" w:csb0="2000019F" w:csb1="00000000"/>
  </w:font>
  <w:font w:name="Arial">
    <w:panose1 w:val="020B0604020202020204"/>
    <w:charset w:val="01"/>
    <w:family w:val="modern"/>
    <w:pitch w:val="default"/>
    <w:sig w:usb0="E0002AFF" w:usb1="C0007843" w:usb2="00000009" w:usb3="00000000" w:csb0="400001FF" w:csb1="FFFF0000"/>
  </w:font>
  <w:font w:name="Courier New">
    <w:panose1 w:val="02070309020205020404"/>
    <w:charset w:val="01"/>
    <w:family w:val="roman"/>
    <w:pitch w:val="default"/>
    <w:sig w:usb0="E0002AFF" w:usb1="C0007843" w:usb2="00000009" w:usb3="00000000" w:csb0="400001FF" w:csb1="FFFF0000"/>
  </w:font>
  <w:font w:name="Symbol">
    <w:panose1 w:val="05050102010706020507"/>
    <w:charset w:val="02"/>
    <w:family w:val="decorative"/>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Courier New">
    <w:panose1 w:val="02070309020205020404"/>
    <w:charset w:val="00"/>
    <w:family w:val="roman"/>
    <w:pitch w:val="default"/>
    <w:sig w:usb0="E0002AFF" w:usb1="C0007843" w:usb2="00000009" w:usb3="00000000" w:csb0="400001FF" w:csb1="FFFF0000"/>
  </w:font>
  <w:font w:name="MS Sans Serif">
    <w:altName w:val="Arial"/>
    <w:panose1 w:val="00000000000000000000"/>
    <w:charset w:val="00"/>
    <w:family w:val="modern"/>
    <w:pitch w:val="default"/>
    <w:sig w:usb0="00000000" w:usb1="00000000" w:usb2="00000000" w:usb3="00000000" w:csb0="00000001" w:csb1="00000000"/>
  </w:font>
  <w:font w:name="楷体">
    <w:panose1 w:val="02010609060101010101"/>
    <w:charset w:val="86"/>
    <w:family w:val="roman"/>
    <w:pitch w:val="default"/>
    <w:sig w:usb0="800002BF" w:usb1="38CF7CFA" w:usb2="00000016" w:usb3="00000000" w:csb0="00040001" w:csb1="00000000"/>
  </w:font>
  <w:font w:name="仿宋_GB2312">
    <w:altName w:val="仿宋"/>
    <w:panose1 w:val="00000000000000000000"/>
    <w:charset w:val="86"/>
    <w:family w:val="roman"/>
    <w:pitch w:val="default"/>
    <w:sig w:usb0="00000000" w:usb1="00000000" w:usb2="00000010" w:usb3="00000000" w:csb0="00040000" w:csb1="00000000"/>
  </w:font>
  <w:font w:name="仿宋">
    <w:panose1 w:val="02010609060101010101"/>
    <w:charset w:val="86"/>
    <w:family w:val="roma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仿宋_GB2312">
    <w:altName w:val="仿宋"/>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Arial">
    <w:panose1 w:val="020B0604020202020204"/>
    <w:charset w:val="00"/>
    <w:family w:val="auto"/>
    <w:pitch w:val="default"/>
    <w:sig w:usb0="E0002AFF" w:usb1="C0007843" w:usb2="00000009" w:usb3="00000000" w:csb0="400001FF" w:csb1="FFFF0000"/>
  </w:font>
  <w:font w:name="仿宋_GB2312">
    <w:altName w:val="仿宋"/>
    <w:panose1 w:val="02010609030101010101"/>
    <w:charset w:val="86"/>
    <w:family w:val="swiss"/>
    <w:pitch w:val="default"/>
    <w:sig w:usb0="00000000" w:usb1="00000000" w:usb2="00000000" w:usb3="00000000" w:csb0="00040000" w:csb1="00000000"/>
  </w:font>
  <w:font w:name="仿宋">
    <w:panose1 w:val="02010609060101010101"/>
    <w:charset w:val="86"/>
    <w:family w:val="swiss"/>
    <w:pitch w:val="default"/>
    <w:sig w:usb0="800002BF" w:usb1="38CF7CFA" w:usb2="00000016" w:usb3="00000000" w:csb0="00040001" w:csb1="00000000"/>
  </w:font>
  <w:font w:name="Courier New">
    <w:panose1 w:val="02070309020205020404"/>
    <w:charset w:val="00"/>
    <w:family w:val="modern"/>
    <w:pitch w:val="default"/>
    <w:sig w:usb0="E0002AFF" w:usb1="C0007843" w:usb2="00000009" w:usb3="00000000" w:csb0="400001FF" w:csb1="FFFF0000"/>
  </w:font>
  <w:font w:name="MS Sans Serif">
    <w:altName w:val="Arial"/>
    <w:panose1 w:val="00000000000000000000"/>
    <w:charset w:val="00"/>
    <w:family w:val="swiss"/>
    <w:pitch w:val="default"/>
    <w:sig w:usb0="00000000" w:usb1="00000000" w:usb2="00000000" w:usb3="00000000" w:csb0="00000001" w:csb1="00000000"/>
  </w:font>
  <w:font w:name="楷体">
    <w:panose1 w:val="02010609060101010101"/>
    <w:charset w:val="86"/>
    <w:family w:val="modern"/>
    <w:pitch w:val="default"/>
    <w:sig w:usb0="800002BF" w:usb1="38CF7CFA" w:usb2="00000016" w:usb3="00000000" w:csb0="00040001" w:csb1="00000000"/>
  </w:font>
  <w:font w:name="仿宋_GB2312">
    <w:altName w:val="仿宋"/>
    <w:panose1 w:val="02010609030101010101"/>
    <w:charset w:val="86"/>
    <w:family w:val="decorative"/>
    <w:pitch w:val="default"/>
    <w:sig w:usb0="00000000" w:usb1="00000000" w:usb2="00000000" w:usb3="00000000" w:csb0="00040000" w:csb1="00000000"/>
  </w:font>
  <w:font w:name="仿宋">
    <w:panose1 w:val="02010609060101010101"/>
    <w:charset w:val="86"/>
    <w:family w:val="decorative"/>
    <w:pitch w:val="default"/>
    <w:sig w:usb0="800002BF" w:usb1="38CF7CFA" w:usb2="00000016" w:usb3="00000000" w:csb0="00040001" w:csb1="00000000"/>
  </w:font>
  <w:font w:name="Courier New">
    <w:panose1 w:val="02070309020205020404"/>
    <w:charset w:val="00"/>
    <w:family w:val="swiss"/>
    <w:pitch w:val="default"/>
    <w:sig w:usb0="E0002AFF" w:usb1="C0007843" w:usb2="00000009" w:usb3="00000000" w:csb0="400001FF" w:csb1="FFFF0000"/>
  </w:font>
  <w:font w:name="MS Sans Serif">
    <w:altName w:val="Arial"/>
    <w:panose1 w:val="00000000000000000000"/>
    <w:charset w:val="00"/>
    <w:family w:val="decorative"/>
    <w:pitch w:val="default"/>
    <w:sig w:usb0="00000000" w:usb1="00000000" w:usb2="00000000" w:usb3="00000000" w:csb0="00000001" w:csb1="00000000"/>
  </w:font>
  <w:font w:name="楷体">
    <w:panose1 w:val="02010609060101010101"/>
    <w:charset w:val="86"/>
    <w:family w:val="swiss"/>
    <w:pitch w:val="default"/>
    <w:sig w:usb0="800002BF" w:usb1="38CF7CFA" w:usb2="00000016" w:usb3="00000000" w:csb0="00040001" w:csb1="00000000"/>
  </w:font>
  <w:font w:name="仿宋_GB2312">
    <w:altName w:val="仿宋"/>
    <w:panose1 w:val="02010609030101010101"/>
    <w:charset w:val="86"/>
    <w:family w:val="roman"/>
    <w:pitch w:val="default"/>
    <w:sig w:usb0="00000000" w:usb1="00000000" w:usb2="00000000" w:usb3="00000000" w:csb0="00040000" w:csb1="00000000"/>
  </w:font>
  <w:font w:name="Courier New">
    <w:panose1 w:val="02070309020205020404"/>
    <w:charset w:val="00"/>
    <w:family w:val="decorative"/>
    <w:pitch w:val="default"/>
    <w:sig w:usb0="E0002AFF" w:usb1="C0007843" w:usb2="00000009" w:usb3="00000000" w:csb0="400001FF" w:csb1="FFFF0000"/>
  </w:font>
  <w:font w:name="MS Sans Serif">
    <w:altName w:val="Arial"/>
    <w:panose1 w:val="00000000000000000000"/>
    <w:charset w:val="00"/>
    <w:family w:val="roman"/>
    <w:pitch w:val="default"/>
    <w:sig w:usb0="00000000" w:usb1="00000000" w:usb2="00000000" w:usb3="00000000" w:csb0="00000001" w:csb1="00000000"/>
  </w:font>
  <w:font w:name="楷体">
    <w:panose1 w:val="02010609060101010101"/>
    <w:charset w:val="86"/>
    <w:family w:val="decorative"/>
    <w:pitch w:val="default"/>
    <w:sig w:usb0="800002BF" w:usb1="38CF7CFA" w:usb2="00000016" w:usb3="00000000" w:csb0="00040001" w:csb1="00000000"/>
  </w:font>
  <w:font w:name="Arial">
    <w:panose1 w:val="020B0604020202020204"/>
    <w:charset w:val="00"/>
    <w:family w:val="modern"/>
    <w:pitch w:val="default"/>
    <w:sig w:usb0="E0002AFF" w:usb1="C0007843" w:usb2="00000009" w:usb3="00000000" w:csb0="400001FF" w:csb1="FFFF0000"/>
  </w:font>
  <w:font w:name="Arial">
    <w:panose1 w:val="020B0604020202020204"/>
    <w:charset w:val="00"/>
    <w:family w:val="swiss"/>
    <w:pitch w:val="default"/>
    <w:sig w:usb0="E0002AFF" w:usb1="C0007843" w:usb2="00000009" w:usb3="00000000" w:csb0="400001FF" w:csb1="FFFF0000"/>
  </w:font>
  <w:font w:name="Arial">
    <w:panose1 w:val="020B0604020202020204"/>
    <w:charset w:val="00"/>
    <w:family w:val="decorative"/>
    <w:pitch w:val="default"/>
    <w:sig w:usb0="E0002AFF" w:usb1="C0007843" w:usb2="00000009" w:usb3="00000000" w:csb0="400001FF" w:csb1="FFFF0000"/>
  </w:font>
  <w:font w:name="Arial">
    <w:panose1 w:val="020B0604020202020204"/>
    <w:charset w:val="00"/>
    <w:family w:val="roman"/>
    <w:pitch w:val="default"/>
    <w:sig w:usb0="E0002AFF" w:usb1="C0007843" w:usb2="00000009" w:usb3="00000000" w:csb0="400001FF" w:csb1="FFFF0000"/>
  </w:font>
  <w:font w:name="仿宋">
    <w:panose1 w:val="02010609060101010101"/>
    <w:charset w:val="86"/>
    <w:family w:val="auto"/>
    <w:pitch w:val="default"/>
    <w:sig w:usb0="800002BF" w:usb1="38CF7CFA" w:usb2="00000016" w:usb3="00000000" w:csb0="00040001" w:csb1="00000000"/>
  </w:font>
  <w:font w:name="仿宋">
    <w:panose1 w:val="02010609060101010101"/>
    <w:charset w:val="86"/>
    <w:family w:val="modern"/>
    <w:pitch w:val="default"/>
    <w:sig w:usb0="800002BF" w:usb1="38CF7CFA" w:usb2="00000016" w:usb3="00000000" w:csb0="00040001" w:csb1="00000000"/>
  </w:font>
  <w:font w:name="华文中宋">
    <w:altName w:val="宋体"/>
    <w:panose1 w:val="02010600040101010101"/>
    <w:charset w:val="86"/>
    <w:family w:val="auto"/>
    <w:pitch w:val="default"/>
    <w:sig w:usb0="00000000" w:usb1="00000000" w:usb2="00000000" w:usb3="00000000" w:csb0="0004009F" w:csb1="DFD70000"/>
  </w:font>
  <w:font w:name="FZXiaoBiaoSong-B05">
    <w:altName w:val="宋体"/>
    <w:panose1 w:val="03000509000000000000"/>
    <w:charset w:val="86"/>
    <w:family w:val="script"/>
    <w:pitch w:val="default"/>
    <w:sig w:usb0="00000000" w:usb1="00000000" w:usb2="00000000" w:usb3="00000000" w:csb0="00040000" w:csb1="00000000"/>
  </w:font>
  <w:font w:name="Gisha">
    <w:panose1 w:val="020B0502040204020203"/>
    <w:charset w:val="00"/>
    <w:family w:val="auto"/>
    <w:pitch w:val="default"/>
    <w:sig w:usb0="80000807" w:usb1="40000042" w:usb2="00000000" w:usb3="00000000" w:csb0="00000021" w:csb1="00000000"/>
  </w:font>
  <w:font w:name="JasmineUPC">
    <w:panose1 w:val="02020603050405020304"/>
    <w:charset w:val="00"/>
    <w:family w:val="auto"/>
    <w:pitch w:val="default"/>
    <w:sig w:usb0="01000007" w:usb1="00000002" w:usb2="00000000" w:usb3="00000000" w:csb0="00010001" w:csb1="00000000"/>
  </w:font>
  <w:font w:name="仿宋">
    <w:panose1 w:val="02010609060101010101"/>
    <w:charset w:val="86"/>
    <w:family w:val="decorative"/>
    <w:pitch w:val="default"/>
    <w:sig w:usb0="800002BF" w:usb1="38CF7CFA" w:usb2="00000016" w:usb3="00000000" w:csb0="00040001" w:csb1="00000000"/>
  </w:font>
  <w:font w:name="仿宋">
    <w:panose1 w:val="02010609060101010101"/>
    <w:charset w:val="86"/>
    <w:family w:val="swiss"/>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570507440">
    <w:nsid w:val="220140B0"/>
    <w:multiLevelType w:val="multilevel"/>
    <w:tmpl w:val="220140B0"/>
    <w:lvl w:ilvl="0" w:tentative="1">
      <w:start w:val="1"/>
      <w:numFmt w:val="decimal"/>
      <w:lvlText w:val="%1."/>
      <w:lvlJc w:val="left"/>
      <w:pPr>
        <w:ind w:left="1000" w:hanging="360"/>
      </w:pPr>
      <w:rPr>
        <w:rFonts w:hint="default"/>
      </w:rPr>
    </w:lvl>
    <w:lvl w:ilvl="1" w:tentative="1">
      <w:start w:val="1"/>
      <w:numFmt w:val="lowerLetter"/>
      <w:lvlText w:val="%2)"/>
      <w:lvlJc w:val="left"/>
      <w:pPr>
        <w:ind w:left="1520" w:hanging="440"/>
      </w:pPr>
    </w:lvl>
    <w:lvl w:ilvl="2" w:tentative="1">
      <w:start w:val="1"/>
      <w:numFmt w:val="lowerRoman"/>
      <w:lvlText w:val="%3."/>
      <w:lvlJc w:val="right"/>
      <w:pPr>
        <w:ind w:left="1960" w:hanging="440"/>
      </w:pPr>
    </w:lvl>
    <w:lvl w:ilvl="3" w:tentative="1">
      <w:start w:val="1"/>
      <w:numFmt w:val="decimal"/>
      <w:lvlText w:val="%4."/>
      <w:lvlJc w:val="left"/>
      <w:pPr>
        <w:ind w:left="2400" w:hanging="440"/>
      </w:pPr>
    </w:lvl>
    <w:lvl w:ilvl="4" w:tentative="1">
      <w:start w:val="1"/>
      <w:numFmt w:val="lowerLetter"/>
      <w:lvlText w:val="%5)"/>
      <w:lvlJc w:val="left"/>
      <w:pPr>
        <w:ind w:left="2840" w:hanging="440"/>
      </w:pPr>
    </w:lvl>
    <w:lvl w:ilvl="5" w:tentative="1">
      <w:start w:val="1"/>
      <w:numFmt w:val="lowerRoman"/>
      <w:lvlText w:val="%6."/>
      <w:lvlJc w:val="right"/>
      <w:pPr>
        <w:ind w:left="3280" w:hanging="440"/>
      </w:pPr>
    </w:lvl>
    <w:lvl w:ilvl="6" w:tentative="1">
      <w:start w:val="1"/>
      <w:numFmt w:val="decimal"/>
      <w:lvlText w:val="%7."/>
      <w:lvlJc w:val="left"/>
      <w:pPr>
        <w:ind w:left="3720" w:hanging="440"/>
      </w:pPr>
    </w:lvl>
    <w:lvl w:ilvl="7" w:tentative="1">
      <w:start w:val="1"/>
      <w:numFmt w:val="lowerLetter"/>
      <w:lvlText w:val="%8)"/>
      <w:lvlJc w:val="left"/>
      <w:pPr>
        <w:ind w:left="4160" w:hanging="440"/>
      </w:pPr>
    </w:lvl>
    <w:lvl w:ilvl="8" w:tentative="1">
      <w:start w:val="1"/>
      <w:numFmt w:val="lowerRoman"/>
      <w:lvlText w:val="%9."/>
      <w:lvlJc w:val="right"/>
      <w:pPr>
        <w:ind w:left="4600" w:hanging="440"/>
      </w:pPr>
    </w:lvl>
  </w:abstractNum>
  <w:abstractNum w:abstractNumId="2699066001">
    <w:nsid w:val="A0E07A91"/>
    <w:multiLevelType w:val="singleLevel"/>
    <w:tmpl w:val="A0E07A91"/>
    <w:lvl w:ilvl="0" w:tentative="1">
      <w:start w:val="1"/>
      <w:numFmt w:val="decimal"/>
      <w:lvlText w:val="%1."/>
      <w:lvlJc w:val="left"/>
      <w:pPr>
        <w:tabs>
          <w:tab w:val="left" w:pos="312"/>
        </w:tabs>
      </w:pPr>
    </w:lvl>
  </w:abstractNum>
  <w:abstractNum w:abstractNumId="3103643662">
    <w:nsid w:val="B8FDD80E"/>
    <w:multiLevelType w:val="singleLevel"/>
    <w:tmpl w:val="B8FDD80E"/>
    <w:lvl w:ilvl="0" w:tentative="1">
      <w:start w:val="2"/>
      <w:numFmt w:val="chineseCounting"/>
      <w:suff w:val="nothing"/>
      <w:lvlText w:val="（%1）"/>
      <w:lvlJc w:val="left"/>
      <w:rPr>
        <w:rFonts w:hint="eastAsia"/>
      </w:rPr>
    </w:lvl>
  </w:abstractNum>
  <w:abstractNum w:abstractNumId="3008591479">
    <w:nsid w:val="B3537677"/>
    <w:multiLevelType w:val="singleLevel"/>
    <w:tmpl w:val="B3537677"/>
    <w:lvl w:ilvl="0" w:tentative="1">
      <w:start w:val="3"/>
      <w:numFmt w:val="decimal"/>
      <w:suff w:val="nothing"/>
      <w:lvlText w:val="（%1）"/>
      <w:lvlJc w:val="left"/>
    </w:lvl>
  </w:abstractNum>
  <w:abstractNum w:abstractNumId="1716436306">
    <w:nsid w:val="664EBD52"/>
    <w:multiLevelType w:val="singleLevel"/>
    <w:tmpl w:val="664EBD52"/>
    <w:lvl w:ilvl="0" w:tentative="1">
      <w:start w:val="6"/>
      <w:numFmt w:val="chineseCounting"/>
      <w:suff w:val="nothing"/>
      <w:lvlText w:val="%1、"/>
      <w:lvlJc w:val="left"/>
    </w:lvl>
  </w:abstractNum>
  <w:num w:numId="1">
    <w:abstractNumId w:val="3103643662"/>
  </w:num>
  <w:num w:numId="2">
    <w:abstractNumId w:val="570507440"/>
  </w:num>
  <w:num w:numId="3">
    <w:abstractNumId w:val="2699066001"/>
  </w:num>
  <w:num w:numId="4">
    <w:abstractNumId w:val="3008591479"/>
  </w:num>
  <w:num w:numId="5">
    <w:abstractNumId w:val="171643630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2"/>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doNotExpandShiftReturn/>
    <w:adjustLineHeightInTable/>
    <w:doNotBreakWrappedTables/>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04622E1E"/>
    <w:rsid w:val="05665C6B"/>
    <w:rsid w:val="0654426F"/>
    <w:rsid w:val="0A9F717D"/>
    <w:rsid w:val="0C5145C5"/>
    <w:rsid w:val="0DE933E1"/>
    <w:rsid w:val="16150148"/>
    <w:rsid w:val="1744663C"/>
    <w:rsid w:val="1AF70C4B"/>
    <w:rsid w:val="1BB81089"/>
    <w:rsid w:val="1E7C1811"/>
    <w:rsid w:val="238E2E63"/>
    <w:rsid w:val="25C35001"/>
    <w:rsid w:val="28357004"/>
    <w:rsid w:val="2844761E"/>
    <w:rsid w:val="28726E69"/>
    <w:rsid w:val="29641C74"/>
    <w:rsid w:val="29E22543"/>
    <w:rsid w:val="2F64514D"/>
    <w:rsid w:val="2F9B5627"/>
    <w:rsid w:val="30351FA2"/>
    <w:rsid w:val="305C56E5"/>
    <w:rsid w:val="314630E4"/>
    <w:rsid w:val="33B17CDB"/>
    <w:rsid w:val="35281E46"/>
    <w:rsid w:val="3F87364A"/>
    <w:rsid w:val="3F8E0A56"/>
    <w:rsid w:val="426339F7"/>
    <w:rsid w:val="44551C28"/>
    <w:rsid w:val="45433AAF"/>
    <w:rsid w:val="4635213E"/>
    <w:rsid w:val="481F54E2"/>
    <w:rsid w:val="4B7E16EB"/>
    <w:rsid w:val="4C9011A8"/>
    <w:rsid w:val="4E154828"/>
    <w:rsid w:val="5060696B"/>
    <w:rsid w:val="514E2D70"/>
    <w:rsid w:val="540E06F6"/>
    <w:rsid w:val="56EB3FA6"/>
    <w:rsid w:val="58200B20"/>
    <w:rsid w:val="5A3F7C21"/>
    <w:rsid w:val="5E6721EE"/>
    <w:rsid w:val="5F0F7504"/>
    <w:rsid w:val="62277716"/>
    <w:rsid w:val="62731D94"/>
    <w:rsid w:val="633330CC"/>
    <w:rsid w:val="65422E2C"/>
    <w:rsid w:val="66724822"/>
    <w:rsid w:val="6937082E"/>
    <w:rsid w:val="6B375D75"/>
    <w:rsid w:val="6C065149"/>
    <w:rsid w:val="6E5A7B9C"/>
    <w:rsid w:val="6F9A0528"/>
    <w:rsid w:val="70340726"/>
    <w:rsid w:val="71D739BA"/>
    <w:rsid w:val="77B72A76"/>
    <w:rsid w:val="7B0E5FF1"/>
    <w:rsid w:val="7B14377D"/>
    <w:rsid w:val="7D4A591B"/>
  </w:rsid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仿宋_GB2312" w:cs="Times New Roman"/>
      <w:kern w:val="2"/>
      <w:sz w:val="30"/>
      <w:szCs w:val="24"/>
      <w:lang w:val="en-US" w:eastAsia="zh-CN" w:bidi="ar-SA"/>
    </w:rPr>
  </w:style>
  <w:style w:type="paragraph" w:styleId="3">
    <w:name w:val="heading 3"/>
    <w:basedOn w:val="1"/>
    <w:next w:val="1"/>
    <w:unhideWhenUsed/>
    <w:qFormat/>
    <w:uiPriority w:val="0"/>
    <w:pPr>
      <w:widowControl/>
      <w:spacing w:before="100" w:beforeAutospacing="1" w:after="100" w:afterAutospacing="1"/>
      <w:jc w:val="left"/>
      <w:outlineLvl w:val="2"/>
    </w:pPr>
    <w:rPr>
      <w:rFonts w:ascii="宋体" w:hAnsi="宋体" w:cs="宋体"/>
      <w:b/>
      <w:bCs/>
      <w:kern w:val="0"/>
      <w:sz w:val="27"/>
      <w:szCs w:val="27"/>
    </w:rPr>
  </w:style>
  <w:style w:type="character" w:default="1" w:styleId="9">
    <w:name w:val="Default Paragraph Font"/>
    <w:semiHidden/>
    <w:uiPriority w:val="0"/>
  </w:style>
  <w:style w:type="table" w:default="1" w:styleId="10">
    <w:name w:val="Normal Table"/>
    <w:semiHidden/>
    <w:uiPriority w:val="0"/>
    <w:tblPr>
      <w:tblLayout w:type="fixed"/>
      <w:tblCellMar>
        <w:top w:w="0" w:type="dxa"/>
        <w:left w:w="108" w:type="dxa"/>
        <w:bottom w:w="0" w:type="dxa"/>
        <w:right w:w="108" w:type="dxa"/>
      </w:tblCellMar>
    </w:tblPr>
  </w:style>
  <w:style w:type="paragraph" w:customStyle="1" w:styleId="2">
    <w:name w:val="4正文"/>
    <w:basedOn w:val="1"/>
    <w:qFormat/>
    <w:uiPriority w:val="0"/>
    <w:pPr>
      <w:snapToGrid w:val="0"/>
      <w:spacing w:line="360" w:lineRule="auto"/>
      <w:ind w:firstLine="200" w:firstLineChars="200"/>
    </w:pPr>
    <w:rPr>
      <w:sz w:val="20"/>
      <w:szCs w:val="20"/>
    </w:rPr>
  </w:style>
  <w:style w:type="paragraph" w:styleId="4">
    <w:name w:val="Normal Indent"/>
    <w:basedOn w:val="1"/>
    <w:uiPriority w:val="0"/>
    <w:pPr>
      <w:ind w:firstLine="420" w:firstLineChars="200"/>
    </w:pPr>
  </w:style>
  <w:style w:type="paragraph" w:styleId="5">
    <w:name w:val="Body Text"/>
    <w:basedOn w:val="1"/>
    <w:uiPriority w:val="0"/>
    <w:pPr>
      <w:spacing w:line="360" w:lineRule="auto"/>
      <w:jc w:val="center"/>
    </w:pPr>
    <w:rPr>
      <w:rFonts w:cs="宋体"/>
      <w:b/>
      <w:sz w:val="44"/>
      <w:szCs w:val="22"/>
    </w:rPr>
  </w:style>
  <w:style w:type="paragraph" w:styleId="6">
    <w:name w:val="Plain Text"/>
    <w:basedOn w:val="1"/>
    <w:uiPriority w:val="0"/>
    <w:rPr>
      <w:rFonts w:ascii="宋体" w:hAnsi="Courier New"/>
    </w:rPr>
  </w:style>
  <w:style w:type="paragraph" w:styleId="7">
    <w:name w:val="footnote text"/>
    <w:basedOn w:val="1"/>
    <w:uiPriority w:val="0"/>
    <w:pPr>
      <w:snapToGrid w:val="0"/>
      <w:jc w:val="left"/>
    </w:pPr>
    <w:rPr>
      <w:sz w:val="18"/>
      <w:szCs w:val="18"/>
    </w:rPr>
  </w:style>
  <w:style w:type="paragraph" w:styleId="8">
    <w:name w:val="Normal (Web)"/>
    <w:basedOn w:val="1"/>
    <w:uiPriority w:val="0"/>
    <w:pPr>
      <w:spacing w:before="0" w:beforeAutospacing="1" w:after="0" w:afterAutospacing="1"/>
      <w:ind w:left="0" w:right="0"/>
      <w:jc w:val="left"/>
    </w:pPr>
    <w:rPr>
      <w:kern w:val="0"/>
      <w:sz w:val="24"/>
      <w:lang w:val="en-US" w:eastAsia="zh-CN" w:bidi="ar"/>
    </w:rPr>
  </w:style>
  <w:style w:type="character" w:customStyle="1" w:styleId="11">
    <w:name w:val="font11"/>
    <w:basedOn w:val="9"/>
    <w:qFormat/>
    <w:uiPriority w:val="0"/>
    <w:rPr>
      <w:rFonts w:hint="eastAsia" w:ascii="宋体" w:hAnsi="宋体" w:eastAsia="宋体" w:cs="宋体"/>
      <w:color w:val="FF0000"/>
      <w:sz w:val="20"/>
      <w:szCs w:val="20"/>
      <w:u w:val="none"/>
    </w:rPr>
  </w:style>
  <w:style w:type="character" w:customStyle="1" w:styleId="12">
    <w:name w:val="font21"/>
    <w:basedOn w:val="9"/>
    <w:qFormat/>
    <w:uiPriority w:val="0"/>
    <w:rPr>
      <w:rFonts w:ascii="Calibri" w:hAnsi="Calibri" w:cs="Calibri"/>
      <w:color w:val="FF0000"/>
      <w:sz w:val="20"/>
      <w:szCs w:val="20"/>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Office_10.8.0.5391_F1E327BC-269C-435d-A152-05C5408002CA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pc-001</dc:creator>
  <cp:lastModifiedBy>pc-001</cp:lastModifiedBy>
  <dcterms:modified xsi:type="dcterms:W3CDTF">2024-05-23T05:03:59Z</dcterms:modified>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2052-10.8.0.5391</vt:lpwstr>
  </property>
</Properties>
</file>