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（2022年度）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900" w:firstLineChars="250"/>
        <w:jc w:val="left"/>
        <w:rPr>
          <w:rFonts w:cs="宋体" w:asciiTheme="majorEastAsia" w:hAnsiTheme="majorEastAsia" w:eastAsiaTheme="majorEastAsia"/>
          <w:kern w:val="0"/>
          <w:sz w:val="30"/>
          <w:szCs w:val="30"/>
        </w:rPr>
      </w:pPr>
      <w:r>
        <w:rPr>
          <w:rFonts w:hint="eastAsia" w:hAnsi="宋体" w:eastAsia="仿宋_GB2312" w:cs="宋体"/>
          <w:kern w:val="0"/>
          <w:sz w:val="36"/>
          <w:szCs w:val="36"/>
        </w:rPr>
        <w:t>项目名称：</w:t>
      </w:r>
      <w:r>
        <w:rPr>
          <w:rFonts w:hint="eastAsia" w:asciiTheme="majorEastAsia" w:hAnsiTheme="majorEastAsia" w:eastAsiaTheme="majorEastAsia"/>
          <w:color w:val="333333"/>
          <w:sz w:val="30"/>
          <w:szCs w:val="30"/>
          <w:shd w:val="clear" w:color="auto" w:fill="FFFFFF"/>
        </w:rPr>
        <w:t>2022年自治区残疾人事业</w:t>
      </w:r>
      <w:r>
        <w:rPr>
          <w:rFonts w:hint="eastAsia" w:asciiTheme="majorEastAsia" w:hAnsiTheme="majorEastAsia" w:eastAsiaTheme="majorEastAsia"/>
          <w:color w:val="333333"/>
          <w:sz w:val="30"/>
          <w:szCs w:val="30"/>
          <w:shd w:val="clear" w:color="auto" w:fill="FFFFFF"/>
          <w:lang w:eastAsia="zh-CN"/>
        </w:rPr>
        <w:t>综合性经费</w:t>
      </w:r>
      <w:r>
        <w:rPr>
          <w:rFonts w:hint="eastAsia" w:asciiTheme="majorEastAsia" w:hAnsiTheme="majorEastAsia" w:eastAsiaTheme="majorEastAsia"/>
          <w:color w:val="333333"/>
          <w:sz w:val="30"/>
          <w:szCs w:val="30"/>
          <w:shd w:val="clear" w:color="auto" w:fill="FFFFFF"/>
        </w:rPr>
        <w:t>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color w:val="333333"/>
          <w:sz w:val="24"/>
          <w:szCs w:val="24"/>
          <w:shd w:val="clear" w:color="auto" w:fill="FFFFFF"/>
        </w:rPr>
        <w:t>新疆维吾尔自治区残疾人</w:t>
      </w:r>
      <w:r>
        <w:rPr>
          <w:rFonts w:hint="eastAsia"/>
          <w:color w:val="333333"/>
          <w:sz w:val="24"/>
          <w:szCs w:val="24"/>
          <w:shd w:val="clear" w:color="auto" w:fill="FFFFFF"/>
          <w:lang w:eastAsia="zh-CN"/>
        </w:rPr>
        <w:t>联合会信息</w:t>
      </w:r>
      <w:r>
        <w:rPr>
          <w:rFonts w:hint="eastAsia"/>
          <w:color w:val="333333"/>
          <w:sz w:val="24"/>
          <w:szCs w:val="24"/>
          <w:shd w:val="clear" w:color="auto" w:fill="FFFFFF"/>
        </w:rPr>
        <w:t>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color w:val="333333"/>
          <w:sz w:val="24"/>
          <w:szCs w:val="24"/>
          <w:shd w:val="clear" w:color="auto" w:fill="FFFFFF"/>
        </w:rPr>
        <w:t>新疆维吾尔区残疾人联合会</w:t>
      </w:r>
    </w:p>
    <w:p>
      <w:pPr>
        <w:spacing w:line="540" w:lineRule="exact"/>
        <w:ind w:firstLine="900" w:firstLineChars="250"/>
        <w:rPr>
          <w:rFonts w:hint="eastAsia" w:eastAsia="仿宋_GB2312"/>
          <w:color w:val="333333"/>
          <w:sz w:val="28"/>
          <w:szCs w:val="28"/>
          <w:shd w:val="clear" w:color="auto" w:fill="FFFFFF"/>
          <w:lang w:eastAsia="zh-CN"/>
        </w:rPr>
      </w:pPr>
      <w:r>
        <w:rPr>
          <w:rFonts w:hint="eastAsia" w:hAnsi="宋体" w:eastAsia="仿宋_GB2312" w:cs="宋体"/>
          <w:kern w:val="0"/>
          <w:sz w:val="36"/>
          <w:szCs w:val="36"/>
        </w:rPr>
        <w:t>项目负责人（签章）：</w:t>
      </w:r>
      <w:r>
        <w:rPr>
          <w:rFonts w:hint="eastAsia" w:eastAsia="仿宋_GB2312"/>
          <w:color w:val="333333"/>
          <w:sz w:val="24"/>
          <w:szCs w:val="24"/>
          <w:shd w:val="clear" w:color="auto" w:fill="FFFFFF"/>
          <w:lang w:eastAsia="zh-CN"/>
        </w:rPr>
        <w:t>邓君华</w:t>
      </w:r>
    </w:p>
    <w:p>
      <w:pPr>
        <w:spacing w:line="540" w:lineRule="exact"/>
        <w:ind w:left="273" w:firstLine="567"/>
        <w:rPr>
          <w:rStyle w:val="22"/>
          <w:rFonts w:ascii="楷体" w:hAnsi="楷体" w:eastAsia="楷体"/>
          <w:spacing w:val="-4"/>
          <w:sz w:val="32"/>
          <w:szCs w:val="32"/>
        </w:rPr>
      </w:pPr>
      <w:r>
        <w:rPr>
          <w:rFonts w:hint="eastAsia" w:hAnsi="宋体" w:eastAsia="仿宋_GB2312" w:cs="宋体"/>
          <w:kern w:val="0"/>
          <w:sz w:val="36"/>
          <w:szCs w:val="36"/>
        </w:rPr>
        <w:t>填报时间：2023年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日</w:t>
      </w:r>
    </w:p>
    <w:p>
      <w:pPr>
        <w:spacing w:line="700" w:lineRule="exact"/>
        <w:ind w:firstLine="708" w:firstLineChars="236"/>
        <w:jc w:val="left"/>
        <w:rPr>
          <w:rFonts w:hAnsi="宋体" w:eastAsia="仿宋_GB2312" w:cs="宋体"/>
          <w:kern w:val="0"/>
          <w:sz w:val="30"/>
          <w:szCs w:val="30"/>
        </w:rPr>
      </w:pPr>
    </w:p>
    <w:p>
      <w:pPr>
        <w:spacing w:line="540" w:lineRule="exact"/>
        <w:rPr>
          <w:rStyle w:val="22"/>
          <w:rFonts w:ascii="黑体" w:hAnsi="黑体" w:eastAsia="黑体"/>
          <w:b w:val="0"/>
          <w:spacing w:val="-4"/>
          <w:sz w:val="32"/>
          <w:szCs w:val="32"/>
        </w:rPr>
      </w:pP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一、基本情况</w:t>
      </w:r>
    </w:p>
    <w:p>
      <w:pPr>
        <w:spacing w:line="540" w:lineRule="exact"/>
        <w:ind w:firstLine="567"/>
        <w:rPr>
          <w:rStyle w:val="22"/>
          <w:rFonts w:ascii="楷体" w:hAnsi="楷体" w:eastAsia="楷体"/>
          <w:spacing w:val="-4"/>
          <w:sz w:val="32"/>
          <w:szCs w:val="32"/>
        </w:rPr>
      </w:pPr>
      <w:r>
        <w:rPr>
          <w:rStyle w:val="22"/>
          <w:rFonts w:hint="eastAsia" w:ascii="楷体" w:hAnsi="楷体" w:eastAsia="楷体"/>
          <w:spacing w:val="-4"/>
          <w:sz w:val="32"/>
          <w:szCs w:val="32"/>
        </w:rPr>
        <w:t>（一）项目概况。包括项目背景、主要内容及实施情况、资金投入和使用情况等。</w:t>
      </w:r>
    </w:p>
    <w:p>
      <w:pPr>
        <w:ind w:firstLine="940" w:firstLineChars="300"/>
        <w:rPr>
          <w:rFonts w:hint="eastAsia" w:asciiTheme="minorEastAsia" w:hAnsiTheme="minorEastAsia" w:eastAsiaTheme="minorEastAsia"/>
          <w:sz w:val="32"/>
          <w:szCs w:val="32"/>
        </w:rPr>
      </w:pPr>
      <w:r>
        <w:rPr>
          <w:rStyle w:val="22"/>
          <w:rFonts w:hint="eastAsia" w:ascii="楷体" w:hAnsi="楷体" w:eastAsia="楷体"/>
          <w:spacing w:val="-4"/>
          <w:sz w:val="32"/>
          <w:szCs w:val="32"/>
        </w:rPr>
        <w:t>项目背景：</w:t>
      </w:r>
      <w:r>
        <w:rPr>
          <w:rFonts w:hint="eastAsia" w:asciiTheme="minorEastAsia" w:hAnsiTheme="minorEastAsia" w:eastAsiaTheme="minorEastAsia"/>
          <w:sz w:val="32"/>
          <w:szCs w:val="32"/>
          <w:lang w:val="en-US" w:eastAsia="zh-CN"/>
        </w:rPr>
        <w:t>自治区人民政府《新疆维吾尔自治区残疾人事业“十三五”发展规划》“加快提高残疾人事业信息化水平，加强对残疾人人口基础数据、服务状况和需求专项调查数据、残疾人事业统计数据、残疾人小康进程监测数据的综合管理和动态更新，建立与国家人口基础信息和相关政府部门数据资源交换共享机制”；自治区残联、发改委、财政厅《关于印发自治区残疾人事业信息化建设“十三五”实施方案的通知》“加强信息系统安全体系建设”；国务院办公厅关于印发政务信息系统整合共享实施方案的通知》（国办发〔2017〕39号）和自治区《关于推进新疆维吾尔自治区政务信息资源共享管理工作的实施意见》（新政发〔2017〕76号）等文件精神。</w:t>
      </w:r>
    </w:p>
    <w:p>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网络安全法》、《关于关键信息基础设施安全保护工作有关事项的通知》（网信委[2019]3号）和自治区残联、发展和改革委、财政厅等部门《关于印发自治区残疾人事业信息化建设“十三五”实施方案的通知》“加强信息系统安全体系建设”。</w:t>
      </w:r>
    </w:p>
    <w:p>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①考虑到当前的疫情形势，自治区残联与14个地州残联组织间需要定期频繁进行视频会议，以传达部署相关工作，在当前建设高清视频会议系统已是当务之急；</w:t>
      </w:r>
    </w:p>
    <w:p>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②运用“互联网+”思维建设视频会议系统，是做好疫情防控常态化背景下残疾人基本民生保障工作的重要手段，有利于指导基层残联开展好各项业务工作，加大对残疾人的帮扶救助力度。</w:t>
      </w:r>
    </w:p>
    <w:p>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lang w:val="en-US" w:eastAsia="zh-CN"/>
        </w:rPr>
        <w:t>③通过视频会议系统，可以在任意两个、多个点之间视频互通，进行工作协调，指导工作推进，满足自治区残联与各地州市残联随时进行交互式视频需要，以便加强实时沟通，提高沟通效率，降低差旅成本，提升整体执行力及响应速度。</w:t>
      </w:r>
    </w:p>
    <w:p>
      <w:pPr>
        <w:ind w:firstLine="960" w:firstLineChars="300"/>
        <w:rPr>
          <w:rFonts w:asciiTheme="minorEastAsia" w:hAnsiTheme="minorEastAsia" w:eastAsiaTheme="minorEastAsia"/>
          <w:spacing w:val="6"/>
          <w:sz w:val="32"/>
          <w:szCs w:val="32"/>
        </w:rPr>
      </w:pPr>
      <w:r>
        <w:rPr>
          <w:rFonts w:hint="eastAsia" w:asciiTheme="minorEastAsia" w:hAnsiTheme="minorEastAsia" w:eastAsiaTheme="minorEastAsia"/>
          <w:sz w:val="32"/>
          <w:szCs w:val="32"/>
          <w:lang w:val="en-US" w:eastAsia="zh-CN"/>
        </w:rPr>
        <w:t>关于印发《关于加快推进自治区政务信息系统迁移整令和密码应用安全性保护工作方案》的通知，新机传【2021】197号新机41063。</w:t>
      </w:r>
    </w:p>
    <w:p>
      <w:pPr>
        <w:spacing w:line="540" w:lineRule="exact"/>
        <w:ind w:firstLine="567"/>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2.主要内容及实施情况</w:t>
      </w:r>
    </w:p>
    <w:p>
      <w:pPr>
        <w:ind w:firstLine="960" w:firstLineChars="300"/>
        <w:rPr>
          <w:rFonts w:hint="eastAsia" w:cs="仿宋" w:asciiTheme="minorEastAsia" w:hAnsiTheme="minorEastAsia" w:eastAsiaTheme="minorEastAsia"/>
          <w:sz w:val="32"/>
          <w:szCs w:val="32"/>
        </w:rPr>
      </w:pPr>
      <w:r>
        <w:rPr>
          <w:rFonts w:hint="eastAsia" w:asciiTheme="minorEastAsia" w:hAnsiTheme="minorEastAsia" w:eastAsiaTheme="minorEastAsia"/>
          <w:sz w:val="32"/>
          <w:szCs w:val="32"/>
        </w:rPr>
        <w:t>2022年自治区残疾人事业</w:t>
      </w:r>
      <w:r>
        <w:rPr>
          <w:rFonts w:hint="eastAsia" w:asciiTheme="minorEastAsia" w:hAnsiTheme="minorEastAsia" w:eastAsiaTheme="minorEastAsia"/>
          <w:sz w:val="32"/>
          <w:szCs w:val="32"/>
          <w:lang w:eastAsia="zh-CN"/>
        </w:rPr>
        <w:t>综合性经费</w:t>
      </w:r>
      <w:r>
        <w:rPr>
          <w:rFonts w:hint="eastAsia" w:asciiTheme="minorEastAsia" w:hAnsiTheme="minorEastAsia" w:eastAsiaTheme="minorEastAsia"/>
          <w:sz w:val="32"/>
          <w:szCs w:val="32"/>
          <w:lang w:val="en-US" w:eastAsia="zh-CN"/>
        </w:rPr>
        <w:t>90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，其中一般公共预算</w:t>
      </w:r>
      <w:r>
        <w:rPr>
          <w:rFonts w:hint="eastAsia" w:asciiTheme="minorEastAsia" w:hAnsiTheme="minorEastAsia" w:eastAsiaTheme="minorEastAsia"/>
          <w:sz w:val="32"/>
          <w:szCs w:val="32"/>
          <w:lang w:val="en-US" w:eastAsia="zh-CN"/>
        </w:rPr>
        <w:t>90万元。</w:t>
      </w:r>
      <w:r>
        <w:rPr>
          <w:rFonts w:hint="eastAsia" w:asciiTheme="minorEastAsia" w:hAnsiTheme="minorEastAsia" w:eastAsiaTheme="minorEastAsia"/>
          <w:sz w:val="32"/>
          <w:szCs w:val="32"/>
          <w:lang w:eastAsia="zh-CN"/>
        </w:rPr>
        <w:t>①做好自治区残联门户网站；②新疆残疾人人口综合管理服务平台的运行维护，保证网站和平台正常使用；③对地州市残联统计人员进行培训，提高残疾人事业统计数据的质量；</w:t>
      </w:r>
      <w:bookmarkStart w:id="1" w:name="_GoBack"/>
      <w:bookmarkEnd w:id="1"/>
    </w:p>
    <w:p>
      <w:pPr>
        <w:ind w:firstLine="960" w:firstLineChars="300"/>
        <w:rPr>
          <w:rFonts w:hint="eastAsia" w:cs="仿宋" w:asciiTheme="minorEastAsia" w:hAnsiTheme="minorEastAsia" w:eastAsiaTheme="minorEastAsia"/>
          <w:sz w:val="32"/>
          <w:szCs w:val="32"/>
          <w:highlight w:val="yellow"/>
        </w:rPr>
      </w:pPr>
      <w:r>
        <w:rPr>
          <w:rFonts w:hint="eastAsia" w:asciiTheme="minorEastAsia" w:hAnsiTheme="minorEastAsia" w:eastAsiaTheme="minorEastAsia"/>
          <w:sz w:val="32"/>
          <w:szCs w:val="32"/>
        </w:rPr>
        <w:t>截至2022年12月底，</w:t>
      </w:r>
      <w:r>
        <w:rPr>
          <w:rFonts w:hint="eastAsia" w:asciiTheme="minorEastAsia" w:hAnsiTheme="minorEastAsia" w:eastAsiaTheme="minorEastAsia"/>
          <w:sz w:val="32"/>
          <w:szCs w:val="32"/>
          <w:lang w:eastAsia="zh-CN"/>
        </w:rPr>
        <w:t>完成了自治区残联门户网站维护和专题栏目改造； 完成新疆残疾人人口综合管理服务平台的运行维护，保证网站和平台正常使用； 通过腾讯视频会议对地州市残联统计人员进行培训，提高残疾人事业统计数据的质量。</w:t>
      </w:r>
    </w:p>
    <w:p>
      <w:pPr>
        <w:ind w:firstLine="320" w:firstLineChars="100"/>
        <w:rPr>
          <w:rFonts w:asciiTheme="minorEastAsia" w:hAnsiTheme="minorEastAsia" w:eastAsiaTheme="minorEastAsia"/>
          <w:sz w:val="32"/>
          <w:szCs w:val="32"/>
        </w:rPr>
      </w:pPr>
      <w:r>
        <w:rPr>
          <w:rFonts w:hint="eastAsia" w:asciiTheme="minorEastAsia" w:hAnsiTheme="minorEastAsia" w:eastAsiaTheme="minorEastAsia"/>
          <w:sz w:val="32"/>
          <w:szCs w:val="32"/>
        </w:rPr>
        <w:t>3.资金投入和使用情况</w:t>
      </w:r>
    </w:p>
    <w:p>
      <w:pPr>
        <w:pStyle w:val="13"/>
        <w:tabs>
          <w:tab w:val="left" w:pos="6372"/>
        </w:tabs>
        <w:adjustRightInd w:val="0"/>
        <w:snapToGrid w:val="0"/>
        <w:spacing w:line="500" w:lineRule="exact"/>
        <w:ind w:firstLine="640" w:firstLineChars="200"/>
        <w:rPr>
          <w:rStyle w:val="22"/>
          <w:rFonts w:cs="仿宋_GB2312" w:asciiTheme="minorEastAsia" w:hAnsiTheme="minorEastAsia" w:eastAsiaTheme="minorEastAsia"/>
          <w:b w:val="0"/>
          <w:bCs w:val="0"/>
          <w:sz w:val="32"/>
          <w:szCs w:val="32"/>
        </w:rPr>
      </w:pPr>
      <w:r>
        <w:rPr>
          <w:rFonts w:hint="eastAsia" w:asciiTheme="minorEastAsia" w:hAnsiTheme="minorEastAsia" w:eastAsiaTheme="minorEastAsia"/>
          <w:sz w:val="32"/>
          <w:szCs w:val="32"/>
        </w:rPr>
        <w:t>自治区财政厅2022年1月拨付残疾人事业</w:t>
      </w:r>
      <w:r>
        <w:rPr>
          <w:rFonts w:hint="eastAsia" w:asciiTheme="minorEastAsia" w:hAnsiTheme="minorEastAsia" w:eastAsiaTheme="minorEastAsia"/>
          <w:sz w:val="32"/>
          <w:szCs w:val="32"/>
          <w:lang w:eastAsia="zh-CN"/>
        </w:rPr>
        <w:t>综合性经费</w:t>
      </w:r>
      <w:r>
        <w:rPr>
          <w:rFonts w:hint="eastAsia" w:asciiTheme="minorEastAsia" w:hAnsiTheme="minorEastAsia" w:eastAsiaTheme="minorEastAsia"/>
          <w:sz w:val="32"/>
          <w:szCs w:val="32"/>
          <w:lang w:val="en-US" w:eastAsia="zh-CN"/>
        </w:rPr>
        <w:t>90</w:t>
      </w:r>
      <w:r>
        <w:rPr>
          <w:rFonts w:hint="eastAsia" w:asciiTheme="minorEastAsia" w:hAnsiTheme="minorEastAsia" w:eastAsiaTheme="minorEastAsia"/>
          <w:sz w:val="32"/>
          <w:szCs w:val="32"/>
        </w:rPr>
        <w:t>万元，截至12月底，</w:t>
      </w:r>
      <w:r>
        <w:rPr>
          <w:rFonts w:hint="eastAsia" w:cs="仿宋_GB2312" w:asciiTheme="minorEastAsia" w:hAnsiTheme="minorEastAsia" w:eastAsiaTheme="minorEastAsia"/>
          <w:sz w:val="32"/>
          <w:szCs w:val="32"/>
        </w:rPr>
        <w:t>该项目实际支付</w:t>
      </w:r>
      <w:r>
        <w:rPr>
          <w:rFonts w:hint="eastAsia" w:cs="仿宋_GB2312" w:asciiTheme="minorEastAsia" w:hAnsiTheme="minorEastAsia" w:eastAsiaTheme="minorEastAsia"/>
          <w:sz w:val="32"/>
          <w:szCs w:val="32"/>
          <w:lang w:val="en-US" w:eastAsia="zh-CN"/>
        </w:rPr>
        <w:t>82.32</w:t>
      </w:r>
      <w:r>
        <w:rPr>
          <w:rFonts w:hint="eastAsia" w:cs="仿宋_GB2312" w:asciiTheme="minorEastAsia" w:hAnsiTheme="minorEastAsia" w:eastAsiaTheme="minorEastAsia"/>
          <w:sz w:val="32"/>
          <w:szCs w:val="32"/>
        </w:rPr>
        <w:t>万元，支付完成率</w:t>
      </w:r>
      <w:r>
        <w:rPr>
          <w:rFonts w:hint="eastAsia" w:cs="仿宋_GB2312" w:asciiTheme="minorEastAsia" w:hAnsiTheme="minorEastAsia" w:eastAsiaTheme="minorEastAsia"/>
          <w:sz w:val="32"/>
          <w:szCs w:val="32"/>
          <w:lang w:val="en-US" w:eastAsia="zh-CN"/>
        </w:rPr>
        <w:t>91.47</w:t>
      </w:r>
      <w:r>
        <w:rPr>
          <w:rFonts w:hint="eastAsia" w:cs="仿宋_GB2312" w:asciiTheme="minorEastAsia" w:hAnsiTheme="minorEastAsia" w:eastAsiaTheme="minorEastAsia"/>
          <w:sz w:val="32"/>
          <w:szCs w:val="32"/>
        </w:rPr>
        <w:t>%。</w:t>
      </w:r>
    </w:p>
    <w:p>
      <w:pPr>
        <w:ind w:firstLine="940" w:firstLineChars="300"/>
        <w:rPr>
          <w:rFonts w:hint="eastAsia" w:cs="仿宋_GB2312" w:asciiTheme="minorEastAsia" w:hAnsiTheme="minorEastAsia" w:eastAsiaTheme="minorEastAsia"/>
          <w:kern w:val="2"/>
          <w:sz w:val="32"/>
          <w:szCs w:val="32"/>
          <w:lang w:val="en-US" w:eastAsia="zh-CN" w:bidi="ar-SA"/>
        </w:rPr>
      </w:pPr>
      <w:r>
        <w:rPr>
          <w:rStyle w:val="22"/>
          <w:rFonts w:hint="eastAsia" w:asciiTheme="minorEastAsia" w:hAnsiTheme="minorEastAsia" w:eastAsiaTheme="minorEastAsia"/>
          <w:spacing w:val="-4"/>
          <w:sz w:val="32"/>
          <w:szCs w:val="32"/>
        </w:rPr>
        <w:t>（二）项目绩效目标。</w:t>
      </w:r>
      <w:r>
        <w:rPr>
          <w:rFonts w:hint="eastAsia" w:cs="仿宋_GB2312" w:asciiTheme="minorEastAsia" w:hAnsiTheme="minorEastAsia" w:eastAsiaTheme="minorEastAsia"/>
          <w:kern w:val="2"/>
          <w:sz w:val="32"/>
          <w:szCs w:val="32"/>
          <w:lang w:val="en-US" w:eastAsia="zh-CN" w:bidi="ar-SA"/>
        </w:rPr>
        <w:t>信息中心本年度依照年初工作计划，</w:t>
      </w:r>
      <w:r>
        <w:rPr>
          <w:rFonts w:hint="eastAsia" w:asciiTheme="minorEastAsia" w:hAnsiTheme="minorEastAsia" w:eastAsiaTheme="minorEastAsia"/>
          <w:sz w:val="32"/>
          <w:szCs w:val="32"/>
          <w:lang w:eastAsia="zh-CN"/>
        </w:rPr>
        <w:t>①做好自治区残联门户网站；②新疆残疾人人口综合管理服务平台的运行维护，保证网站和平台正常使用；③对地州市残联统计人员进行培训，提高残疾人事业统计数据的质量。</w:t>
      </w: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二、</w:t>
      </w:r>
      <w:r>
        <w:rPr>
          <w:rStyle w:val="22"/>
          <w:rFonts w:hint="eastAsia"/>
          <w:spacing w:val="-4"/>
          <w:sz w:val="32"/>
          <w:szCs w:val="32"/>
        </w:rPr>
        <w:t>绩效评价工作开展情况</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（一）绩效评价目的、对象和范围。</w:t>
      </w:r>
    </w:p>
    <w:p>
      <w:pPr>
        <w:pStyle w:val="11"/>
        <w:ind w:firstLine="64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w:t>
      </w:r>
      <w:r>
        <w:rPr>
          <w:rFonts w:hint="eastAsia" w:cs="仿宋" w:asciiTheme="minorEastAsia" w:hAnsiTheme="minorEastAsia" w:eastAsiaTheme="minorEastAsia"/>
          <w:sz w:val="32"/>
          <w:szCs w:val="32"/>
          <w:lang w:eastAsia="zh-CN"/>
        </w:rPr>
        <w:t>联合会信息</w:t>
      </w:r>
      <w:r>
        <w:rPr>
          <w:rFonts w:hint="eastAsia" w:cs="仿宋" w:asciiTheme="minorEastAsia" w:hAnsiTheme="minorEastAsia" w:eastAsiaTheme="minorEastAsia"/>
          <w:sz w:val="32"/>
          <w:szCs w:val="32"/>
        </w:rPr>
        <w:t>中心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pPr>
        <w:pStyle w:val="11"/>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2.评价对象：</w:t>
      </w:r>
      <w:bookmarkStart w:id="0" w:name="_Hlk69772397"/>
      <w:r>
        <w:rPr>
          <w:rFonts w:hint="eastAsia" w:cs="仿宋" w:asciiTheme="minorEastAsia" w:hAnsiTheme="minorEastAsia" w:eastAsiaTheme="minorEastAsia"/>
          <w:sz w:val="32"/>
          <w:szCs w:val="32"/>
        </w:rPr>
        <w:t>2022年自治区财政</w:t>
      </w:r>
      <w:bookmarkEnd w:id="0"/>
      <w:r>
        <w:rPr>
          <w:rFonts w:hint="eastAsia" w:asciiTheme="minorEastAsia" w:hAnsiTheme="minorEastAsia" w:eastAsiaTheme="minorEastAsia"/>
          <w:sz w:val="32"/>
          <w:szCs w:val="32"/>
        </w:rPr>
        <w:t>残疾人事业</w:t>
      </w:r>
      <w:r>
        <w:rPr>
          <w:rFonts w:hint="eastAsia" w:asciiTheme="minorEastAsia" w:hAnsiTheme="minorEastAsia" w:eastAsiaTheme="minorEastAsia"/>
          <w:sz w:val="32"/>
          <w:szCs w:val="32"/>
          <w:lang w:eastAsia="zh-CN"/>
        </w:rPr>
        <w:t>综合性经费</w:t>
      </w:r>
      <w:r>
        <w:rPr>
          <w:rFonts w:hint="eastAsia" w:cs="仿宋" w:asciiTheme="minorEastAsia" w:hAnsiTheme="minorEastAsia" w:eastAsiaTheme="minorEastAsia"/>
          <w:sz w:val="32"/>
          <w:szCs w:val="32"/>
          <w:lang w:val="en-US" w:eastAsia="zh-CN"/>
        </w:rPr>
        <w:t>90</w:t>
      </w:r>
      <w:r>
        <w:rPr>
          <w:rFonts w:hint="eastAsia" w:cs="仿宋" w:asciiTheme="minorEastAsia" w:hAnsiTheme="minorEastAsia" w:eastAsiaTheme="minorEastAsia"/>
          <w:sz w:val="32"/>
          <w:szCs w:val="32"/>
        </w:rPr>
        <w:t>万元的使用。</w:t>
      </w:r>
    </w:p>
    <w:p>
      <w:pPr>
        <w:pStyle w:val="11"/>
        <w:ind w:firstLine="640"/>
        <w:rPr>
          <w:rStyle w:val="22"/>
          <w:rFonts w:cs="仿宋" w:asciiTheme="minorEastAsia" w:hAnsiTheme="minorEastAsia" w:eastAsiaTheme="minorEastAsia"/>
          <w:b w:val="0"/>
          <w:bCs w:val="0"/>
          <w:sz w:val="32"/>
          <w:szCs w:val="32"/>
        </w:rPr>
      </w:pPr>
      <w:r>
        <w:rPr>
          <w:rFonts w:hint="eastAsia" w:cs="仿宋" w:asciiTheme="minorEastAsia" w:hAnsiTheme="minorEastAsia" w:eastAsiaTheme="minorEastAsia"/>
          <w:sz w:val="32"/>
          <w:szCs w:val="32"/>
        </w:rPr>
        <w:t>3.评价范围：2022年自治区财政</w:t>
      </w:r>
      <w:r>
        <w:rPr>
          <w:rFonts w:hint="eastAsia" w:asciiTheme="minorEastAsia" w:hAnsiTheme="minorEastAsia" w:eastAsiaTheme="minorEastAsia"/>
          <w:sz w:val="32"/>
          <w:szCs w:val="32"/>
        </w:rPr>
        <w:t>残疾人事业</w:t>
      </w:r>
      <w:r>
        <w:rPr>
          <w:rFonts w:hint="eastAsia" w:asciiTheme="minorEastAsia" w:hAnsiTheme="minorEastAsia" w:eastAsiaTheme="minorEastAsia"/>
          <w:sz w:val="32"/>
          <w:szCs w:val="32"/>
          <w:lang w:eastAsia="zh-CN"/>
        </w:rPr>
        <w:t>综合性经费</w:t>
      </w:r>
      <w:r>
        <w:rPr>
          <w:rFonts w:hint="eastAsia" w:cs="仿宋" w:asciiTheme="minorEastAsia" w:hAnsiTheme="minorEastAsia" w:eastAsiaTheme="minorEastAsia"/>
          <w:sz w:val="32"/>
          <w:szCs w:val="32"/>
        </w:rPr>
        <w:t>的预算编制及执行情况、财务管理状况以及为加强管理制定的相关制度、采取的措施等方面进行分析，全面了解项目资金的使用效率和效果，项目管理的过程是否规范、是否实现了预期绩效目标。</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（二）绩效评价原则、评价指标体系（附表说明）、评价方法、评价标准等。</w:t>
      </w:r>
    </w:p>
    <w:p>
      <w:pPr>
        <w:pStyle w:val="11"/>
        <w:spacing w:line="590" w:lineRule="exact"/>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1.绩效评价原则：</w:t>
      </w:r>
      <w:r>
        <w:rPr>
          <w:rFonts w:hint="eastAsia" w:asciiTheme="minorEastAsia" w:hAnsiTheme="minorEastAsia" w:eastAsiaTheme="minorEastAsia"/>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pPr>
        <w:ind w:firstLine="567"/>
        <w:rPr>
          <w:rFonts w:hint="eastAsia" w:asciiTheme="minorEastAsia" w:hAnsiTheme="minorEastAsia" w:eastAsiaTheme="minorEastAsia"/>
          <w:sz w:val="32"/>
          <w:szCs w:val="32"/>
          <w:highlight w:val="none"/>
        </w:rPr>
      </w:pPr>
      <w:r>
        <w:rPr>
          <w:rFonts w:hint="eastAsia" w:cs="仿宋" w:asciiTheme="minorEastAsia" w:hAnsiTheme="minorEastAsia" w:eastAsiaTheme="minorEastAsia"/>
          <w:sz w:val="32"/>
          <w:szCs w:val="32"/>
        </w:rPr>
        <w:t>2.评价指标体系：本次评价指标体系参考《财政部关于项目支出绩效评价管理办法的通知》（财预﹝2020﹞10号）</w:t>
      </w:r>
      <w:r>
        <w:rPr>
          <w:rFonts w:asciiTheme="minorEastAsia" w:hAnsiTheme="minorEastAsia" w:eastAsiaTheme="minorEastAsia"/>
          <w:sz w:val="32"/>
          <w:szCs w:val="32"/>
        </w:rPr>
        <w:t>中的指标分级，设定具体项目指标体系框架。</w:t>
      </w:r>
      <w:r>
        <w:rPr>
          <w:rFonts w:hint="eastAsia" w:asciiTheme="minorEastAsia" w:hAnsiTheme="minorEastAsia" w:eastAsiaTheme="minorEastAsia"/>
          <w:sz w:val="32"/>
          <w:szCs w:val="32"/>
        </w:rPr>
        <w:t>从业务指标四大方面拟定绩效评价指标，</w:t>
      </w:r>
      <w:r>
        <w:rPr>
          <w:rFonts w:asciiTheme="minorEastAsia" w:hAnsiTheme="minorEastAsia" w:eastAsiaTheme="minorEastAsia"/>
          <w:sz w:val="32"/>
          <w:szCs w:val="32"/>
        </w:rPr>
        <w:t>指标权重自上而下按指标层次分步确定权重</w:t>
      </w:r>
      <w:r>
        <w:rPr>
          <w:rFonts w:hint="eastAsia" w:asciiTheme="minorEastAsia" w:hAnsiTheme="minorEastAsia" w:eastAsiaTheme="minorEastAsia"/>
          <w:sz w:val="32"/>
          <w:szCs w:val="32"/>
        </w:rPr>
        <w:t>，</w:t>
      </w:r>
      <w:r>
        <w:rPr>
          <w:rFonts w:asciiTheme="minorEastAsia" w:hAnsiTheme="minorEastAsia" w:eastAsiaTheme="minorEastAsia"/>
          <w:sz w:val="32"/>
          <w:szCs w:val="32"/>
        </w:rPr>
        <w:t>业务指标权重设定</w:t>
      </w:r>
      <w:r>
        <w:rPr>
          <w:rFonts w:hint="eastAsia" w:asciiTheme="minorEastAsia" w:hAnsiTheme="minorEastAsia" w:eastAsiaTheme="minorEastAsia"/>
          <w:sz w:val="32"/>
          <w:szCs w:val="32"/>
        </w:rPr>
        <w:t>：</w:t>
      </w:r>
      <w:r>
        <w:rPr>
          <w:rFonts w:asciiTheme="minorEastAsia" w:hAnsiTheme="minorEastAsia" w:eastAsiaTheme="minorEastAsia"/>
          <w:sz w:val="32"/>
          <w:szCs w:val="32"/>
        </w:rPr>
        <w:t>决策</w:t>
      </w:r>
      <w:r>
        <w:rPr>
          <w:rFonts w:hint="eastAsia" w:asciiTheme="minorEastAsia" w:hAnsiTheme="minorEastAsia" w:eastAsiaTheme="minorEastAsia"/>
          <w:sz w:val="32"/>
          <w:szCs w:val="32"/>
        </w:rPr>
        <w:t>20</w:t>
      </w:r>
      <w:r>
        <w:rPr>
          <w:rFonts w:asciiTheme="minorEastAsia" w:hAnsiTheme="minorEastAsia" w:eastAsiaTheme="minorEastAsia"/>
          <w:sz w:val="32"/>
          <w:szCs w:val="32"/>
        </w:rPr>
        <w:t>分、过程20分、</w:t>
      </w:r>
      <w:r>
        <w:rPr>
          <w:rFonts w:asciiTheme="minorEastAsia" w:hAnsiTheme="minorEastAsia" w:eastAsiaTheme="minorEastAsia"/>
          <w:sz w:val="32"/>
          <w:szCs w:val="32"/>
          <w:highlight w:val="none"/>
        </w:rPr>
        <w:t>产出</w:t>
      </w:r>
      <w:r>
        <w:rPr>
          <w:rFonts w:hint="eastAsia" w:asciiTheme="minorEastAsia" w:hAnsiTheme="minorEastAsia" w:eastAsiaTheme="minorEastAsia"/>
          <w:sz w:val="32"/>
          <w:szCs w:val="32"/>
          <w:highlight w:val="none"/>
          <w:lang w:val="en-US" w:eastAsia="zh-CN"/>
        </w:rPr>
        <w:t>40</w:t>
      </w:r>
      <w:r>
        <w:rPr>
          <w:rFonts w:asciiTheme="minorEastAsia" w:hAnsiTheme="minorEastAsia" w:eastAsiaTheme="minorEastAsia"/>
          <w:sz w:val="32"/>
          <w:szCs w:val="32"/>
          <w:highlight w:val="none"/>
        </w:rPr>
        <w:t>分、效益</w:t>
      </w:r>
      <w:r>
        <w:rPr>
          <w:rFonts w:hint="eastAsia" w:asciiTheme="minorEastAsia" w:hAnsiTheme="minorEastAsia" w:eastAsiaTheme="minorEastAsia"/>
          <w:sz w:val="32"/>
          <w:szCs w:val="32"/>
          <w:highlight w:val="none"/>
          <w:lang w:val="en-US" w:eastAsia="zh-CN"/>
        </w:rPr>
        <w:t>20</w:t>
      </w:r>
      <w:r>
        <w:rPr>
          <w:rFonts w:asciiTheme="minorEastAsia" w:hAnsiTheme="minorEastAsia" w:eastAsiaTheme="minorEastAsia"/>
          <w:sz w:val="32"/>
          <w:szCs w:val="32"/>
          <w:highlight w:val="none"/>
        </w:rPr>
        <w:t>分</w:t>
      </w:r>
      <w:r>
        <w:rPr>
          <w:rFonts w:hint="eastAsia" w:asciiTheme="minorEastAsia" w:hAnsiTheme="minorEastAsia" w:eastAsiaTheme="minorEastAsia"/>
          <w:sz w:val="32"/>
          <w:szCs w:val="32"/>
          <w:highlight w:val="none"/>
        </w:rPr>
        <w:t>，满分100分。</w:t>
      </w:r>
    </w:p>
    <w:p>
      <w:pPr>
        <w:pStyle w:val="11"/>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3.评价方法：</w:t>
      </w:r>
      <w:r>
        <w:rPr>
          <w:rFonts w:hint="eastAsia" w:asciiTheme="minorEastAsia" w:hAnsiTheme="minorEastAsia" w:eastAsiaTheme="minorEastAsia"/>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pPr>
        <w:tabs>
          <w:tab w:val="left" w:pos="709"/>
        </w:tabs>
        <w:spacing w:beforeLines="50" w:afterLines="50" w:line="560" w:lineRule="exact"/>
        <w:ind w:firstLine="640" w:firstLineChars="200"/>
        <w:rPr>
          <w:rStyle w:val="22"/>
          <w:rFonts w:eastAsia="仿宋_GB2312"/>
          <w:b w:val="0"/>
          <w:bCs w:val="0"/>
          <w:color w:val="000000"/>
          <w:sz w:val="32"/>
          <w:szCs w:val="32"/>
        </w:rPr>
      </w:pPr>
      <w:r>
        <w:rPr>
          <w:rFonts w:hint="eastAsia" w:cs="仿宋" w:asciiTheme="minorEastAsia" w:hAnsiTheme="minorEastAsia" w:eastAsiaTheme="minorEastAsia"/>
          <w:sz w:val="32"/>
          <w:szCs w:val="32"/>
        </w:rPr>
        <w:t>4.评价标准：</w:t>
      </w:r>
      <w:r>
        <w:rPr>
          <w:rFonts w:hint="eastAsia" w:asciiTheme="minorEastAsia" w:hAnsiTheme="minorEastAsia" w:eastAsiaTheme="minorEastAsia"/>
          <w:color w:val="000000"/>
          <w:sz w:val="32"/>
          <w:szCs w:val="32"/>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r>
        <w:rPr>
          <w:rFonts w:hint="eastAsia" w:eastAsia="仿宋_GB2312"/>
          <w:color w:val="000000"/>
          <w:sz w:val="32"/>
          <w:szCs w:val="32"/>
        </w:rPr>
        <w:t>。</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（三）绩效评价工作过程。</w:t>
      </w:r>
    </w:p>
    <w:p>
      <w:pPr>
        <w:pStyle w:val="11"/>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1.前期准备：</w:t>
      </w:r>
      <w:r>
        <w:rPr>
          <w:rFonts w:hint="eastAsia" w:asciiTheme="minorEastAsia" w:hAnsiTheme="minorEastAsia" w:eastAsiaTheme="minorEastAsia"/>
          <w:spacing w:val="6"/>
          <w:sz w:val="32"/>
          <w:szCs w:val="32"/>
        </w:rPr>
        <w:t>在评价工作</w:t>
      </w:r>
      <w:r>
        <w:rPr>
          <w:rFonts w:hint="eastAsia" w:cs="仿宋" w:asciiTheme="minorEastAsia" w:hAnsiTheme="minorEastAsia" w:eastAsiaTheme="minorEastAsia"/>
          <w:sz w:val="32"/>
          <w:szCs w:val="32"/>
        </w:rPr>
        <w:t>正式实施前期，收集、整理、熟悉项目相关资料，了解项目资金的使用情况。通过分析讨论，确定绩效评价关注的重点，从项目内容出发，结合项目预期目标，制定了本次绩效评价的指标体系。</w:t>
      </w:r>
    </w:p>
    <w:p>
      <w:pPr>
        <w:pStyle w:val="11"/>
        <w:ind w:firstLine="640"/>
        <w:rPr>
          <w:rStyle w:val="22"/>
          <w:rFonts w:cs="仿宋" w:asciiTheme="minorEastAsia" w:hAnsiTheme="minorEastAsia" w:eastAsiaTheme="minorEastAsia"/>
          <w:b w:val="0"/>
          <w:bCs w:val="0"/>
          <w:sz w:val="32"/>
          <w:szCs w:val="32"/>
        </w:rPr>
      </w:pPr>
      <w:r>
        <w:rPr>
          <w:rFonts w:hint="eastAsia" w:cs="仿宋" w:asciiTheme="minorEastAsia" w:hAnsiTheme="minorEastAsia" w:eastAsiaTheme="minorEastAsia"/>
          <w:sz w:val="32"/>
          <w:szCs w:val="32"/>
        </w:rPr>
        <w:t>2.数据采集分析及撰写报告：收集该项目相关文件、</w:t>
      </w:r>
      <w:r>
        <w:rPr>
          <w:rFonts w:hint="eastAsia" w:asciiTheme="minorEastAsia" w:hAnsiTheme="minorEastAsia" w:eastAsiaTheme="minorEastAsia"/>
          <w:spacing w:val="6"/>
          <w:sz w:val="32"/>
          <w:szCs w:val="32"/>
        </w:rPr>
        <w:t>财务资料、业务资料、相关管理办法等，对收集到的资料进行统计整理并分析，将结果与既定的绩效目标指标进行定量、定性比较，进而对绩效指标进行评分，并</w:t>
      </w:r>
      <w:r>
        <w:rPr>
          <w:rFonts w:hint="eastAsia" w:cs="仿宋" w:asciiTheme="minorEastAsia" w:hAnsiTheme="minorEastAsia" w:eastAsiaTheme="minorEastAsia"/>
          <w:sz w:val="32"/>
          <w:szCs w:val="32"/>
        </w:rPr>
        <w:t>撰写绩效评价报告。</w:t>
      </w: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三、</w:t>
      </w:r>
      <w:r>
        <w:rPr>
          <w:rStyle w:val="22"/>
          <w:rFonts w:hint="eastAsia"/>
          <w:spacing w:val="-4"/>
          <w:sz w:val="32"/>
          <w:szCs w:val="32"/>
        </w:rPr>
        <w:t>综合评价情况及评价结论</w:t>
      </w:r>
    </w:p>
    <w:p>
      <w:pPr>
        <w:spacing w:line="590" w:lineRule="exact"/>
        <w:ind w:firstLine="664" w:firstLineChars="200"/>
        <w:rPr>
          <w:rFonts w:ascii="仿宋_GB2312" w:hAnsi="黑体" w:eastAsia="仿宋_GB2312"/>
          <w:spacing w:val="6"/>
          <w:sz w:val="32"/>
          <w:szCs w:val="32"/>
        </w:rPr>
      </w:pPr>
      <w:r>
        <w:rPr>
          <w:rFonts w:hint="eastAsia" w:asciiTheme="minorEastAsia" w:hAnsiTheme="minorEastAsia" w:eastAsiaTheme="minorEastAsia"/>
          <w:spacing w:val="6"/>
          <w:sz w:val="32"/>
          <w:szCs w:val="32"/>
        </w:rPr>
        <w:t>该项目绩效评价得分</w:t>
      </w:r>
      <w:r>
        <w:rPr>
          <w:rFonts w:hint="eastAsia" w:asciiTheme="minorEastAsia" w:hAnsiTheme="minorEastAsia" w:eastAsiaTheme="minorEastAsia"/>
          <w:spacing w:val="6"/>
          <w:sz w:val="32"/>
          <w:szCs w:val="32"/>
          <w:lang w:val="en-US" w:eastAsia="zh-CN"/>
        </w:rPr>
        <w:t>99.21</w:t>
      </w:r>
      <w:r>
        <w:rPr>
          <w:rFonts w:hint="eastAsia" w:asciiTheme="minorEastAsia" w:hAnsiTheme="minorEastAsia" w:eastAsiaTheme="minorEastAsia"/>
          <w:spacing w:val="6"/>
          <w:sz w:val="32"/>
          <w:szCs w:val="32"/>
        </w:rPr>
        <w:t>分，评价等级为优，已基本完成计划的绩效目标。各部分权重和绩效分值详见下表</w:t>
      </w:r>
      <w:r>
        <w:rPr>
          <w:rFonts w:hint="eastAsia" w:ascii="仿宋_GB2312" w:hAnsi="黑体" w:eastAsia="仿宋_GB2312"/>
          <w:spacing w:val="6"/>
          <w:sz w:val="32"/>
          <w:szCs w:val="32"/>
        </w:rPr>
        <w:t>：</w:t>
      </w:r>
    </w:p>
    <w:p>
      <w:pPr>
        <w:pStyle w:val="12"/>
        <w:spacing w:line="590" w:lineRule="exact"/>
        <w:rPr>
          <w:rFonts w:eastAsia="仿宋_GB2312"/>
        </w:rPr>
      </w:pPr>
      <w:r>
        <w:rPr>
          <w:rFonts w:hint="eastAsia" w:ascii="仿宋_GB2312" w:hAnsi="黑体" w:eastAsia="仿宋_GB2312"/>
          <w:spacing w:val="6"/>
          <w:sz w:val="32"/>
        </w:rPr>
        <w:t>项目综合评分表</w:t>
      </w:r>
    </w:p>
    <w:tbl>
      <w:tblPr>
        <w:tblStyle w:val="20"/>
        <w:tblW w:w="4926" w:type="pct"/>
        <w:jc w:val="center"/>
        <w:tblLayout w:type="autofit"/>
        <w:tblCellMar>
          <w:top w:w="0" w:type="dxa"/>
          <w:left w:w="108" w:type="dxa"/>
          <w:bottom w:w="0" w:type="dxa"/>
          <w:right w:w="108" w:type="dxa"/>
        </w:tblCellMar>
      </w:tblPr>
      <w:tblGrid>
        <w:gridCol w:w="1460"/>
        <w:gridCol w:w="1461"/>
        <w:gridCol w:w="1461"/>
        <w:gridCol w:w="1461"/>
        <w:gridCol w:w="1461"/>
        <w:gridCol w:w="1330"/>
      </w:tblGrid>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指 标</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项目决策类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项目过程类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项目产出类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项目效益类</w:t>
            </w:r>
          </w:p>
        </w:tc>
        <w:tc>
          <w:tcPr>
            <w:tcW w:w="77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合计</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权 重</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40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100</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得 分</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default" w:ascii="宋体" w:hAnsi="宋体" w:eastAsia="宋体"/>
                <w:color w:val="000000" w:themeColor="text1"/>
                <w:sz w:val="22"/>
                <w:lang w:val="en-US"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19.7</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default" w:ascii="宋体" w:hAnsi="宋体" w:eastAsia="宋体"/>
                <w:color w:val="000000" w:themeColor="text1"/>
                <w:sz w:val="22"/>
                <w:lang w:val="en-US"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39.51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default" w:ascii="宋体" w:hAnsi="宋体" w:eastAsia="宋体"/>
                <w:color w:val="000000" w:themeColor="text1"/>
                <w:sz w:val="22"/>
                <w:lang w:val="en-US"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99.21</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kern w:val="0"/>
                <w:sz w:val="22"/>
              </w:rPr>
            </w:pPr>
            <w:r>
              <w:rPr>
                <w:rFonts w:hint="eastAsia" w:ascii="宋体" w:hAnsi="宋体"/>
                <w:kern w:val="0"/>
                <w:sz w:val="22"/>
              </w:rPr>
              <w:t>得分率</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98.5</w:t>
            </w:r>
            <w:r>
              <w:rPr>
                <w:rFonts w:hint="eastAsia" w:ascii="宋体" w:hAnsi="宋体"/>
                <w:color w:val="000000" w:themeColor="text1"/>
                <w:kern w:val="0"/>
                <w:sz w:val="22"/>
                <w14:textFill>
                  <w14:solidFill>
                    <w14:schemeClr w14:val="tx1"/>
                  </w14:solidFill>
                </w14:textFill>
              </w:rPr>
              <w:t>%</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98.78</w:t>
            </w:r>
            <w:r>
              <w:rPr>
                <w:rFonts w:hint="eastAsia" w:ascii="宋体" w:hAnsi="宋体"/>
                <w:color w:val="000000" w:themeColor="text1"/>
                <w:kern w:val="0"/>
                <w:sz w:val="22"/>
                <w14:textFill>
                  <w14:solidFill>
                    <w14:schemeClr w14:val="tx1"/>
                  </w14:solidFill>
                </w14:textFill>
              </w:rPr>
              <w:t>%</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99.21</w:t>
            </w:r>
            <w:r>
              <w:rPr>
                <w:rFonts w:hint="eastAsia" w:ascii="宋体" w:hAnsi="宋体"/>
                <w:color w:val="000000" w:themeColor="text1"/>
                <w:kern w:val="0"/>
                <w:sz w:val="22"/>
                <w14:textFill>
                  <w14:solidFill>
                    <w14:schemeClr w14:val="tx1"/>
                  </w14:solidFill>
                </w14:textFill>
              </w:rPr>
              <w:t>%</w:t>
            </w:r>
          </w:p>
        </w:tc>
      </w:tr>
    </w:tbl>
    <w:p>
      <w:pPr>
        <w:spacing w:line="540" w:lineRule="exact"/>
        <w:ind w:firstLine="567"/>
        <w:rPr>
          <w:rStyle w:val="22"/>
          <w:rFonts w:ascii="楷体" w:hAnsi="楷体" w:eastAsia="楷体"/>
          <w:spacing w:val="-4"/>
          <w:sz w:val="32"/>
          <w:szCs w:val="32"/>
        </w:rPr>
      </w:pPr>
    </w:p>
    <w:p>
      <w:pPr>
        <w:spacing w:line="540" w:lineRule="exact"/>
        <w:ind w:firstLine="640"/>
        <w:rPr>
          <w:rStyle w:val="22"/>
          <w:rFonts w:ascii="黑体" w:hAnsi="黑体" w:eastAsia="黑体"/>
        </w:rPr>
      </w:pPr>
      <w:r>
        <w:rPr>
          <w:rStyle w:val="22"/>
          <w:rFonts w:hint="eastAsia" w:ascii="黑体" w:hAnsi="黑体" w:eastAsia="黑体"/>
          <w:b w:val="0"/>
          <w:spacing w:val="-4"/>
          <w:sz w:val="32"/>
          <w:szCs w:val="32"/>
        </w:rPr>
        <w:t>四、</w:t>
      </w:r>
      <w:r>
        <w:rPr>
          <w:rStyle w:val="22"/>
          <w:rFonts w:hint="eastAsia"/>
          <w:spacing w:val="-4"/>
          <w:sz w:val="32"/>
          <w:szCs w:val="32"/>
        </w:rPr>
        <w:t>绩效评价指标分析</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（一）项目决策情况。</w:t>
      </w:r>
    </w:p>
    <w:p>
      <w:pPr>
        <w:pStyle w:val="11"/>
        <w:spacing w:line="500" w:lineRule="exact"/>
        <w:ind w:firstLine="64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根据自治区财政厅《关于提前下达2022年自治区财政残疾人事业发展补助资金的通知》（新财社</w:t>
      </w:r>
      <w:r>
        <w:rPr>
          <w:rFonts w:hint="eastAsia" w:cs="宋体" w:asciiTheme="minorEastAsia" w:hAnsiTheme="minorEastAsia" w:eastAsiaTheme="minorEastAsia"/>
          <w:sz w:val="32"/>
          <w:szCs w:val="32"/>
        </w:rPr>
        <w:t>﹝2021﹞291号</w:t>
      </w:r>
      <w:r>
        <w:rPr>
          <w:rFonts w:hint="eastAsia" w:cs="仿宋" w:asciiTheme="minorEastAsia" w:hAnsiTheme="minorEastAsia" w:eastAsiaTheme="minorEastAsia"/>
          <w:sz w:val="32"/>
          <w:szCs w:val="32"/>
        </w:rPr>
        <w:t>）规定拨付资金，立项依据充分，立项程序规范，绩效目标与实际工作内容相关性高，与项目的实施相符。项目绩效目标细化分解为具体的绩效指标，通过清晰可量化的指标值予以体现，预算内容和项目内容匹配。</w:t>
      </w:r>
    </w:p>
    <w:p>
      <w:pPr>
        <w:numPr>
          <w:ilvl w:val="0"/>
          <w:numId w:val="1"/>
        </w:num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项目立项</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（1）立项依据充分性</w:t>
      </w:r>
    </w:p>
    <w:p>
      <w:pPr>
        <w:numPr>
          <w:ilvl w:val="0"/>
          <w:numId w:val="2"/>
        </w:numPr>
        <w:tabs>
          <w:tab w:val="left" w:pos="420"/>
          <w:tab w:val="left" w:pos="840"/>
          <w:tab w:val="left" w:pos="1260"/>
          <w:tab w:val="left" w:pos="1680"/>
          <w:tab w:val="left" w:pos="2100"/>
          <w:tab w:val="left" w:pos="2520"/>
          <w:tab w:val="left" w:pos="2940"/>
          <w:tab w:val="left" w:pos="3360"/>
          <w:tab w:val="left" w:pos="3780"/>
          <w:tab w:val="left" w:pos="4200"/>
          <w:tab w:val="left" w:pos="4620"/>
          <w:tab w:val="left" w:pos="5040"/>
          <w:tab w:val="left" w:pos="5460"/>
          <w:tab w:val="left" w:pos="5880"/>
        </w:tabs>
        <w:autoSpaceDE w:val="0"/>
        <w:autoSpaceDN w:val="0"/>
        <w:adjustRightInd w:val="0"/>
        <w:rPr>
          <w:rFonts w:hint="eastAsia" w:ascii="仿宋" w:hAnsi="仿宋" w:eastAsia="仿宋" w:cs="仿宋"/>
          <w:kern w:val="0"/>
          <w:sz w:val="32"/>
          <w:szCs w:val="32"/>
          <w:highlight w:val="none"/>
          <w:lang w:eastAsia="zh-CN"/>
        </w:rPr>
      </w:pPr>
      <w:r>
        <w:rPr>
          <w:rFonts w:hint="eastAsia" w:ascii="仿宋" w:hAnsi="仿宋" w:eastAsia="仿宋" w:cs="仿宋"/>
          <w:kern w:val="0"/>
          <w:sz w:val="32"/>
          <w:szCs w:val="32"/>
          <w:highlight w:val="none"/>
          <w:lang w:eastAsia="zh-CN"/>
        </w:rPr>
        <w:t>自治区人民政府《新疆维吾尔自治区残疾人事业“十三五”发展规划》“加快提高残疾人事业信息化水平，加强对残疾人人口基础数据、服务状况和需求专项调查数据、残疾人事业统计数据、残疾人小康进程监测数据的综合管理和动态更新，建立与国家人口基础信息和相关政府部门数据资源交换共享机制”；自治区残联、发改委、财政厅《关于印发自治区残疾人事业信息化建设“十三五”实施方案的通知》“加强信息系统安全体系建设”；国务院办公厅关于印发政务信息系统整合共享实施方案的通知》（国办发〔2017〕39号）和自治区《关于推进新疆维吾尔自治区政务信息资源共享管理工作的实施意见》（新政发〔2017〕76号）等文件精神。</w:t>
      </w:r>
    </w:p>
    <w:p>
      <w:pPr>
        <w:spacing w:line="500" w:lineRule="exact"/>
        <w:ind w:firstLine="664" w:firstLineChars="200"/>
        <w:rPr>
          <w:rFonts w:asciiTheme="minorEastAsia" w:hAnsiTheme="minorEastAsia" w:eastAsiaTheme="minorEastAsia"/>
          <w:spacing w:val="6"/>
          <w:sz w:val="32"/>
          <w:szCs w:val="32"/>
        </w:rPr>
      </w:pP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根据评分规则，该指标权重分值5分，实际得分5分。</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（2）立项程序规范性</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自治区残疾人联合会党组理事会能够召开会议，对该项目进行集体决策，立项程序规范。</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根据评分规则，该指标权重分值5分，实际得分5分。</w:t>
      </w:r>
    </w:p>
    <w:p>
      <w:pPr>
        <w:pStyle w:val="4"/>
        <w:spacing w:before="0" w:after="0" w:line="500" w:lineRule="exact"/>
        <w:ind w:firstLine="640" w:firstLineChars="200"/>
        <w:rPr>
          <w:rFonts w:cs="仿宋" w:asciiTheme="minorEastAsia" w:hAnsiTheme="minorEastAsia" w:eastAsiaTheme="minorEastAsia"/>
          <w:b w:val="0"/>
          <w:bCs w:val="0"/>
          <w:kern w:val="2"/>
          <w:sz w:val="32"/>
          <w:szCs w:val="32"/>
        </w:rPr>
      </w:pPr>
      <w:r>
        <w:rPr>
          <w:rFonts w:hint="eastAsia" w:cs="仿宋" w:asciiTheme="minorEastAsia" w:hAnsiTheme="minorEastAsia" w:eastAsiaTheme="minorEastAsia"/>
          <w:b w:val="0"/>
          <w:bCs w:val="0"/>
          <w:kern w:val="2"/>
          <w:sz w:val="32"/>
          <w:szCs w:val="32"/>
        </w:rPr>
        <w:t>2.绩效目标</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（1）绩效目标合理性</w:t>
      </w:r>
    </w:p>
    <w:p>
      <w:pPr>
        <w:spacing w:line="500" w:lineRule="exact"/>
        <w:ind w:firstLine="664" w:firstLineChars="200"/>
        <w:jc w:val="left"/>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根据评分规则，该指标权重分值2.5分，实际得分2.5分。</w:t>
      </w:r>
    </w:p>
    <w:p>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（2）绩效指标明确性</w:t>
      </w:r>
    </w:p>
    <w:p>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能够结合实际需求，将绩效目标细化分解为具体的绩效指标，设定的具体指标值，包含定量指标20个，定性指标3个。设定的绩效指标清晰、细化，具有可衡量性，且能够与项目目标计划数相对应。</w:t>
      </w:r>
    </w:p>
    <w:p>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根据评分规则，该指标权重分值2.5分，实际得分2.5分。</w:t>
      </w:r>
    </w:p>
    <w:p>
      <w:pPr>
        <w:numPr>
          <w:ilvl w:val="255"/>
          <w:numId w:val="0"/>
        </w:numPr>
        <w:spacing w:line="500" w:lineRule="exact"/>
        <w:ind w:left="319" w:leftChars="152" w:firstLine="320" w:firstLineChars="1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3.资金投入</w:t>
      </w:r>
      <w:r>
        <w:rPr>
          <w:rFonts w:hint="eastAsia" w:cs="仿宋_GB2312" w:asciiTheme="minorEastAsia" w:hAnsiTheme="minorEastAsia" w:eastAsiaTheme="minorEastAsia"/>
          <w:spacing w:val="-4"/>
          <w:sz w:val="32"/>
          <w:szCs w:val="32"/>
        </w:rPr>
        <w:br w:type="textWrapping"/>
      </w:r>
      <w:r>
        <w:rPr>
          <w:rFonts w:hint="eastAsia" w:asciiTheme="minorEastAsia" w:hAnsiTheme="minorEastAsia" w:eastAsiaTheme="minorEastAsia"/>
          <w:spacing w:val="6"/>
          <w:sz w:val="32"/>
          <w:szCs w:val="32"/>
        </w:rPr>
        <w:t>（1）预算编制科学性</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lang w:eastAsia="zh-CN"/>
        </w:rPr>
        <w:t>自治区残疾人联合会信息中心</w:t>
      </w:r>
      <w:r>
        <w:rPr>
          <w:rFonts w:hint="eastAsia" w:asciiTheme="minorEastAsia" w:hAnsiTheme="minorEastAsia" w:eastAsiaTheme="minorEastAsia"/>
          <w:spacing w:val="6"/>
          <w:sz w:val="32"/>
          <w:szCs w:val="32"/>
        </w:rPr>
        <w:t>在进行项目概算时，根据相关规程并结合实际情况，确定该项目资金使用范围。在进行预算编制时，根据实施的项目类别、需求人数、标准对预算进行编制，预算的编制能够与项目内容及工作任务相匹配，预算的编制能够按照相应的依据编制且较为科学。</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根据评分规则，该指标权重分值2.5分，实际得分2.5分。</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（2）资金分配合理性</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中心在进行项目资金分配时，按各科室承担的任务将项目资金进行分配，资金分配方案经自治区残疾人联合会党组会议审议同意。</w:t>
      </w:r>
    </w:p>
    <w:p>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根据评分规则，该指标权重分值2.5分，实际得分2.5分。</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（二）项目过程情况</w:t>
      </w:r>
    </w:p>
    <w:p>
      <w:pPr>
        <w:pStyle w:val="11"/>
        <w:spacing w:line="500" w:lineRule="exact"/>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1.</w:t>
      </w:r>
      <w:r>
        <w:rPr>
          <w:rFonts w:hint="eastAsia" w:asciiTheme="minorEastAsia" w:hAnsiTheme="minorEastAsia" w:eastAsiaTheme="minorEastAsia"/>
          <w:spacing w:val="6"/>
          <w:sz w:val="32"/>
          <w:szCs w:val="32"/>
        </w:rPr>
        <w:t>资金管理</w:t>
      </w:r>
    </w:p>
    <w:p>
      <w:pPr>
        <w:pStyle w:val="11"/>
        <w:spacing w:line="500" w:lineRule="exact"/>
        <w:ind w:firstLine="664"/>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（1）</w:t>
      </w:r>
      <w:r>
        <w:rPr>
          <w:rFonts w:hint="eastAsia" w:cs="仿宋" w:asciiTheme="minorEastAsia" w:hAnsiTheme="minorEastAsia" w:eastAsiaTheme="minorEastAsia"/>
          <w:sz w:val="32"/>
          <w:szCs w:val="32"/>
        </w:rPr>
        <w:t>资金到位率：残疾人事业发展补助资金预算列入2022年预算，自治区财政厅2022年3月拨付残疾人事业发展补助资金</w:t>
      </w:r>
      <w:r>
        <w:rPr>
          <w:rFonts w:hint="eastAsia" w:cs="仿宋" w:asciiTheme="minorEastAsia" w:hAnsiTheme="minorEastAsia" w:eastAsiaTheme="minorEastAsia"/>
          <w:sz w:val="32"/>
          <w:szCs w:val="32"/>
          <w:lang w:val="en-US" w:eastAsia="zh-CN"/>
        </w:rPr>
        <w:t>90</w:t>
      </w:r>
      <w:r>
        <w:rPr>
          <w:rFonts w:hint="eastAsia" w:cs="仿宋" w:asciiTheme="minorEastAsia" w:hAnsiTheme="minorEastAsia" w:eastAsiaTheme="minorEastAsia"/>
          <w:sz w:val="32"/>
          <w:szCs w:val="32"/>
        </w:rPr>
        <w:t>万元，资金到位率100%。</w:t>
      </w:r>
    </w:p>
    <w:p>
      <w:pPr>
        <w:spacing w:line="500" w:lineRule="exact"/>
        <w:ind w:left="319" w:leftChars="152" w:firstLine="332" w:firstLineChars="100"/>
        <w:jc w:val="left"/>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根据评分规则，该指标权重分值4分，实际得分4分</w:t>
      </w:r>
    </w:p>
    <w:p>
      <w:pPr>
        <w:spacing w:line="500" w:lineRule="exact"/>
        <w:ind w:left="319" w:leftChars="152" w:firstLine="320" w:firstLineChars="100"/>
        <w:jc w:val="left"/>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（2）预算执行率：2022年自治区残疾人补助资金到位</w:t>
      </w:r>
      <w:r>
        <w:rPr>
          <w:rFonts w:hint="eastAsia" w:cs="仿宋" w:asciiTheme="minorEastAsia" w:hAnsiTheme="minorEastAsia" w:eastAsiaTheme="minorEastAsia"/>
          <w:sz w:val="32"/>
          <w:szCs w:val="32"/>
          <w:lang w:val="en-US" w:eastAsia="zh-CN"/>
        </w:rPr>
        <w:t>180</w:t>
      </w:r>
      <w:r>
        <w:rPr>
          <w:rFonts w:hint="eastAsia" w:cs="仿宋" w:asciiTheme="minorEastAsia" w:hAnsiTheme="minorEastAsia" w:eastAsiaTheme="minorEastAsia"/>
          <w:sz w:val="32"/>
          <w:szCs w:val="32"/>
        </w:rPr>
        <w:t>万元，实际支出</w:t>
      </w:r>
      <w:r>
        <w:rPr>
          <w:rFonts w:hint="eastAsia" w:cs="仿宋" w:asciiTheme="minorEastAsia" w:hAnsiTheme="minorEastAsia" w:eastAsiaTheme="minorEastAsia"/>
          <w:sz w:val="32"/>
          <w:szCs w:val="32"/>
          <w:lang w:val="en-US" w:eastAsia="zh-CN"/>
        </w:rPr>
        <w:t>82.32</w:t>
      </w:r>
      <w:r>
        <w:rPr>
          <w:rFonts w:hint="eastAsia" w:cs="仿宋" w:asciiTheme="minorEastAsia" w:hAnsiTheme="minorEastAsia" w:eastAsiaTheme="minorEastAsia"/>
          <w:sz w:val="32"/>
          <w:szCs w:val="32"/>
        </w:rPr>
        <w:t>万元，预算执行率</w:t>
      </w:r>
      <w:r>
        <w:rPr>
          <w:rFonts w:hint="eastAsia" w:cs="仿宋" w:asciiTheme="minorEastAsia" w:hAnsiTheme="minorEastAsia" w:eastAsiaTheme="minorEastAsia"/>
          <w:sz w:val="32"/>
          <w:szCs w:val="32"/>
          <w:lang w:val="en-US" w:eastAsia="zh-CN"/>
        </w:rPr>
        <w:t>91.47</w:t>
      </w:r>
      <w:r>
        <w:rPr>
          <w:rFonts w:hint="eastAsia" w:cs="仿宋" w:asciiTheme="minorEastAsia" w:hAnsiTheme="minorEastAsia" w:eastAsiaTheme="minorEastAsia"/>
          <w:sz w:val="32"/>
          <w:szCs w:val="32"/>
        </w:rPr>
        <w:t>%。</w:t>
      </w:r>
    </w:p>
    <w:p>
      <w:pPr>
        <w:spacing w:line="500" w:lineRule="exact"/>
        <w:ind w:firstLine="664" w:firstLineChars="200"/>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根据评分规则，该指标权重分值4分，实际得分3.</w:t>
      </w:r>
      <w:r>
        <w:rPr>
          <w:rFonts w:hint="eastAsia" w:asciiTheme="minorEastAsia" w:hAnsiTheme="minorEastAsia" w:eastAsiaTheme="minorEastAsia"/>
          <w:spacing w:val="6"/>
          <w:sz w:val="32"/>
          <w:szCs w:val="32"/>
          <w:lang w:val="en-US" w:eastAsia="zh-CN"/>
        </w:rPr>
        <w:t>66</w:t>
      </w:r>
      <w:r>
        <w:rPr>
          <w:rFonts w:hint="eastAsia" w:asciiTheme="minorEastAsia" w:hAnsiTheme="minorEastAsia" w:eastAsiaTheme="minorEastAsia"/>
          <w:spacing w:val="6"/>
          <w:sz w:val="32"/>
          <w:szCs w:val="32"/>
        </w:rPr>
        <w:t>分。</w:t>
      </w:r>
    </w:p>
    <w:p>
      <w:pPr>
        <w:numPr>
          <w:ilvl w:val="0"/>
          <w:numId w:val="3"/>
        </w:numPr>
        <w:spacing w:line="500" w:lineRule="exact"/>
        <w:ind w:firstLine="640" w:firstLineChars="2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资金使用合规性：项目使用资金符合相关的财务管理制度，</w:t>
      </w:r>
      <w:r>
        <w:rPr>
          <w:rFonts w:hint="eastAsia" w:asciiTheme="minorEastAsia" w:hAnsiTheme="minorEastAsia" w:eastAsiaTheme="minorEastAsia"/>
          <w:spacing w:val="6"/>
          <w:sz w:val="32"/>
          <w:szCs w:val="32"/>
        </w:rPr>
        <w:t>各科室能够按照自治区财政厅《关于提前下达2022年自治区财政残疾人事业发展补助资金的通知》（新财社〔20</w:t>
      </w:r>
      <w:r>
        <w:rPr>
          <w:rFonts w:asciiTheme="minorEastAsia" w:hAnsiTheme="minorEastAsia" w:eastAsiaTheme="minorEastAsia"/>
          <w:spacing w:val="6"/>
          <w:sz w:val="32"/>
          <w:szCs w:val="32"/>
        </w:rPr>
        <w:t>2</w:t>
      </w:r>
      <w:r>
        <w:rPr>
          <w:rFonts w:hint="eastAsia" w:asciiTheme="minorEastAsia" w:hAnsiTheme="minorEastAsia" w:eastAsiaTheme="minorEastAsia"/>
          <w:spacing w:val="6"/>
          <w:sz w:val="32"/>
          <w:szCs w:val="32"/>
        </w:rPr>
        <w:t>1〕291号）文件规定使用项目资金，项目资金的使用、支出有完整的审批程序和手续。</w:t>
      </w:r>
    </w:p>
    <w:p>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2.组织实施</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（1）管理制度健全性：</w:t>
      </w:r>
      <w:r>
        <w:rPr>
          <w:rFonts w:hint="eastAsia" w:asciiTheme="minorEastAsia" w:hAnsiTheme="minorEastAsia" w:eastAsiaTheme="minorEastAsia"/>
          <w:spacing w:val="6"/>
          <w:sz w:val="32"/>
          <w:szCs w:val="32"/>
        </w:rPr>
        <w:t>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中心制定并执行《新疆维吾尔自治区残疾人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中心管理制度》、《新疆维吾尔自治区残疾人事业发展补助资金管理办法》，</w:t>
      </w:r>
      <w:r>
        <w:rPr>
          <w:rFonts w:hint="eastAsia" w:cs="仿宋" w:asciiTheme="minorEastAsia" w:hAnsiTheme="minorEastAsia" w:eastAsiaTheme="minorEastAsia"/>
          <w:sz w:val="32"/>
          <w:szCs w:val="32"/>
        </w:rPr>
        <w:t>财务和业务管理制度健全，严格依据年初预算申报自治区残疾人补助资金实际需求与资金用途，专款专用，每月统计通报资金执行情况，保障项目顺利实施。</w:t>
      </w:r>
    </w:p>
    <w:p>
      <w:pPr>
        <w:spacing w:line="500" w:lineRule="exact"/>
        <w:ind w:firstLine="664" w:firstLineChars="200"/>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pPr>
        <w:spacing w:line="500" w:lineRule="exact"/>
        <w:ind w:firstLine="640" w:firstLineChars="2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（2）</w:t>
      </w:r>
      <w:r>
        <w:rPr>
          <w:rFonts w:hint="eastAsia" w:asciiTheme="minorEastAsia" w:hAnsiTheme="minorEastAsia" w:eastAsiaTheme="minorEastAsia"/>
          <w:spacing w:val="6"/>
          <w:sz w:val="32"/>
          <w:szCs w:val="32"/>
        </w:rPr>
        <w:t>制度执行有效性</w:t>
      </w:r>
    </w:p>
    <w:p>
      <w:pPr>
        <w:pStyle w:val="11"/>
        <w:spacing w:line="500" w:lineRule="exact"/>
        <w:ind w:firstLine="664"/>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中心在项目执行过程中，能够认真贯彻执行相关法律法规、制度、办法和约定，制度执行较为有效。</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根据评分规则，该指标权重分值4分，实际得分4分。</w:t>
      </w:r>
    </w:p>
    <w:p>
      <w:pPr>
        <w:pStyle w:val="11"/>
        <w:spacing w:line="500" w:lineRule="exact"/>
        <w:ind w:firstLine="640"/>
        <w:rPr>
          <w:rFonts w:cs="仿宋" w:asciiTheme="minorEastAsia" w:hAnsiTheme="minorEastAsia" w:eastAsiaTheme="minorEastAsia"/>
          <w:color w:val="FF0000"/>
          <w:sz w:val="32"/>
          <w:szCs w:val="32"/>
        </w:rPr>
      </w:pPr>
      <w:r>
        <w:rPr>
          <w:rFonts w:hint="eastAsia" w:cs="仿宋" w:asciiTheme="minorEastAsia" w:hAnsiTheme="minorEastAsia" w:eastAsiaTheme="minorEastAsia"/>
          <w:sz w:val="32"/>
          <w:szCs w:val="32"/>
        </w:rPr>
        <w:t>（三）项目产出情况</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1.数量指标</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 w:asciiTheme="minorEastAsia" w:hAnsiTheme="minorEastAsia" w:eastAsiaTheme="minorEastAsia"/>
          <w:sz w:val="32"/>
          <w:szCs w:val="32"/>
        </w:rPr>
        <w:t>指标1.</w:t>
      </w:r>
      <w:r>
        <w:rPr>
          <w:rFonts w:hint="eastAsia" w:cs="仿宋_GB2312" w:asciiTheme="minorEastAsia" w:hAnsiTheme="minorEastAsia" w:eastAsiaTheme="minorEastAsia"/>
          <w:sz w:val="32"/>
          <w:szCs w:val="32"/>
        </w:rPr>
        <w:t>残联政务大数据平台运行维护驻场人数，指标值≥1人，完成值 1人，指标完成率100%；</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指标2.残疾人事业统计培训天数，指标值 ≥3天，完成值</w:t>
      </w:r>
      <w:r>
        <w:rPr>
          <w:rFonts w:hint="eastAsia" w:cs="仿宋_GB2312" w:asciiTheme="minorEastAsia" w:hAnsiTheme="minorEastAsia" w:eastAsiaTheme="minorEastAsia"/>
          <w:sz w:val="32"/>
          <w:szCs w:val="32"/>
          <w:lang w:val="en-US" w:eastAsia="zh-CN"/>
        </w:rPr>
        <w:t>1</w:t>
      </w:r>
      <w:r>
        <w:rPr>
          <w:rFonts w:hint="eastAsia" w:cs="仿宋_GB2312" w:asciiTheme="minorEastAsia" w:hAnsiTheme="minorEastAsia" w:eastAsiaTheme="minorEastAsia"/>
          <w:sz w:val="32"/>
          <w:szCs w:val="32"/>
        </w:rPr>
        <w:t>天，指标完成率100%；</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指标3.大数据管理与服务平台信息安全运维服务采购数量，指标值= 1项，完成值1项，指标完成率100%。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指标4.</w:t>
      </w:r>
      <w:r>
        <w:rPr>
          <w:rFonts w:hint="eastAsia" w:cs="仿宋" w:asciiTheme="minorEastAsia" w:hAnsiTheme="minorEastAsia" w:eastAsiaTheme="minorEastAsia"/>
          <w:sz w:val="32"/>
          <w:szCs w:val="32"/>
        </w:rPr>
        <w:t>网上协同办公系统安全运维服务采购数量，</w:t>
      </w:r>
      <w:r>
        <w:rPr>
          <w:rFonts w:hint="eastAsia" w:cs="仿宋_GB2312" w:asciiTheme="minorEastAsia" w:hAnsiTheme="minorEastAsia" w:eastAsiaTheme="minorEastAsia"/>
          <w:sz w:val="32"/>
          <w:szCs w:val="32"/>
        </w:rPr>
        <w:t>指标值&gt;=</w:t>
      </w:r>
      <w:r>
        <w:rPr>
          <w:rFonts w:hint="eastAsia" w:cs="仿宋_GB2312" w:asciiTheme="minorEastAsia" w:hAnsiTheme="minorEastAsia" w:eastAsiaTheme="minorEastAsia"/>
          <w:sz w:val="32"/>
          <w:szCs w:val="32"/>
          <w:lang w:val="en-US" w:eastAsia="zh-CN"/>
        </w:rPr>
        <w:t>1</w:t>
      </w:r>
      <w:r>
        <w:rPr>
          <w:rFonts w:hint="eastAsia" w:cs="仿宋_GB2312" w:asciiTheme="minorEastAsia" w:hAnsiTheme="minorEastAsia" w:eastAsiaTheme="minorEastAsia"/>
          <w:sz w:val="32"/>
          <w:szCs w:val="32"/>
        </w:rPr>
        <w:t>项，完成值&gt;=</w:t>
      </w:r>
      <w:r>
        <w:rPr>
          <w:rFonts w:hint="eastAsia" w:cs="仿宋_GB2312" w:asciiTheme="minorEastAsia" w:hAnsiTheme="minorEastAsia" w:eastAsiaTheme="minorEastAsia"/>
          <w:sz w:val="32"/>
          <w:szCs w:val="32"/>
          <w:lang w:val="en-US" w:eastAsia="zh-CN"/>
        </w:rPr>
        <w:t>1</w:t>
      </w:r>
      <w:r>
        <w:rPr>
          <w:rFonts w:hint="eastAsia" w:cs="仿宋_GB2312" w:asciiTheme="minorEastAsia" w:hAnsiTheme="minorEastAsia" w:eastAsiaTheme="minorEastAsia"/>
          <w:sz w:val="32"/>
          <w:szCs w:val="32"/>
        </w:rPr>
        <w:t>项，指标完成率</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5</w:t>
      </w:r>
      <w:r>
        <w:rPr>
          <w:rFonts w:hint="eastAsia" w:cs="仿宋_GB2312" w:asciiTheme="minorEastAsia" w:hAnsiTheme="minorEastAsia" w:eastAsiaTheme="minorEastAsia"/>
          <w:sz w:val="32"/>
          <w:szCs w:val="32"/>
        </w:rPr>
        <w:t>.信息中心办公设备采购</w:t>
      </w:r>
      <w:r>
        <w:rPr>
          <w:rFonts w:hint="eastAsia" w:cs="仿宋" w:asciiTheme="minorEastAsia" w:hAnsiTheme="minorEastAsia" w:eastAsiaTheme="minorEastAsia"/>
          <w:sz w:val="32"/>
          <w:szCs w:val="32"/>
        </w:rPr>
        <w:t>，</w:t>
      </w:r>
      <w:r>
        <w:rPr>
          <w:rFonts w:hint="eastAsia" w:cs="仿宋_GB2312" w:asciiTheme="minorEastAsia" w:hAnsiTheme="minorEastAsia" w:eastAsiaTheme="minorEastAsia"/>
          <w:sz w:val="32"/>
          <w:szCs w:val="32"/>
        </w:rPr>
        <w:t>指标值≤</w:t>
      </w:r>
      <w:r>
        <w:rPr>
          <w:rFonts w:hint="eastAsia" w:cs="仿宋_GB2312" w:asciiTheme="minorEastAsia" w:hAnsiTheme="minorEastAsia" w:eastAsiaTheme="minorEastAsia"/>
          <w:sz w:val="32"/>
          <w:szCs w:val="32"/>
          <w:lang w:val="en-US" w:eastAsia="zh-CN"/>
        </w:rPr>
        <w:t>5</w:t>
      </w:r>
      <w:r>
        <w:rPr>
          <w:rFonts w:hint="eastAsia" w:cs="仿宋_GB2312" w:asciiTheme="minorEastAsia" w:hAnsiTheme="minorEastAsia" w:eastAsiaTheme="minorEastAsia"/>
          <w:sz w:val="32"/>
          <w:szCs w:val="32"/>
        </w:rPr>
        <w:t>台，完成值</w:t>
      </w:r>
      <w:r>
        <w:rPr>
          <w:rFonts w:hint="eastAsia" w:cs="仿宋_GB2312" w:asciiTheme="minorEastAsia" w:hAnsiTheme="minorEastAsia" w:eastAsiaTheme="minorEastAsia"/>
          <w:sz w:val="32"/>
          <w:szCs w:val="32"/>
          <w:lang w:val="en-US" w:eastAsia="zh-CN"/>
        </w:rPr>
        <w:t>3</w:t>
      </w:r>
      <w:r>
        <w:rPr>
          <w:rFonts w:hint="eastAsia" w:cs="仿宋_GB2312" w:asciiTheme="minorEastAsia" w:hAnsiTheme="minorEastAsia" w:eastAsiaTheme="minorEastAsia"/>
          <w:sz w:val="32"/>
          <w:szCs w:val="32"/>
        </w:rPr>
        <w:t>台，指标完成率</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6</w:t>
      </w:r>
      <w:r>
        <w:rPr>
          <w:rFonts w:hint="eastAsia" w:cs="仿宋_GB2312" w:asciiTheme="minorEastAsia" w:hAnsiTheme="minorEastAsia" w:eastAsiaTheme="minorEastAsia"/>
          <w:sz w:val="32"/>
          <w:szCs w:val="32"/>
        </w:rPr>
        <w:t>.培训参与人数（人）</w:t>
      </w:r>
      <w:r>
        <w:rPr>
          <w:rFonts w:hint="eastAsia" w:cs="仿宋" w:asciiTheme="minorEastAsia" w:hAnsiTheme="minorEastAsia" w:eastAsiaTheme="minorEastAsia"/>
          <w:sz w:val="32"/>
          <w:szCs w:val="32"/>
        </w:rPr>
        <w:t>，</w:t>
      </w:r>
      <w:r>
        <w:rPr>
          <w:rFonts w:hint="eastAsia" w:cs="仿宋_GB2312" w:asciiTheme="minorEastAsia" w:hAnsiTheme="minorEastAsia" w:eastAsiaTheme="minorEastAsia"/>
          <w:sz w:val="32"/>
          <w:szCs w:val="32"/>
        </w:rPr>
        <w:t>指标值&gt;=10人，完成值</w:t>
      </w:r>
      <w:r>
        <w:rPr>
          <w:rFonts w:hint="eastAsia" w:cs="仿宋_GB2312" w:asciiTheme="minorEastAsia" w:hAnsiTheme="minorEastAsia" w:eastAsiaTheme="minorEastAsia"/>
          <w:sz w:val="32"/>
          <w:szCs w:val="32"/>
          <w:lang w:val="en-US" w:eastAsia="zh-CN"/>
        </w:rPr>
        <w:t>47</w:t>
      </w:r>
      <w:r>
        <w:rPr>
          <w:rFonts w:hint="eastAsia" w:cs="仿宋_GB2312" w:asciiTheme="minorEastAsia" w:hAnsiTheme="minorEastAsia" w:eastAsiaTheme="minorEastAsia"/>
          <w:sz w:val="32"/>
          <w:szCs w:val="32"/>
        </w:rPr>
        <w:t>人，指标完成率</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w:t>
      </w:r>
      <w:r>
        <w:rPr>
          <w:rFonts w:hint="eastAsia" w:cs="仿宋_GB2312" w:asciiTheme="minorEastAsia" w:hAnsiTheme="minorEastAsia" w:eastAsiaTheme="minorEastAsia"/>
          <w:sz w:val="32"/>
          <w:szCs w:val="32"/>
        </w:rPr>
        <w:tab/>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7</w:t>
      </w:r>
      <w:r>
        <w:rPr>
          <w:rFonts w:hint="eastAsia" w:cs="仿宋_GB2312" w:asciiTheme="minorEastAsia" w:hAnsiTheme="minorEastAsia" w:eastAsiaTheme="minorEastAsia"/>
          <w:sz w:val="32"/>
          <w:szCs w:val="32"/>
        </w:rPr>
        <w:t>.培训场次</w:t>
      </w:r>
      <w:r>
        <w:rPr>
          <w:rFonts w:hint="eastAsia" w:cs="仿宋" w:asciiTheme="minorEastAsia" w:hAnsiTheme="minorEastAsia" w:eastAsiaTheme="minorEastAsia"/>
          <w:sz w:val="32"/>
          <w:szCs w:val="32"/>
        </w:rPr>
        <w:t>，</w:t>
      </w:r>
      <w:r>
        <w:rPr>
          <w:rFonts w:hint="eastAsia" w:cs="仿宋_GB2312" w:asciiTheme="minorEastAsia" w:hAnsiTheme="minorEastAsia" w:eastAsiaTheme="minorEastAsia"/>
          <w:sz w:val="32"/>
          <w:szCs w:val="32"/>
        </w:rPr>
        <w:t>指标值≤</w:t>
      </w:r>
      <w:r>
        <w:rPr>
          <w:rFonts w:hint="eastAsia" w:cs="仿宋_GB2312" w:asciiTheme="minorEastAsia" w:hAnsiTheme="minorEastAsia" w:eastAsiaTheme="minorEastAsia"/>
          <w:sz w:val="32"/>
          <w:szCs w:val="32"/>
          <w:lang w:val="en-US" w:eastAsia="zh-CN"/>
        </w:rPr>
        <w:t>1</w:t>
      </w:r>
      <w:r>
        <w:rPr>
          <w:rFonts w:hint="eastAsia" w:cs="仿宋_GB2312" w:asciiTheme="minorEastAsia" w:hAnsiTheme="minorEastAsia" w:eastAsiaTheme="minorEastAsia"/>
          <w:sz w:val="32"/>
          <w:szCs w:val="32"/>
          <w:lang w:eastAsia="zh-CN"/>
        </w:rPr>
        <w:t>次</w:t>
      </w:r>
      <w:r>
        <w:rPr>
          <w:rFonts w:hint="eastAsia" w:cs="仿宋_GB2312" w:asciiTheme="minorEastAsia" w:hAnsiTheme="minorEastAsia" w:eastAsiaTheme="minorEastAsia"/>
          <w:sz w:val="32"/>
          <w:szCs w:val="32"/>
        </w:rPr>
        <w:t>，完成值</w:t>
      </w:r>
      <w:r>
        <w:rPr>
          <w:rFonts w:hint="eastAsia" w:cs="仿宋_GB2312" w:asciiTheme="minorEastAsia" w:hAnsiTheme="minorEastAsia" w:eastAsiaTheme="minorEastAsia"/>
          <w:sz w:val="32"/>
          <w:szCs w:val="32"/>
          <w:lang w:val="en-US" w:eastAsia="zh-CN"/>
        </w:rPr>
        <w:t>1</w:t>
      </w:r>
      <w:r>
        <w:rPr>
          <w:rFonts w:hint="eastAsia" w:cs="仿宋_GB2312" w:asciiTheme="minorEastAsia" w:hAnsiTheme="minorEastAsia" w:eastAsiaTheme="minorEastAsia"/>
          <w:sz w:val="32"/>
          <w:szCs w:val="32"/>
          <w:lang w:eastAsia="zh-CN"/>
        </w:rPr>
        <w:t>次</w:t>
      </w:r>
      <w:r>
        <w:rPr>
          <w:rFonts w:hint="eastAsia" w:cs="仿宋_GB2312" w:asciiTheme="minorEastAsia" w:hAnsiTheme="minorEastAsia" w:eastAsiaTheme="minorEastAsia"/>
          <w:sz w:val="32"/>
          <w:szCs w:val="32"/>
        </w:rPr>
        <w:t>，指标完成率</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w:t>
      </w:r>
      <w:r>
        <w:rPr>
          <w:rFonts w:hint="eastAsia" w:cs="仿宋_GB2312" w:asciiTheme="minorEastAsia" w:hAnsiTheme="minorEastAsia" w:eastAsiaTheme="minorEastAsia"/>
          <w:sz w:val="32"/>
          <w:szCs w:val="32"/>
        </w:rPr>
        <w:tab/>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8</w:t>
      </w:r>
      <w:r>
        <w:rPr>
          <w:rFonts w:hint="eastAsia" w:cs="仿宋_GB2312" w:asciiTheme="minorEastAsia" w:hAnsiTheme="minorEastAsia" w:eastAsiaTheme="minorEastAsia"/>
          <w:sz w:val="32"/>
          <w:szCs w:val="32"/>
        </w:rPr>
        <w:t>.运转类经费保障人员数（人）</w:t>
      </w:r>
      <w:r>
        <w:rPr>
          <w:rFonts w:hint="eastAsia" w:cs="仿宋" w:asciiTheme="minorEastAsia" w:hAnsiTheme="minorEastAsia" w:eastAsiaTheme="minorEastAsia"/>
          <w:sz w:val="32"/>
          <w:szCs w:val="32"/>
        </w:rPr>
        <w:t>，</w:t>
      </w:r>
      <w:r>
        <w:rPr>
          <w:rFonts w:hint="eastAsia" w:cs="仿宋_GB2312" w:asciiTheme="minorEastAsia" w:hAnsiTheme="minorEastAsia" w:eastAsiaTheme="minorEastAsia"/>
          <w:sz w:val="32"/>
          <w:szCs w:val="32"/>
        </w:rPr>
        <w:t>指标值≤</w:t>
      </w:r>
      <w:r>
        <w:rPr>
          <w:rFonts w:hint="eastAsia" w:cs="仿宋_GB2312" w:asciiTheme="minorEastAsia" w:hAnsiTheme="minorEastAsia" w:eastAsiaTheme="minorEastAsia"/>
          <w:sz w:val="32"/>
          <w:szCs w:val="32"/>
          <w:lang w:val="en-US" w:eastAsia="zh-CN"/>
        </w:rPr>
        <w:t>7人</w:t>
      </w:r>
      <w:r>
        <w:rPr>
          <w:rFonts w:hint="eastAsia" w:cs="仿宋_GB2312" w:asciiTheme="minorEastAsia" w:hAnsiTheme="minorEastAsia" w:eastAsiaTheme="minorEastAsia"/>
          <w:sz w:val="32"/>
          <w:szCs w:val="32"/>
        </w:rPr>
        <w:t>，完成值</w:t>
      </w:r>
      <w:r>
        <w:rPr>
          <w:rFonts w:hint="eastAsia" w:cs="仿宋_GB2312" w:asciiTheme="minorEastAsia" w:hAnsiTheme="minorEastAsia" w:eastAsiaTheme="minorEastAsia"/>
          <w:sz w:val="32"/>
          <w:szCs w:val="32"/>
          <w:lang w:val="en-US" w:eastAsia="zh-CN"/>
        </w:rPr>
        <w:t>7人</w:t>
      </w:r>
      <w:r>
        <w:rPr>
          <w:rFonts w:hint="eastAsia" w:cs="仿宋_GB2312" w:asciiTheme="minorEastAsia" w:hAnsiTheme="minorEastAsia" w:eastAsiaTheme="minorEastAsia"/>
          <w:sz w:val="32"/>
          <w:szCs w:val="32"/>
        </w:rPr>
        <w:t>，指标完成率</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w:t>
      </w:r>
      <w:r>
        <w:rPr>
          <w:rFonts w:hint="eastAsia" w:cs="仿宋_GB2312" w:asciiTheme="minorEastAsia" w:hAnsiTheme="minorEastAsia" w:eastAsiaTheme="minorEastAsia"/>
          <w:sz w:val="32"/>
          <w:szCs w:val="32"/>
        </w:rPr>
        <w:tab/>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 xml:space="preserve">2.质量指标   </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指标1.会议（培训）出勤率，指标值&gt;=85%，完成值</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指标2.系统故障率（%），指标值&lt;=5%，完成值</w:t>
      </w:r>
      <w:r>
        <w:rPr>
          <w:rFonts w:hint="eastAsia" w:cs="仿宋_GB2312" w:asciiTheme="minorEastAsia" w:hAnsiTheme="minorEastAsia" w:eastAsiaTheme="minorEastAsia"/>
          <w:sz w:val="32"/>
          <w:szCs w:val="32"/>
          <w:lang w:val="en-US" w:eastAsia="zh-CN"/>
        </w:rPr>
        <w:t>2</w:t>
      </w:r>
      <w:r>
        <w:rPr>
          <w:rFonts w:hint="eastAsia" w:cs="仿宋_GB2312" w:asciiTheme="minorEastAsia" w:hAnsiTheme="minorEastAsia" w:eastAsiaTheme="minorEastAsia"/>
          <w:sz w:val="32"/>
          <w:szCs w:val="32"/>
        </w:rPr>
        <w:t>%，指标完成率100%。</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3.时效指标</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指标1.系统运行维护响应时间，指标值≤2小时，完成值2小时，指标完成率100%。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指标2.系统故障修复处理时长，指标值≤3天，完成值</w:t>
      </w:r>
      <w:r>
        <w:rPr>
          <w:rFonts w:hint="eastAsia" w:cs="仿宋_GB2312" w:asciiTheme="minorEastAsia" w:hAnsiTheme="minorEastAsia" w:eastAsiaTheme="minorEastAsia"/>
          <w:sz w:val="32"/>
          <w:szCs w:val="32"/>
          <w:lang w:val="en-US" w:eastAsia="zh-CN"/>
        </w:rPr>
        <w:t>2</w:t>
      </w:r>
      <w:r>
        <w:rPr>
          <w:rFonts w:hint="eastAsia" w:cs="仿宋_GB2312" w:asciiTheme="minorEastAsia" w:hAnsiTheme="minorEastAsia" w:eastAsiaTheme="minorEastAsia"/>
          <w:sz w:val="32"/>
          <w:szCs w:val="32"/>
        </w:rPr>
        <w:t>天，指标完成率100%。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3</w:t>
      </w:r>
      <w:r>
        <w:rPr>
          <w:rFonts w:hint="eastAsia" w:cs="仿宋_GB2312" w:asciiTheme="minorEastAsia" w:hAnsiTheme="minorEastAsia" w:eastAsiaTheme="minorEastAsia"/>
          <w:sz w:val="32"/>
          <w:szCs w:val="32"/>
        </w:rPr>
        <w:t>.会议、培训按期完成率，指标值&gt;=85%，完成值</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%，指标完成率100%。</w:t>
      </w:r>
      <w:r>
        <w:rPr>
          <w:rFonts w:hint="eastAsia" w:cs="仿宋_GB2312" w:asciiTheme="minorEastAsia" w:hAnsiTheme="minorEastAsia" w:eastAsiaTheme="minorEastAsia"/>
          <w:sz w:val="32"/>
          <w:szCs w:val="32"/>
        </w:rPr>
        <w:br w:type="textWrapping"/>
      </w:r>
      <w:r>
        <w:rPr>
          <w:rFonts w:hint="eastAsia" w:cs="仿宋_GB2312" w:asciiTheme="minorEastAsia" w:hAnsiTheme="minorEastAsia" w:eastAsiaTheme="minorEastAsia"/>
          <w:sz w:val="32"/>
          <w:szCs w:val="32"/>
          <w:lang w:val="en-US" w:eastAsia="zh-CN"/>
        </w:rPr>
        <w:t xml:space="preserve">    </w:t>
      </w: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4</w:t>
      </w:r>
      <w:r>
        <w:rPr>
          <w:rFonts w:hint="eastAsia" w:cs="仿宋_GB2312" w:asciiTheme="minorEastAsia" w:hAnsiTheme="minorEastAsia" w:eastAsiaTheme="minorEastAsia"/>
          <w:sz w:val="32"/>
          <w:szCs w:val="32"/>
        </w:rPr>
        <w:t>.运转类公用经费支付及时率，指标值&gt;=95%，完成值</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%，指标完成率100%。</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4.成本指标</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指标1.自治区残联门户网站运行维护成本</w:t>
      </w:r>
      <w:r>
        <w:rPr>
          <w:rFonts w:hint="eastAsia" w:cs="仿宋_GB2312" w:asciiTheme="minorEastAsia" w:hAnsiTheme="minorEastAsia" w:eastAsiaTheme="minorEastAsia"/>
          <w:sz w:val="32"/>
          <w:szCs w:val="32"/>
          <w:highlight w:val="none"/>
        </w:rPr>
        <w:tab/>
      </w:r>
      <w:r>
        <w:rPr>
          <w:rFonts w:hint="eastAsia" w:cs="仿宋_GB2312" w:asciiTheme="minorEastAsia" w:hAnsiTheme="minorEastAsia" w:eastAsiaTheme="minorEastAsia"/>
          <w:sz w:val="32"/>
          <w:szCs w:val="32"/>
          <w:highlight w:val="none"/>
        </w:rPr>
        <w:t>，指标值&lt;=3万元</w:t>
      </w:r>
      <w:r>
        <w:rPr>
          <w:rFonts w:hint="eastAsia" w:cs="仿宋_GB2312" w:asciiTheme="minorEastAsia" w:hAnsiTheme="minorEastAsia" w:eastAsiaTheme="minorEastAsia"/>
          <w:sz w:val="32"/>
          <w:szCs w:val="32"/>
          <w:highlight w:val="none"/>
        </w:rPr>
        <w:tab/>
      </w:r>
      <w:r>
        <w:rPr>
          <w:rFonts w:hint="eastAsia" w:cs="仿宋_GB2312" w:asciiTheme="minorEastAsia" w:hAnsiTheme="minorEastAsia" w:eastAsiaTheme="minorEastAsia"/>
          <w:sz w:val="32"/>
          <w:szCs w:val="32"/>
          <w:highlight w:val="none"/>
        </w:rPr>
        <w:t>，完成值</w:t>
      </w:r>
      <w:r>
        <w:rPr>
          <w:rFonts w:hint="eastAsia" w:cs="仿宋_GB2312" w:asciiTheme="minorEastAsia" w:hAnsiTheme="minorEastAsia" w:eastAsiaTheme="minorEastAsia"/>
          <w:sz w:val="32"/>
          <w:szCs w:val="32"/>
          <w:highlight w:val="none"/>
          <w:lang w:val="en-US" w:eastAsia="zh-CN"/>
        </w:rPr>
        <w:t>3</w:t>
      </w:r>
      <w:r>
        <w:rPr>
          <w:rFonts w:hint="eastAsia" w:cs="仿宋_GB2312" w:asciiTheme="minorEastAsia" w:hAnsiTheme="minorEastAsia" w:eastAsiaTheme="minorEastAsia"/>
          <w:sz w:val="32"/>
          <w:szCs w:val="32"/>
          <w:highlight w:val="none"/>
        </w:rPr>
        <w:t>万元/人/年，完成率</w:t>
      </w:r>
      <w:r>
        <w:rPr>
          <w:rFonts w:hint="eastAsia" w:cs="仿宋_GB2312" w:asciiTheme="minorEastAsia" w:hAnsiTheme="minorEastAsia" w:eastAsiaTheme="minorEastAsia"/>
          <w:sz w:val="32"/>
          <w:szCs w:val="32"/>
          <w:highlight w:val="none"/>
          <w:lang w:val="en-US" w:eastAsia="zh-CN"/>
        </w:rPr>
        <w:t>100</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指标2.自治区残联门户网站专题栏目改造成本，指标值&lt;=2万元</w:t>
      </w:r>
      <w:r>
        <w:rPr>
          <w:rFonts w:hint="eastAsia" w:cs="仿宋_GB2312" w:asciiTheme="minorEastAsia" w:hAnsiTheme="minorEastAsia" w:eastAsiaTheme="minorEastAsia"/>
          <w:sz w:val="32"/>
          <w:szCs w:val="32"/>
          <w:highlight w:val="none"/>
        </w:rPr>
        <w:tab/>
      </w:r>
      <w:r>
        <w:rPr>
          <w:rFonts w:hint="eastAsia" w:cs="仿宋_GB2312" w:asciiTheme="minorEastAsia" w:hAnsiTheme="minorEastAsia" w:eastAsiaTheme="minorEastAsia"/>
          <w:sz w:val="32"/>
          <w:szCs w:val="32"/>
          <w:highlight w:val="none"/>
        </w:rPr>
        <w:t>，完成值</w:t>
      </w:r>
      <w:r>
        <w:rPr>
          <w:rFonts w:hint="eastAsia" w:cs="仿宋_GB2312" w:asciiTheme="minorEastAsia" w:hAnsiTheme="minorEastAsia" w:eastAsiaTheme="minorEastAsia"/>
          <w:sz w:val="32"/>
          <w:szCs w:val="32"/>
          <w:highlight w:val="none"/>
          <w:lang w:val="en-US" w:eastAsia="zh-CN"/>
        </w:rPr>
        <w:t>2</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100</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指标3.大数据管理与服务平台信息安全运维服务成本，指标值&lt;=18.80万元，完成值</w:t>
      </w:r>
      <w:r>
        <w:rPr>
          <w:rFonts w:hint="eastAsia" w:cs="仿宋_GB2312" w:asciiTheme="minorEastAsia" w:hAnsiTheme="minorEastAsia" w:eastAsiaTheme="minorEastAsia"/>
          <w:sz w:val="32"/>
          <w:szCs w:val="32"/>
          <w:highlight w:val="none"/>
          <w:lang w:val="en-US" w:eastAsia="zh-CN"/>
        </w:rPr>
        <w:t>18.37</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97.71</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指标4.网上协同办公系统安全运维服务成本，指标值&lt;=14万元，完成值</w:t>
      </w:r>
      <w:r>
        <w:rPr>
          <w:rFonts w:hint="eastAsia" w:cs="仿宋_GB2312" w:asciiTheme="minorEastAsia" w:hAnsiTheme="minorEastAsia" w:eastAsiaTheme="minorEastAsia"/>
          <w:sz w:val="32"/>
          <w:szCs w:val="32"/>
          <w:highlight w:val="none"/>
          <w:lang w:val="en-US" w:eastAsia="zh-CN"/>
        </w:rPr>
        <w:t>17.65</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126.07</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hint="eastAsia"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指标5.信息中心办公设备采购成本，指标值&lt;=4.044万元，完成值</w:t>
      </w:r>
      <w:r>
        <w:rPr>
          <w:rFonts w:hint="eastAsia" w:cs="仿宋_GB2312" w:asciiTheme="minorEastAsia" w:hAnsiTheme="minorEastAsia" w:eastAsiaTheme="minorEastAsia"/>
          <w:sz w:val="32"/>
          <w:szCs w:val="32"/>
          <w:highlight w:val="none"/>
          <w:lang w:val="en-US" w:eastAsia="zh-CN"/>
        </w:rPr>
        <w:t>1.29</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31.9</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hint="eastAsia"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w:t>
      </w:r>
      <w:r>
        <w:rPr>
          <w:rFonts w:hint="eastAsia" w:cs="仿宋_GB2312" w:asciiTheme="minorEastAsia" w:hAnsiTheme="minorEastAsia" w:eastAsiaTheme="minorEastAsia"/>
          <w:sz w:val="32"/>
          <w:szCs w:val="32"/>
          <w:highlight w:val="none"/>
          <w:lang w:val="en-US" w:eastAsia="zh-CN"/>
        </w:rPr>
        <w:t>6</w:t>
      </w:r>
      <w:r>
        <w:rPr>
          <w:rFonts w:hint="eastAsia" w:cs="仿宋_GB2312" w:asciiTheme="minorEastAsia" w:hAnsiTheme="minorEastAsia" w:eastAsiaTheme="minorEastAsia"/>
          <w:sz w:val="32"/>
          <w:szCs w:val="32"/>
          <w:highlight w:val="none"/>
        </w:rPr>
        <w:t>.培训支出费用，指标值&lt;=3.50万元，完成值</w:t>
      </w:r>
      <w:r>
        <w:rPr>
          <w:rFonts w:hint="eastAsia" w:cs="仿宋_GB2312" w:asciiTheme="minorEastAsia" w:hAnsiTheme="minorEastAsia" w:eastAsiaTheme="minorEastAsia"/>
          <w:sz w:val="32"/>
          <w:szCs w:val="32"/>
          <w:highlight w:val="none"/>
          <w:lang w:val="en-US" w:eastAsia="zh-CN"/>
        </w:rPr>
        <w:t>2.82</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80.57</w:t>
      </w:r>
      <w:r>
        <w:rPr>
          <w:rFonts w:hint="eastAsia" w:cs="仿宋_GB2312" w:asciiTheme="minorEastAsia" w:hAnsiTheme="minorEastAsia" w:eastAsiaTheme="minorEastAsia"/>
          <w:sz w:val="32"/>
          <w:szCs w:val="32"/>
          <w:highlight w:val="none"/>
        </w:rPr>
        <w:t>%。</w:t>
      </w:r>
      <w:r>
        <w:rPr>
          <w:rFonts w:hint="eastAsia" w:cs="仿宋_GB2312" w:asciiTheme="minorEastAsia" w:hAnsiTheme="minorEastAsia" w:eastAsiaTheme="minorEastAsia"/>
          <w:sz w:val="32"/>
          <w:szCs w:val="32"/>
          <w:highlight w:val="none"/>
        </w:rPr>
        <w:tab/>
      </w:r>
    </w:p>
    <w:p>
      <w:pPr>
        <w:pStyle w:val="18"/>
        <w:widowControl/>
        <w:spacing w:before="40" w:beforeAutospacing="0" w:after="0" w:afterAutospacing="0" w:line="500" w:lineRule="exact"/>
        <w:ind w:firstLine="640" w:firstLineChars="200"/>
        <w:jc w:val="both"/>
        <w:rPr>
          <w:rFonts w:hint="eastAsia"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w:t>
      </w:r>
      <w:r>
        <w:rPr>
          <w:rFonts w:hint="eastAsia" w:cs="仿宋_GB2312" w:asciiTheme="minorEastAsia" w:hAnsiTheme="minorEastAsia" w:eastAsiaTheme="minorEastAsia"/>
          <w:sz w:val="32"/>
          <w:szCs w:val="32"/>
          <w:highlight w:val="none"/>
          <w:lang w:val="en-US" w:eastAsia="zh-CN"/>
        </w:rPr>
        <w:t>7</w:t>
      </w:r>
      <w:r>
        <w:rPr>
          <w:rFonts w:hint="eastAsia" w:cs="仿宋_GB2312" w:asciiTheme="minorEastAsia" w:hAnsiTheme="minorEastAsia" w:eastAsiaTheme="minorEastAsia"/>
          <w:sz w:val="32"/>
          <w:szCs w:val="32"/>
          <w:highlight w:val="none"/>
        </w:rPr>
        <w:t>.公用经费数，指标值&lt;=40.37万元，完成值</w:t>
      </w:r>
      <w:r>
        <w:rPr>
          <w:rFonts w:hint="eastAsia" w:cs="仿宋_GB2312" w:asciiTheme="minorEastAsia" w:hAnsiTheme="minorEastAsia" w:eastAsiaTheme="minorEastAsia"/>
          <w:sz w:val="32"/>
          <w:szCs w:val="32"/>
          <w:highlight w:val="none"/>
          <w:lang w:val="en-US" w:eastAsia="zh-CN"/>
        </w:rPr>
        <w:t>36.69</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90.88</w:t>
      </w:r>
      <w:r>
        <w:rPr>
          <w:rFonts w:hint="eastAsia" w:cs="仿宋_GB2312" w:asciiTheme="minorEastAsia" w:hAnsiTheme="minorEastAsia" w:eastAsiaTheme="minorEastAsia"/>
          <w:sz w:val="32"/>
          <w:szCs w:val="32"/>
          <w:highlight w:val="none"/>
        </w:rPr>
        <w:t>%。</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highlight w:val="none"/>
        </w:rPr>
        <w:t>根据评分规则，该指标权重分值</w:t>
      </w:r>
      <w:r>
        <w:rPr>
          <w:rFonts w:hint="eastAsia" w:asciiTheme="minorEastAsia" w:hAnsiTheme="minorEastAsia" w:eastAsiaTheme="minorEastAsia"/>
          <w:spacing w:val="6"/>
          <w:sz w:val="32"/>
          <w:szCs w:val="32"/>
          <w:highlight w:val="none"/>
          <w:lang w:val="en-US" w:eastAsia="zh-CN"/>
        </w:rPr>
        <w:t>20</w:t>
      </w:r>
      <w:r>
        <w:rPr>
          <w:rFonts w:hint="eastAsia" w:asciiTheme="minorEastAsia" w:hAnsiTheme="minorEastAsia" w:eastAsiaTheme="minorEastAsia"/>
          <w:spacing w:val="6"/>
          <w:sz w:val="32"/>
          <w:szCs w:val="32"/>
          <w:highlight w:val="none"/>
        </w:rPr>
        <w:t>分，实际得分</w:t>
      </w:r>
      <w:r>
        <w:rPr>
          <w:rFonts w:hint="eastAsia" w:asciiTheme="minorEastAsia" w:hAnsiTheme="minorEastAsia" w:eastAsiaTheme="minorEastAsia"/>
          <w:spacing w:val="6"/>
          <w:sz w:val="32"/>
          <w:szCs w:val="32"/>
          <w:highlight w:val="none"/>
          <w:lang w:val="en-US" w:eastAsia="zh-CN"/>
        </w:rPr>
        <w:t>17.13</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（四）项目效益情况</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1.效益指标</w:t>
      </w:r>
    </w:p>
    <w:p>
      <w:pPr>
        <w:pStyle w:val="18"/>
        <w:widowControl/>
        <w:spacing w:before="40" w:beforeAutospacing="0" w:after="0" w:afterAutospacing="0" w:line="500" w:lineRule="exact"/>
        <w:ind w:firstLine="640" w:firstLineChars="20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指标1.有效提示信息系统网络安全保障能力，指标值有效提升，完成值100%，完成率100%。</w:t>
      </w:r>
    </w:p>
    <w:p>
      <w:pPr>
        <w:pStyle w:val="18"/>
        <w:widowControl/>
        <w:spacing w:before="40" w:beforeAutospacing="0" w:after="0" w:afterAutospacing="0" w:line="500" w:lineRule="exact"/>
        <w:ind w:firstLine="664" w:firstLineChars="200"/>
        <w:jc w:val="both"/>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根据评分规则，该指标权重分值20分，实际得分20分。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（五）项目满意度情况</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指标1.信息网络系统使用人员满意度，完成值≥95%，指标完成率100%。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w:t>
      </w:r>
      <w:r>
        <w:rPr>
          <w:rFonts w:hint="eastAsia" w:cs="仿宋_GB2312" w:asciiTheme="minorEastAsia" w:hAnsiTheme="minorEastAsia" w:eastAsiaTheme="minorEastAsia"/>
          <w:sz w:val="32"/>
          <w:szCs w:val="32"/>
          <w:lang w:val="en-US" w:eastAsia="zh-CN"/>
        </w:rPr>
        <w:t>2.</w:t>
      </w:r>
      <w:r>
        <w:rPr>
          <w:rFonts w:hint="eastAsia" w:cs="仿宋_GB2312" w:asciiTheme="minorEastAsia" w:hAnsiTheme="minorEastAsia" w:eastAsiaTheme="minorEastAsia"/>
          <w:sz w:val="32"/>
          <w:szCs w:val="32"/>
        </w:rPr>
        <w:t>参加培训人员满意度，完成值≥95%，指标完成率100%。</w:t>
      </w:r>
    </w:p>
    <w:p>
      <w:pPr>
        <w:spacing w:line="500" w:lineRule="exact"/>
        <w:ind w:firstLine="664" w:firstLineChars="200"/>
        <w:rPr>
          <w:rFonts w:hint="eastAsia" w:ascii="仿宋_GB2312" w:hAnsi="黑体" w:eastAsia="仿宋_GB2312"/>
          <w:spacing w:val="6"/>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w:t>
      </w:r>
      <w:r>
        <w:rPr>
          <w:rFonts w:hint="eastAsia" w:ascii="仿宋_GB2312" w:hAnsi="黑体" w:eastAsia="仿宋_GB2312"/>
          <w:spacing w:val="6"/>
          <w:sz w:val="32"/>
          <w:szCs w:val="32"/>
        </w:rPr>
        <w:t>。</w:t>
      </w:r>
    </w:p>
    <w:p>
      <w:pPr>
        <w:spacing w:line="500" w:lineRule="exact"/>
        <w:ind w:firstLine="664" w:firstLineChars="200"/>
        <w:rPr>
          <w:rFonts w:hint="eastAsia" w:ascii="仿宋_GB2312" w:hAnsi="黑体" w:eastAsia="仿宋_GB2312"/>
          <w:spacing w:val="6"/>
          <w:sz w:val="32"/>
          <w:szCs w:val="32"/>
        </w:rPr>
      </w:pPr>
    </w:p>
    <w:p>
      <w:pPr>
        <w:spacing w:line="500" w:lineRule="exact"/>
        <w:ind w:firstLine="640"/>
        <w:rPr>
          <w:rStyle w:val="22"/>
          <w:rFonts w:ascii="黑体" w:hAnsi="黑体" w:eastAsia="黑体"/>
          <w:spacing w:val="-4"/>
          <w:sz w:val="32"/>
          <w:szCs w:val="32"/>
        </w:rPr>
      </w:pPr>
      <w:r>
        <w:rPr>
          <w:rStyle w:val="22"/>
          <w:rFonts w:hint="eastAsia" w:ascii="黑体" w:hAnsi="黑体" w:eastAsia="黑体"/>
          <w:b w:val="0"/>
          <w:spacing w:val="-4"/>
          <w:sz w:val="32"/>
          <w:szCs w:val="32"/>
        </w:rPr>
        <w:t>五、</w:t>
      </w:r>
      <w:r>
        <w:rPr>
          <w:rStyle w:val="22"/>
          <w:rFonts w:ascii="黑体" w:hAnsi="黑体" w:eastAsia="黑体"/>
          <w:b w:val="0"/>
          <w:spacing w:val="-4"/>
          <w:sz w:val="32"/>
          <w:szCs w:val="32"/>
        </w:rPr>
        <w:t>主要经验及做法、存在的问题及原因分析</w:t>
      </w:r>
    </w:p>
    <w:p>
      <w:pPr>
        <w:spacing w:line="500" w:lineRule="exact"/>
        <w:ind w:firstLine="664" w:firstLineChars="200"/>
        <w:rPr>
          <w:rFonts w:hint="eastAsia"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存在的问题：本年度预算项目执行进度缓慢且较为集中，导致单位整体财政拨款资金执行进度拖沓，绩效评估较为困难。</w:t>
      </w:r>
    </w:p>
    <w:p>
      <w:pPr>
        <w:spacing w:line="500" w:lineRule="exact"/>
        <w:ind w:firstLine="664" w:firstLineChars="200"/>
        <w:rPr>
          <w:rFonts w:hint="eastAsia"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原因：信息中心项目多为政府采购公开招标项目，且需要和多个组织部门、机构进行多次沟通、协商确定最优方案，所以项目执行进度较为缓慢；又因招标时间确定的较为集中，所以项目进度也都并列推进，从而造成整体进度较慢。</w:t>
      </w:r>
    </w:p>
    <w:p>
      <w:pPr>
        <w:spacing w:line="500" w:lineRule="exact"/>
        <w:ind w:firstLine="664" w:firstLineChars="200"/>
        <w:rPr>
          <w:rFonts w:hint="eastAsia" w:asciiTheme="minorEastAsia" w:hAnsiTheme="minorEastAsia" w:eastAsiaTheme="minorEastAsia"/>
          <w:spacing w:val="6"/>
          <w:sz w:val="32"/>
          <w:szCs w:val="32"/>
          <w:lang w:eastAsia="zh-CN"/>
        </w:rPr>
      </w:pPr>
      <w:r>
        <w:rPr>
          <w:rFonts w:hint="eastAsia" w:asciiTheme="minorEastAsia" w:hAnsiTheme="minorEastAsia" w:eastAsiaTheme="minorEastAsia"/>
          <w:spacing w:val="6"/>
          <w:sz w:val="32"/>
          <w:szCs w:val="32"/>
        </w:rPr>
        <w:t>改进措施：</w:t>
      </w:r>
      <w:r>
        <w:rPr>
          <w:rFonts w:hint="eastAsia" w:asciiTheme="minorEastAsia" w:hAnsiTheme="minorEastAsia" w:eastAsiaTheme="minorEastAsia"/>
          <w:spacing w:val="6"/>
          <w:sz w:val="32"/>
          <w:szCs w:val="32"/>
          <w:lang w:eastAsia="zh-CN"/>
        </w:rPr>
        <w:t>财务人员要积极和领导、业务人员多沟通，合理安排各项目公开招标采购时间，做预算时合理设置项目绩效目标和指标，这样有目标的积极推动各个项目的执行，从而改善预算执行进度缓慢且集中的问题。</w:t>
      </w:r>
    </w:p>
    <w:p>
      <w:pPr>
        <w:spacing w:line="500" w:lineRule="exact"/>
        <w:ind w:firstLine="640" w:firstLineChars="200"/>
        <w:rPr>
          <w:rFonts w:hint="eastAsia" w:cs="仿宋" w:asciiTheme="minorEastAsia" w:hAnsiTheme="minorEastAsia" w:eastAsiaTheme="minorEastAsia"/>
          <w:sz w:val="32"/>
          <w:szCs w:val="32"/>
        </w:rPr>
      </w:pPr>
    </w:p>
    <w:p>
      <w:pPr>
        <w:spacing w:line="500" w:lineRule="exact"/>
        <w:ind w:firstLine="624" w:firstLineChars="200"/>
        <w:rPr>
          <w:rStyle w:val="22"/>
          <w:rFonts w:ascii="黑体" w:hAnsi="黑体" w:eastAsia="黑体"/>
          <w:b w:val="0"/>
          <w:spacing w:val="-4"/>
          <w:sz w:val="32"/>
          <w:szCs w:val="32"/>
        </w:rPr>
      </w:pPr>
      <w:r>
        <w:rPr>
          <w:rStyle w:val="22"/>
          <w:rFonts w:hint="eastAsia" w:ascii="黑体" w:hAnsi="黑体" w:eastAsia="黑体"/>
          <w:b w:val="0"/>
          <w:spacing w:val="-4"/>
          <w:sz w:val="32"/>
          <w:szCs w:val="32"/>
        </w:rPr>
        <w:t>六</w:t>
      </w:r>
      <w:r>
        <w:rPr>
          <w:rStyle w:val="22"/>
          <w:rFonts w:ascii="黑体" w:hAnsi="黑体" w:eastAsia="黑体"/>
          <w:b w:val="0"/>
          <w:spacing w:val="-4"/>
          <w:sz w:val="32"/>
          <w:szCs w:val="32"/>
        </w:rPr>
        <w:t>、有关建议</w:t>
      </w:r>
    </w:p>
    <w:p>
      <w:pPr>
        <w:spacing w:line="500" w:lineRule="exact"/>
        <w:ind w:firstLine="627" w:firstLineChars="200"/>
        <w:rPr>
          <w:rStyle w:val="22"/>
          <w:rFonts w:ascii="楷体" w:hAnsi="楷体" w:eastAsia="楷体"/>
          <w:spacing w:val="-4"/>
          <w:sz w:val="32"/>
          <w:szCs w:val="32"/>
        </w:rPr>
      </w:pPr>
      <w:r>
        <w:rPr>
          <w:rStyle w:val="22"/>
          <w:rFonts w:hint="eastAsia" w:ascii="楷体" w:hAnsi="楷体" w:eastAsia="楷体"/>
          <w:spacing w:val="-4"/>
          <w:sz w:val="32"/>
          <w:szCs w:val="32"/>
        </w:rPr>
        <w:t>无</w:t>
      </w:r>
    </w:p>
    <w:p>
      <w:pPr>
        <w:spacing w:line="500" w:lineRule="exact"/>
        <w:ind w:firstLine="567"/>
        <w:rPr>
          <w:rStyle w:val="22"/>
          <w:rFonts w:ascii="黑体" w:hAnsi="黑体" w:eastAsia="黑体"/>
          <w:b w:val="0"/>
          <w:spacing w:val="-4"/>
          <w:sz w:val="32"/>
          <w:szCs w:val="32"/>
        </w:rPr>
      </w:pPr>
      <w:r>
        <w:rPr>
          <w:rStyle w:val="22"/>
          <w:rFonts w:hint="eastAsia" w:ascii="黑体" w:hAnsi="黑体" w:eastAsia="黑体"/>
          <w:b w:val="0"/>
          <w:spacing w:val="-4"/>
          <w:sz w:val="32"/>
          <w:szCs w:val="32"/>
        </w:rPr>
        <w:t>七、其他需要说明的问题</w:t>
      </w:r>
    </w:p>
    <w:p>
      <w:pPr>
        <w:spacing w:line="500" w:lineRule="exact"/>
        <w:ind w:firstLine="627" w:firstLineChars="200"/>
        <w:rPr>
          <w:rStyle w:val="22"/>
          <w:rFonts w:ascii="楷体" w:hAnsi="楷体" w:eastAsia="楷体"/>
          <w:spacing w:val="-4"/>
          <w:sz w:val="32"/>
          <w:szCs w:val="32"/>
        </w:rPr>
      </w:pPr>
      <w:r>
        <w:rPr>
          <w:rStyle w:val="22"/>
          <w:rFonts w:hint="eastAsia" w:ascii="楷体" w:hAnsi="楷体" w:eastAsia="楷体"/>
          <w:spacing w:val="-4"/>
          <w:sz w:val="32"/>
          <w:szCs w:val="32"/>
        </w:rPr>
        <w:t>无</w:t>
      </w:r>
    </w:p>
    <w:p>
      <w:pPr>
        <w:spacing w:line="540" w:lineRule="exact"/>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13</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8A00FF"/>
    <w:multiLevelType w:val="singleLevel"/>
    <w:tmpl w:val="9B8A00FF"/>
    <w:lvl w:ilvl="0" w:tentative="0">
      <w:start w:val="1"/>
      <w:numFmt w:val="decimal"/>
      <w:suff w:val="nothing"/>
      <w:lvlText w:val="%1、"/>
      <w:lvlJc w:val="left"/>
    </w:lvl>
  </w:abstractNum>
  <w:abstractNum w:abstractNumId="1">
    <w:nsid w:val="A0E07A91"/>
    <w:multiLevelType w:val="singleLevel"/>
    <w:tmpl w:val="A0E07A91"/>
    <w:lvl w:ilvl="0" w:tentative="0">
      <w:start w:val="1"/>
      <w:numFmt w:val="decimal"/>
      <w:lvlText w:val="%1."/>
      <w:lvlJc w:val="left"/>
      <w:pPr>
        <w:tabs>
          <w:tab w:val="left" w:pos="312"/>
        </w:tabs>
      </w:pPr>
    </w:lvl>
  </w:abstractNum>
  <w:abstractNum w:abstractNumId="2">
    <w:nsid w:val="B3537677"/>
    <w:multiLevelType w:val="singleLevel"/>
    <w:tmpl w:val="B3537677"/>
    <w:lvl w:ilvl="0" w:tentative="0">
      <w:start w:val="3"/>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2MmNlMjdlMDE0YzhiODRjOTE3NmRkNjliMzA4Y2YifQ=="/>
  </w:docVars>
  <w:rsids>
    <w:rsidRoot w:val="00CA6457"/>
    <w:rsid w:val="000013BB"/>
    <w:rsid w:val="000110C4"/>
    <w:rsid w:val="00037D50"/>
    <w:rsid w:val="0005416C"/>
    <w:rsid w:val="00056465"/>
    <w:rsid w:val="001028C5"/>
    <w:rsid w:val="00102DFF"/>
    <w:rsid w:val="00121AE4"/>
    <w:rsid w:val="0014601B"/>
    <w:rsid w:val="00146AAD"/>
    <w:rsid w:val="0015034E"/>
    <w:rsid w:val="00150F05"/>
    <w:rsid w:val="001B3A40"/>
    <w:rsid w:val="00246DB9"/>
    <w:rsid w:val="00273CCD"/>
    <w:rsid w:val="00291BC0"/>
    <w:rsid w:val="00304BAF"/>
    <w:rsid w:val="00311DBE"/>
    <w:rsid w:val="00345DD7"/>
    <w:rsid w:val="00351EFF"/>
    <w:rsid w:val="003539C8"/>
    <w:rsid w:val="003B0577"/>
    <w:rsid w:val="003E7E58"/>
    <w:rsid w:val="003F5180"/>
    <w:rsid w:val="00414C3A"/>
    <w:rsid w:val="004366A8"/>
    <w:rsid w:val="00497C19"/>
    <w:rsid w:val="004A05EE"/>
    <w:rsid w:val="004C38BC"/>
    <w:rsid w:val="004F1F3C"/>
    <w:rsid w:val="00502BA7"/>
    <w:rsid w:val="005162F1"/>
    <w:rsid w:val="00520759"/>
    <w:rsid w:val="00535153"/>
    <w:rsid w:val="00554F82"/>
    <w:rsid w:val="0056390D"/>
    <w:rsid w:val="005708F0"/>
    <w:rsid w:val="005719B0"/>
    <w:rsid w:val="00587566"/>
    <w:rsid w:val="005A4F2E"/>
    <w:rsid w:val="005A5018"/>
    <w:rsid w:val="005B16B8"/>
    <w:rsid w:val="005C51DF"/>
    <w:rsid w:val="005D10D6"/>
    <w:rsid w:val="005E7C5E"/>
    <w:rsid w:val="005F5944"/>
    <w:rsid w:val="0075584F"/>
    <w:rsid w:val="007C3130"/>
    <w:rsid w:val="007F79BB"/>
    <w:rsid w:val="00800353"/>
    <w:rsid w:val="00855E3A"/>
    <w:rsid w:val="008D4D6E"/>
    <w:rsid w:val="0091457F"/>
    <w:rsid w:val="00922CB9"/>
    <w:rsid w:val="00925D36"/>
    <w:rsid w:val="00944DD1"/>
    <w:rsid w:val="009E5CD9"/>
    <w:rsid w:val="009F4373"/>
    <w:rsid w:val="00A26421"/>
    <w:rsid w:val="00A34588"/>
    <w:rsid w:val="00A413B8"/>
    <w:rsid w:val="00A4293B"/>
    <w:rsid w:val="00A6320B"/>
    <w:rsid w:val="00A67D50"/>
    <w:rsid w:val="00A8691A"/>
    <w:rsid w:val="00A972DF"/>
    <w:rsid w:val="00AC1946"/>
    <w:rsid w:val="00AC3A96"/>
    <w:rsid w:val="00AD5E52"/>
    <w:rsid w:val="00AF683C"/>
    <w:rsid w:val="00B2343E"/>
    <w:rsid w:val="00B31668"/>
    <w:rsid w:val="00B40063"/>
    <w:rsid w:val="00B41F61"/>
    <w:rsid w:val="00B74D04"/>
    <w:rsid w:val="00B85920"/>
    <w:rsid w:val="00BA46E6"/>
    <w:rsid w:val="00BB5015"/>
    <w:rsid w:val="00BF6A52"/>
    <w:rsid w:val="00C1189C"/>
    <w:rsid w:val="00C56C72"/>
    <w:rsid w:val="00C62CB9"/>
    <w:rsid w:val="00CA6457"/>
    <w:rsid w:val="00CA6DC2"/>
    <w:rsid w:val="00CD37A4"/>
    <w:rsid w:val="00CE2FD9"/>
    <w:rsid w:val="00D17F2E"/>
    <w:rsid w:val="00D30354"/>
    <w:rsid w:val="00D33B92"/>
    <w:rsid w:val="00D52B7C"/>
    <w:rsid w:val="00D80C1E"/>
    <w:rsid w:val="00DB1661"/>
    <w:rsid w:val="00DC0166"/>
    <w:rsid w:val="00DF42A0"/>
    <w:rsid w:val="00E30E91"/>
    <w:rsid w:val="00E36D1C"/>
    <w:rsid w:val="00E769FE"/>
    <w:rsid w:val="00E774CE"/>
    <w:rsid w:val="00E96D03"/>
    <w:rsid w:val="00EA2CBE"/>
    <w:rsid w:val="00EB10A0"/>
    <w:rsid w:val="00EF2D5B"/>
    <w:rsid w:val="00F32FEE"/>
    <w:rsid w:val="00F55140"/>
    <w:rsid w:val="00FB10BB"/>
    <w:rsid w:val="06650988"/>
    <w:rsid w:val="0CB44F22"/>
    <w:rsid w:val="1AE35CFA"/>
    <w:rsid w:val="2F1E5720"/>
    <w:rsid w:val="41ED0BBA"/>
    <w:rsid w:val="4A6362F8"/>
    <w:rsid w:val="4D260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rPr>
      <w:rFonts w:ascii="Calibri" w:hAnsi="Calibri"/>
    </w:rPr>
  </w:style>
  <w:style w:type="paragraph" w:styleId="12">
    <w:name w:val="Body Text"/>
    <w:basedOn w:val="1"/>
    <w:link w:val="51"/>
    <w:qFormat/>
    <w:uiPriority w:val="0"/>
    <w:pPr>
      <w:spacing w:line="360" w:lineRule="auto"/>
      <w:jc w:val="center"/>
    </w:pPr>
    <w:rPr>
      <w:rFonts w:ascii="Calibri" w:hAnsi="Calibri" w:cs="宋体"/>
      <w:b/>
      <w:sz w:val="44"/>
      <w:szCs w:val="22"/>
    </w:rPr>
  </w:style>
  <w:style w:type="paragraph" w:styleId="13">
    <w:name w:val="Plain Text"/>
    <w:basedOn w:val="1"/>
    <w:link w:val="50"/>
    <w:qFormat/>
    <w:uiPriority w:val="0"/>
    <w:rPr>
      <w:rFonts w:ascii="宋体" w:hAnsi="Courier New"/>
    </w:rPr>
  </w:style>
  <w:style w:type="paragraph" w:styleId="14">
    <w:name w:val="Balloon Text"/>
    <w:basedOn w:val="1"/>
    <w:link w:val="49"/>
    <w:semiHidden/>
    <w:unhideWhenUsed/>
    <w:qFormat/>
    <w:uiPriority w:val="99"/>
    <w:rPr>
      <w:sz w:val="18"/>
      <w:szCs w:val="18"/>
    </w:rPr>
  </w:style>
  <w:style w:type="paragraph" w:styleId="15">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99"/>
    <w:pPr>
      <w:spacing w:before="100" w:beforeAutospacing="1" w:after="100" w:afterAutospacing="1"/>
      <w:jc w:val="left"/>
    </w:pPr>
    <w:rPr>
      <w:rFonts w:ascii="Calibri" w:hAnsi="Calibri"/>
      <w:sz w:val="24"/>
    </w:rPr>
  </w:style>
  <w:style w:type="paragraph" w:styleId="19">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Char"/>
    <w:basedOn w:val="21"/>
    <w:link w:val="2"/>
    <w:qFormat/>
    <w:uiPriority w:val="9"/>
    <w:rPr>
      <w:rFonts w:asciiTheme="majorHAnsi" w:hAnsiTheme="majorHAnsi" w:eastAsiaTheme="majorEastAsia"/>
      <w:b/>
      <w:bCs/>
      <w:kern w:val="32"/>
      <w:sz w:val="32"/>
      <w:szCs w:val="32"/>
    </w:rPr>
  </w:style>
  <w:style w:type="character" w:customStyle="1" w:styleId="25">
    <w:name w:val="标题 2 Char"/>
    <w:basedOn w:val="21"/>
    <w:link w:val="3"/>
    <w:semiHidden/>
    <w:qFormat/>
    <w:uiPriority w:val="9"/>
    <w:rPr>
      <w:rFonts w:asciiTheme="majorHAnsi" w:hAnsiTheme="majorHAnsi" w:eastAsiaTheme="majorEastAsia"/>
      <w:b/>
      <w:bCs/>
      <w:i/>
      <w:iCs/>
      <w:sz w:val="28"/>
      <w:szCs w:val="28"/>
    </w:rPr>
  </w:style>
  <w:style w:type="character" w:customStyle="1" w:styleId="26">
    <w:name w:val="标题 3 Char"/>
    <w:basedOn w:val="21"/>
    <w:link w:val="4"/>
    <w:semiHidden/>
    <w:qFormat/>
    <w:uiPriority w:val="9"/>
    <w:rPr>
      <w:rFonts w:asciiTheme="majorHAnsi" w:hAnsiTheme="majorHAnsi" w:eastAsiaTheme="majorEastAsia"/>
      <w:b/>
      <w:bCs/>
      <w:sz w:val="26"/>
      <w:szCs w:val="26"/>
    </w:rPr>
  </w:style>
  <w:style w:type="character" w:customStyle="1" w:styleId="27">
    <w:name w:val="标题 4 Char"/>
    <w:basedOn w:val="21"/>
    <w:link w:val="5"/>
    <w:qFormat/>
    <w:uiPriority w:val="9"/>
    <w:rPr>
      <w:b/>
      <w:bCs/>
      <w:sz w:val="28"/>
      <w:szCs w:val="28"/>
    </w:rPr>
  </w:style>
  <w:style w:type="character" w:customStyle="1" w:styleId="28">
    <w:name w:val="标题 5 Char"/>
    <w:basedOn w:val="21"/>
    <w:link w:val="6"/>
    <w:semiHidden/>
    <w:qFormat/>
    <w:uiPriority w:val="9"/>
    <w:rPr>
      <w:b/>
      <w:bCs/>
      <w:i/>
      <w:iCs/>
      <w:sz w:val="26"/>
      <w:szCs w:val="26"/>
    </w:rPr>
  </w:style>
  <w:style w:type="character" w:customStyle="1" w:styleId="29">
    <w:name w:val="标题 6 Char"/>
    <w:basedOn w:val="21"/>
    <w:link w:val="7"/>
    <w:semiHidden/>
    <w:qFormat/>
    <w:uiPriority w:val="9"/>
    <w:rPr>
      <w:b/>
      <w:bCs/>
    </w:rPr>
  </w:style>
  <w:style w:type="character" w:customStyle="1" w:styleId="30">
    <w:name w:val="标题 7 Char"/>
    <w:basedOn w:val="21"/>
    <w:link w:val="8"/>
    <w:semiHidden/>
    <w:qFormat/>
    <w:uiPriority w:val="9"/>
    <w:rPr>
      <w:sz w:val="24"/>
      <w:szCs w:val="24"/>
    </w:rPr>
  </w:style>
  <w:style w:type="character" w:customStyle="1" w:styleId="31">
    <w:name w:val="标题 8 Char"/>
    <w:basedOn w:val="21"/>
    <w:link w:val="9"/>
    <w:semiHidden/>
    <w:qFormat/>
    <w:uiPriority w:val="9"/>
    <w:rPr>
      <w:i/>
      <w:iCs/>
      <w:sz w:val="24"/>
      <w:szCs w:val="24"/>
    </w:rPr>
  </w:style>
  <w:style w:type="character" w:customStyle="1" w:styleId="32">
    <w:name w:val="标题 9 Char"/>
    <w:basedOn w:val="21"/>
    <w:link w:val="10"/>
    <w:semiHidden/>
    <w:qFormat/>
    <w:uiPriority w:val="9"/>
    <w:rPr>
      <w:rFonts w:asciiTheme="majorHAnsi" w:hAnsiTheme="majorHAnsi" w:eastAsiaTheme="majorEastAsia"/>
    </w:rPr>
  </w:style>
  <w:style w:type="character" w:customStyle="1" w:styleId="33">
    <w:name w:val="标题 Char"/>
    <w:basedOn w:val="21"/>
    <w:link w:val="19"/>
    <w:qFormat/>
    <w:uiPriority w:val="10"/>
    <w:rPr>
      <w:rFonts w:asciiTheme="majorHAnsi" w:hAnsiTheme="majorHAnsi" w:eastAsiaTheme="majorEastAsia"/>
      <w:b/>
      <w:bCs/>
      <w:kern w:val="28"/>
      <w:sz w:val="32"/>
      <w:szCs w:val="32"/>
    </w:rPr>
  </w:style>
  <w:style w:type="character" w:customStyle="1" w:styleId="34">
    <w:name w:val="副标题 Char"/>
    <w:basedOn w:val="21"/>
    <w:link w:val="17"/>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21"/>
    <w:link w:val="39"/>
    <w:qFormat/>
    <w:uiPriority w:val="30"/>
    <w:rPr>
      <w:b/>
      <w:i/>
      <w:sz w:val="24"/>
    </w:rPr>
  </w:style>
  <w:style w:type="character" w:customStyle="1" w:styleId="41">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2"/>
    <w:next w:val="1"/>
    <w:semiHidden/>
    <w:unhideWhenUsed/>
    <w:qFormat/>
    <w:uiPriority w:val="39"/>
    <w:pPr>
      <w:outlineLvl w:val="9"/>
    </w:pPr>
    <w:rPr>
      <w:lang w:eastAsia="en-US" w:bidi="en-US"/>
    </w:rPr>
  </w:style>
  <w:style w:type="character" w:customStyle="1" w:styleId="47">
    <w:name w:val="页眉 Char"/>
    <w:basedOn w:val="21"/>
    <w:link w:val="16"/>
    <w:qFormat/>
    <w:uiPriority w:val="99"/>
    <w:rPr>
      <w:rFonts w:ascii="Calibri" w:hAnsi="Calibri" w:eastAsia="宋体"/>
      <w:kern w:val="2"/>
      <w:sz w:val="18"/>
      <w:szCs w:val="18"/>
    </w:rPr>
  </w:style>
  <w:style w:type="character" w:customStyle="1" w:styleId="48">
    <w:name w:val="页脚 Char"/>
    <w:basedOn w:val="21"/>
    <w:link w:val="15"/>
    <w:qFormat/>
    <w:uiPriority w:val="99"/>
    <w:rPr>
      <w:rFonts w:ascii="Calibri" w:hAnsi="Calibri" w:eastAsia="宋体"/>
      <w:kern w:val="2"/>
      <w:sz w:val="18"/>
      <w:szCs w:val="18"/>
    </w:rPr>
  </w:style>
  <w:style w:type="character" w:customStyle="1" w:styleId="49">
    <w:name w:val="批注框文本 Char"/>
    <w:basedOn w:val="21"/>
    <w:link w:val="14"/>
    <w:semiHidden/>
    <w:qFormat/>
    <w:uiPriority w:val="99"/>
    <w:rPr>
      <w:rFonts w:ascii="Times New Roman" w:hAnsi="Times New Roman" w:eastAsia="宋体"/>
      <w:kern w:val="2"/>
      <w:sz w:val="18"/>
      <w:szCs w:val="18"/>
    </w:rPr>
  </w:style>
  <w:style w:type="character" w:customStyle="1" w:styleId="50">
    <w:name w:val="纯文本 Char"/>
    <w:basedOn w:val="21"/>
    <w:link w:val="13"/>
    <w:qFormat/>
    <w:uiPriority w:val="0"/>
    <w:rPr>
      <w:rFonts w:ascii="宋体" w:hAnsi="Courier New" w:eastAsia="宋体"/>
      <w:kern w:val="2"/>
      <w:sz w:val="21"/>
      <w:szCs w:val="24"/>
    </w:rPr>
  </w:style>
  <w:style w:type="character" w:customStyle="1" w:styleId="51">
    <w:name w:val="正文文本 Char"/>
    <w:basedOn w:val="21"/>
    <w:link w:val="12"/>
    <w:qFormat/>
    <w:uiPriority w:val="0"/>
    <w:rPr>
      <w:rFonts w:ascii="Calibri" w:hAnsi="Calibri" w:eastAsia="宋体" w:cs="宋体"/>
      <w:b/>
      <w:kern w:val="2"/>
      <w:sz w:val="44"/>
      <w:szCs w:val="22"/>
    </w:rPr>
  </w:style>
  <w:style w:type="character" w:customStyle="1" w:styleId="52">
    <w:name w:val="NormalCharacter"/>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54A4E-6076-491B-A482-6BD5EB2C17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12</Pages>
  <Words>5060</Words>
  <Characters>5467</Characters>
  <Lines>44</Lines>
  <Paragraphs>12</Paragraphs>
  <TotalTime>24</TotalTime>
  <ScaleCrop>false</ScaleCrop>
  <LinksUpToDate>false</LinksUpToDate>
  <CharactersWithSpaces>5490</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2023-12-18T11:56:00Z</dcterms:created>
  <dc:creator>赵 恺（预算处）</dc:creator>
  <cp:lastModifiedBy>Administrator</cp:lastModifiedBy>
  <cp:lastPrinted>2018-12-31T10:56:00Z</cp:lastPrinted>
  <dcterms:modified xsi:type="dcterms:W3CDTF">2024-01-05T09:44:28Z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295667CA151949248452DBF85EAF2A1A_13</vt:lpwstr>
  </property>
</Properties>
</file>