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40"/>
          <w:szCs w:val="40"/>
          <w:highlight w:val="none"/>
          <w:shd w:val="clear" w:color="auto" w:fill="auto"/>
        </w:rPr>
      </w:pPr>
      <w:r>
        <w:rPr>
          <w:rFonts w:hint="eastAsia" w:cs="宋体"/>
          <w:b/>
          <w:bCs/>
          <w:color w:val="auto"/>
          <w:sz w:val="40"/>
          <w:szCs w:val="40"/>
          <w:highlight w:val="none"/>
          <w:shd w:val="clear" w:color="auto" w:fill="auto"/>
          <w:lang w:val="en-US" w:eastAsia="zh-CN"/>
        </w:rPr>
        <w:t>购置类</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w:t>
      </w:r>
      <w:r>
        <w:rPr>
          <w:rFonts w:hint="eastAsia" w:cs="宋体"/>
          <w:b/>
          <w:color w:val="auto"/>
          <w:kern w:val="2"/>
          <w:sz w:val="28"/>
          <w:szCs w:val="28"/>
          <w:highlight w:val="none"/>
          <w:shd w:val="clear" w:color="auto" w:fill="auto"/>
          <w:lang w:val="en-US" w:eastAsia="zh-CN"/>
        </w:rPr>
        <w:t>购置类项目</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新疆维吾尔自治区有色地质勘查局七0六队</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新疆维吾尔自治区有色地质勘查局</w:t>
      </w:r>
    </w:p>
    <w:p>
      <w:pPr>
        <w:pStyle w:val="8"/>
        <w:rPr>
          <w:rFonts w:hint="eastAsia" w:ascii="宋体" w:hAnsi="宋体" w:eastAsia="宋体" w:cs="宋体"/>
          <w:b/>
          <w:color w:val="auto"/>
          <w:kern w:val="2"/>
          <w:sz w:val="28"/>
          <w:szCs w:val="28"/>
          <w:highlight w:val="none"/>
          <w:shd w:val="clear" w:color="auto" w:fill="auto"/>
          <w:lang w:val="en-US" w:eastAsia="zh-CN"/>
        </w:rPr>
      </w:pPr>
    </w:p>
    <w:p>
      <w:pPr>
        <w:rPr>
          <w:rFonts w:hint="eastAsia"/>
          <w:color w:val="auto"/>
          <w:lang w:val="en-US" w:eastAsia="zh-CN"/>
        </w:rPr>
        <w:sectPr>
          <w:pgSz w:w="11906" w:h="16838"/>
          <w:pgMar w:top="1928" w:right="1531" w:bottom="1701" w:left="1531" w:header="737" w:footer="851" w:gutter="0"/>
          <w:cols w:space="720" w:num="1"/>
          <w:docGrid w:type="lines" w:linePitch="408" w:charSpace="0"/>
        </w:sect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highlight w:val="none"/>
          <w:shd w:val="clear" w:color="auto" w:fill="auto"/>
        </w:rPr>
      </w:pPr>
      <w:r>
        <w:rPr>
          <w:rFonts w:hint="eastAsia" w:cs="宋体"/>
          <w:b/>
          <w:bCs/>
          <w:color w:val="auto"/>
          <w:sz w:val="36"/>
          <w:szCs w:val="36"/>
          <w:highlight w:val="none"/>
          <w:shd w:val="clear" w:color="auto" w:fill="auto"/>
          <w:lang w:val="en-US" w:eastAsia="zh-CN"/>
        </w:rPr>
        <w:t>购置类</w:t>
      </w:r>
      <w:r>
        <w:rPr>
          <w:rFonts w:hint="eastAsia" w:ascii="宋体" w:hAnsi="宋体" w:eastAsia="宋体" w:cs="宋体"/>
          <w:b/>
          <w:bCs/>
          <w:color w:val="auto"/>
          <w:sz w:val="36"/>
          <w:szCs w:val="36"/>
          <w:highlight w:val="none"/>
          <w:shd w:val="clear" w:color="auto" w:fill="auto"/>
          <w:lang w:val="en-US" w:eastAsia="zh-CN"/>
        </w:rPr>
        <w:t>项目</w:t>
      </w:r>
      <w:r>
        <w:rPr>
          <w:rFonts w:hint="eastAsia" w:ascii="宋体" w:hAnsi="宋体" w:eastAsia="宋体" w:cs="宋体"/>
          <w:b/>
          <w:bCs/>
          <w:color w:val="auto"/>
          <w:sz w:val="36"/>
          <w:szCs w:val="36"/>
          <w:highlight w:val="none"/>
          <w:shd w:val="clear" w:color="auto" w:fill="auto"/>
        </w:rPr>
        <w:t>支出绩效评价报告</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r>
        <w:rPr>
          <w:rFonts w:hint="eastAsia" w:ascii="宋体" w:hAnsi="宋体" w:eastAsia="宋体" w:cs="宋体"/>
          <w:b/>
          <w:bCs/>
          <w:color w:val="auto"/>
          <w:highlight w:val="none"/>
          <w:shd w:val="clear" w:color="auto" w:fill="auto"/>
        </w:rPr>
        <w:t>一、基本情况</w:t>
      </w:r>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rPr>
        <w:t>（一）项目概况</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p>
    <w:p>
      <w:pPr>
        <w:bidi w:val="0"/>
        <w:rPr>
          <w:rFonts w:hint="eastAsia"/>
          <w:color w:val="auto"/>
          <w:lang w:val="en-US" w:eastAsia="zh-CN"/>
        </w:rPr>
      </w:pPr>
      <w:r>
        <w:rPr>
          <w:rFonts w:hint="eastAsia"/>
          <w:color w:val="auto"/>
          <w:lang w:val="en-US" w:eastAsia="zh-CN"/>
        </w:rPr>
        <w:t>根据目前开展的工作以及后期工作需要，经过行业调研，通过测量设备补充更新，能更准确的提供测量数据，提高业务能力。预计在2022年及以后能够更好更快的开展和拓展更多的地质灾害、矿山储量核实等相关的测量项目。预算资金全部由事业单位经营收入安排，不使用财政资金。</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p>
    <w:p>
      <w:pPr>
        <w:ind w:firstLine="560"/>
        <w:rPr>
          <w:color w:val="auto"/>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w:t>
      </w:r>
      <w:r>
        <w:rPr>
          <w:rFonts w:hint="eastAsia"/>
          <w:color w:val="auto"/>
        </w:rPr>
        <w:t>为进一步强化预算绩效管理理念，提高预算资金的使用效益，优化工作方式方法、强化绩效监控质量，确保本次</w:t>
      </w:r>
      <w:r>
        <w:rPr>
          <w:rFonts w:hint="eastAsia"/>
          <w:color w:val="auto"/>
          <w:lang w:val="en-US" w:eastAsia="zh-CN"/>
        </w:rPr>
        <w:t>自评</w:t>
      </w:r>
      <w:r>
        <w:rPr>
          <w:rFonts w:hint="eastAsia"/>
          <w:color w:val="auto"/>
        </w:rPr>
        <w:t>结果的真实性、全面性、科学性</w:t>
      </w:r>
      <w:r>
        <w:rPr>
          <w:rFonts w:hint="eastAsia" w:ascii="宋体" w:hAnsi="宋体"/>
          <w:color w:val="auto"/>
          <w:kern w:val="24"/>
          <w:sz w:val="28"/>
          <w:szCs w:val="28"/>
        </w:rPr>
        <w:t>成立了以</w:t>
      </w:r>
      <w:r>
        <w:rPr>
          <w:rFonts w:hint="eastAsia"/>
          <w:color w:val="auto"/>
          <w:kern w:val="24"/>
          <w:sz w:val="28"/>
          <w:szCs w:val="28"/>
          <w:lang w:val="en-US" w:eastAsia="zh-CN"/>
        </w:rPr>
        <w:t>经营管理科科长王永强为</w:t>
      </w:r>
      <w:r>
        <w:rPr>
          <w:rFonts w:hint="eastAsia" w:ascii="宋体" w:hAnsi="宋体"/>
          <w:color w:val="auto"/>
          <w:kern w:val="24"/>
          <w:sz w:val="28"/>
          <w:szCs w:val="28"/>
        </w:rPr>
        <w:t>项目</w:t>
      </w:r>
      <w:r>
        <w:rPr>
          <w:rFonts w:hint="eastAsia"/>
          <w:color w:val="auto"/>
          <w:kern w:val="24"/>
          <w:sz w:val="28"/>
          <w:szCs w:val="28"/>
          <w:lang w:val="en-US" w:eastAsia="zh-CN"/>
        </w:rPr>
        <w:t>负责人</w:t>
      </w:r>
      <w:r>
        <w:rPr>
          <w:rFonts w:hint="eastAsia" w:ascii="宋体" w:hAnsi="宋体"/>
          <w:color w:val="auto"/>
          <w:kern w:val="24"/>
          <w:sz w:val="28"/>
          <w:szCs w:val="28"/>
        </w:rPr>
        <w:t>，组建了</w:t>
      </w:r>
      <w:r>
        <w:rPr>
          <w:rFonts w:hint="eastAsia"/>
          <w:color w:val="auto"/>
          <w:kern w:val="24"/>
          <w:sz w:val="28"/>
          <w:szCs w:val="28"/>
          <w:lang w:val="en-US" w:eastAsia="zh-CN"/>
        </w:rPr>
        <w:t>购置类</w:t>
      </w:r>
      <w:r>
        <w:rPr>
          <w:rFonts w:hint="eastAsia" w:ascii="宋体" w:hAnsi="宋体"/>
          <w:color w:val="auto"/>
          <w:kern w:val="24"/>
          <w:sz w:val="28"/>
          <w:szCs w:val="28"/>
        </w:rPr>
        <w:t>项目组</w:t>
      </w:r>
      <w:r>
        <w:rPr>
          <w:rFonts w:hint="eastAsia"/>
          <w:color w:val="auto"/>
        </w:rPr>
        <w:t>，职责分工如下:</w:t>
      </w:r>
    </w:p>
    <w:p>
      <w:pPr>
        <w:ind w:firstLine="560"/>
        <w:rPr>
          <w:rFonts w:cs="仿宋"/>
          <w:color w:val="auto"/>
        </w:rPr>
      </w:pPr>
      <w:r>
        <w:rPr>
          <w:rFonts w:hint="eastAsia" w:cs="仿宋"/>
          <w:color w:val="auto"/>
          <w:lang w:val="en-US" w:eastAsia="zh-CN"/>
        </w:rPr>
        <w:t>项目负责</w:t>
      </w:r>
      <w:r>
        <w:rPr>
          <w:rFonts w:hint="eastAsia" w:cs="仿宋"/>
          <w:color w:val="auto"/>
        </w:rPr>
        <w:t>：</w:t>
      </w:r>
      <w:r>
        <w:rPr>
          <w:rFonts w:hint="eastAsia" w:cs="仿宋"/>
          <w:color w:val="auto"/>
          <w:lang w:val="en-US" w:eastAsia="zh-CN"/>
        </w:rPr>
        <w:t>王永强</w:t>
      </w:r>
      <w:r>
        <w:rPr>
          <w:rFonts w:hint="eastAsia" w:cs="仿宋"/>
          <w:color w:val="auto"/>
        </w:rPr>
        <w:t>，主要负责内容为：组织实施本</w:t>
      </w:r>
      <w:r>
        <w:rPr>
          <w:rFonts w:hint="eastAsia" w:cs="仿宋"/>
          <w:color w:val="auto"/>
          <w:lang w:val="en-US" w:eastAsia="zh-CN"/>
        </w:rPr>
        <w:t>项目</w:t>
      </w:r>
      <w:r>
        <w:rPr>
          <w:rFonts w:hint="eastAsia" w:cs="仿宋"/>
          <w:color w:val="auto"/>
        </w:rPr>
        <w:t>的绩效运行</w:t>
      </w:r>
      <w:r>
        <w:rPr>
          <w:rFonts w:hint="eastAsia" w:cs="仿宋"/>
          <w:color w:val="auto"/>
          <w:lang w:val="en-US" w:eastAsia="zh-CN"/>
        </w:rPr>
        <w:t>自评</w:t>
      </w:r>
      <w:r>
        <w:rPr>
          <w:rFonts w:hint="eastAsia" w:cs="仿宋"/>
          <w:color w:val="auto"/>
        </w:rPr>
        <w:t>工作，根据跟踪情况进行整改、调整项目内容、绩效目标、实施方案和预算、并按规定公开跟踪管理结果及结果应用信息</w:t>
      </w:r>
      <w:r>
        <w:rPr>
          <w:rFonts w:hint="eastAsia" w:cs="仿宋"/>
          <w:color w:val="auto"/>
          <w:lang w:eastAsia="zh-CN"/>
        </w:rPr>
        <w:t>；</w:t>
      </w:r>
      <w:r>
        <w:rPr>
          <w:rFonts w:hint="eastAsia" w:cs="仿宋"/>
          <w:color w:val="auto"/>
        </w:rPr>
        <w:t>安排部门整体支出绩效</w:t>
      </w:r>
      <w:r>
        <w:rPr>
          <w:rFonts w:hint="eastAsia" w:cs="仿宋"/>
          <w:color w:val="auto"/>
          <w:lang w:val="en-US" w:eastAsia="zh-CN"/>
        </w:rPr>
        <w:t>自评</w:t>
      </w:r>
      <w:r>
        <w:rPr>
          <w:rFonts w:hint="eastAsia" w:cs="仿宋"/>
          <w:color w:val="auto"/>
        </w:rPr>
        <w:t>机制的运行，针对预算过程中的项目管理情况、目标实现程度、目标偏差和纠偏情况、目标实现的可能性等进行绩效</w:t>
      </w:r>
      <w:r>
        <w:rPr>
          <w:rFonts w:hint="eastAsia" w:cs="仿宋"/>
          <w:color w:val="auto"/>
          <w:lang w:val="en-US" w:eastAsia="zh-CN"/>
        </w:rPr>
        <w:t>自评</w:t>
      </w:r>
      <w:r>
        <w:rPr>
          <w:rFonts w:hint="eastAsia" w:cs="仿宋"/>
          <w:color w:val="auto"/>
        </w:rPr>
        <w:t>跟踪。</w:t>
      </w:r>
    </w:p>
    <w:p>
      <w:pPr>
        <w:rPr>
          <w:rFonts w:cs="仿宋"/>
          <w:color w:val="auto"/>
        </w:rPr>
      </w:pPr>
      <w:r>
        <w:rPr>
          <w:rFonts w:hint="eastAsia" w:cs="仿宋"/>
          <w:color w:val="auto"/>
          <w:lang w:val="en-US" w:eastAsia="zh-CN"/>
        </w:rPr>
        <w:t>成员</w:t>
      </w:r>
      <w:r>
        <w:rPr>
          <w:rFonts w:hint="eastAsia" w:cs="仿宋"/>
          <w:color w:val="auto"/>
        </w:rPr>
        <w:t>：</w:t>
      </w:r>
      <w:r>
        <w:rPr>
          <w:rFonts w:hint="eastAsia" w:cs="仿宋"/>
          <w:color w:val="auto"/>
          <w:lang w:val="en-US" w:eastAsia="zh-CN"/>
        </w:rPr>
        <w:t>吴仙丽</w:t>
      </w:r>
      <w:r>
        <w:rPr>
          <w:rFonts w:hint="eastAsia" w:cs="仿宋"/>
          <w:color w:val="auto"/>
        </w:rPr>
        <w:t>，主要负责内容为：按规定向财政部门及预算主管部门报送本单位绩效运行</w:t>
      </w:r>
      <w:r>
        <w:rPr>
          <w:rFonts w:hint="eastAsia" w:cs="仿宋"/>
          <w:color w:val="auto"/>
          <w:lang w:val="en-US" w:eastAsia="zh-CN"/>
        </w:rPr>
        <w:t>自评</w:t>
      </w:r>
      <w:r>
        <w:rPr>
          <w:rFonts w:hint="eastAsia" w:cs="仿宋"/>
          <w:color w:val="auto"/>
        </w:rPr>
        <w:t>报告和绩效运行</w:t>
      </w:r>
      <w:r>
        <w:rPr>
          <w:rFonts w:hint="eastAsia" w:cs="仿宋"/>
          <w:color w:val="auto"/>
          <w:lang w:val="en-US" w:eastAsia="zh-CN"/>
        </w:rPr>
        <w:t>自评</w:t>
      </w:r>
      <w:r>
        <w:rPr>
          <w:rFonts w:hint="eastAsia" w:cs="仿宋"/>
          <w:color w:val="auto"/>
        </w:rPr>
        <w:t>表</w:t>
      </w:r>
      <w:r>
        <w:rPr>
          <w:rFonts w:hint="eastAsia" w:cs="仿宋"/>
          <w:color w:val="auto"/>
          <w:lang w:eastAsia="zh-CN"/>
        </w:rPr>
        <w:t>，</w:t>
      </w:r>
      <w:r>
        <w:rPr>
          <w:rFonts w:hint="eastAsia" w:cs="仿宋"/>
          <w:color w:val="auto"/>
          <w:lang w:val="en-US" w:eastAsia="zh-CN"/>
        </w:rPr>
        <w:t>并按</w:t>
      </w:r>
      <w:r>
        <w:rPr>
          <w:rFonts w:hint="eastAsia" w:cs="仿宋"/>
          <w:color w:val="auto"/>
        </w:rPr>
        <w:t>规定</w:t>
      </w:r>
      <w:r>
        <w:rPr>
          <w:rFonts w:hint="eastAsia" w:cs="仿宋"/>
          <w:color w:val="auto"/>
          <w:lang w:val="en-US" w:eastAsia="zh-CN"/>
        </w:rPr>
        <w:t>將</w:t>
      </w:r>
      <w:r>
        <w:rPr>
          <w:rFonts w:hint="eastAsia" w:cs="仿宋"/>
          <w:color w:val="auto"/>
        </w:rPr>
        <w:t>本单位绩效运行</w:t>
      </w:r>
      <w:r>
        <w:rPr>
          <w:rFonts w:hint="eastAsia" w:cs="仿宋"/>
          <w:color w:val="auto"/>
          <w:lang w:val="en-US" w:eastAsia="zh-CN"/>
        </w:rPr>
        <w:t>自评</w:t>
      </w:r>
      <w:r>
        <w:rPr>
          <w:rFonts w:hint="eastAsia" w:cs="仿宋"/>
          <w:color w:val="auto"/>
        </w:rPr>
        <w:t>信息在本部门公开和向社会公开，接收各方监督</w:t>
      </w:r>
      <w:r>
        <w:rPr>
          <w:rFonts w:hint="eastAsia" w:cs="仿宋"/>
          <w:color w:val="auto"/>
          <w:lang w:eastAsia="zh-CN"/>
        </w:rPr>
        <w:t>，</w:t>
      </w:r>
    </w:p>
    <w:p>
      <w:pPr>
        <w:ind w:left="0" w:leftChars="0" w:firstLine="560" w:firstLineChars="200"/>
        <w:rPr>
          <w:rFonts w:cs="仿宋"/>
          <w:color w:val="auto"/>
        </w:rPr>
      </w:pPr>
      <w:r>
        <w:rPr>
          <w:rFonts w:hint="eastAsia" w:cs="仿宋"/>
          <w:color w:val="auto"/>
          <w:lang w:val="en-US" w:eastAsia="zh-CN"/>
        </w:rPr>
        <w:t>成员：提拉古丽</w:t>
      </w:r>
      <w:r>
        <w:rPr>
          <w:rFonts w:hint="eastAsia" w:cs="仿宋"/>
          <w:color w:val="auto"/>
        </w:rPr>
        <w:t>，主要负责内容为：根据</w:t>
      </w:r>
      <w:r>
        <w:rPr>
          <w:rFonts w:hint="eastAsia" w:cs="仿宋"/>
          <w:color w:val="auto"/>
          <w:lang w:val="en-US" w:eastAsia="zh-CN"/>
        </w:rPr>
        <w:t>自评</w:t>
      </w:r>
      <w:r>
        <w:rPr>
          <w:rFonts w:hint="eastAsia" w:cs="仿宋"/>
          <w:color w:val="auto"/>
        </w:rPr>
        <w:t>结果落实整改措施，加强本单位预算管理。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3.资金投入和使用情况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购置类</w:t>
      </w:r>
      <w:r>
        <w:rPr>
          <w:rFonts w:hint="eastAsia" w:ascii="宋体" w:hAnsi="宋体" w:eastAsia="宋体" w:cs="宋体"/>
          <w:color w:val="auto"/>
          <w:highlight w:val="none"/>
          <w:shd w:val="clear" w:color="auto" w:fill="auto"/>
          <w:lang w:val="en-US" w:eastAsia="zh-CN"/>
        </w:rPr>
        <w:t>项目预算安排总额为</w:t>
      </w:r>
      <w:r>
        <w:rPr>
          <w:rFonts w:hint="eastAsia" w:cs="宋体"/>
          <w:color w:val="auto"/>
          <w:highlight w:val="none"/>
          <w:shd w:val="clear" w:color="auto" w:fill="auto"/>
          <w:lang w:val="en-US" w:eastAsia="zh-CN"/>
        </w:rPr>
        <w:t>387.50</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金0</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387.50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2022</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202.95</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52.37</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截止2022年12月31日，购置类</w:t>
      </w:r>
      <w:r>
        <w:rPr>
          <w:rFonts w:hint="eastAsia" w:ascii="宋体" w:hAnsi="宋体" w:eastAsia="宋体" w:cs="宋体"/>
          <w:color w:val="auto"/>
          <w:highlight w:val="none"/>
          <w:shd w:val="clear" w:color="auto" w:fill="auto"/>
        </w:rPr>
        <w:t>项目实际支付资金</w:t>
      </w:r>
      <w:r>
        <w:rPr>
          <w:rFonts w:hint="eastAsia" w:cs="宋体"/>
          <w:color w:val="auto"/>
          <w:highlight w:val="none"/>
          <w:shd w:val="clear" w:color="auto" w:fill="auto"/>
          <w:lang w:val="en-US" w:eastAsia="zh-CN"/>
        </w:rPr>
        <w:t>202.95</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52.37</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万元，已上缴国库。</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购买办公室设备、野外作业人员保险、单位车辆保险以及野外施工耗材等方面。</w:t>
      </w:r>
    </w:p>
    <w:p>
      <w:pPr>
        <w:pStyle w:val="4"/>
        <w:pageBreakBefore w:val="0"/>
        <w:numPr>
          <w:ilvl w:val="0"/>
          <w:numId w:val="1"/>
        </w:numPr>
        <w:kinsoku/>
        <w:wordWrap/>
        <w:overflowPunct/>
        <w:topLinePunct w:val="0"/>
        <w:autoSpaceDE/>
        <w:autoSpaceDN/>
        <w:bidi w:val="0"/>
        <w:adjustRightInd/>
        <w:spacing w:beforeLines="0" w:afterLines="0"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rPr>
        <w:t>项目绩效目标</w:t>
      </w:r>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1.总体目标</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购置类项目绩效总体目标为：</w:t>
      </w:r>
      <w:r>
        <w:rPr>
          <w:rFonts w:hint="eastAsia"/>
          <w:color w:val="auto"/>
          <w:lang w:val="en-US" w:eastAsia="zh-CN"/>
        </w:rPr>
        <w:t>根据目前开展的工作以及后期工作需要，购</w:t>
      </w:r>
      <w:r>
        <w:rPr>
          <w:rFonts w:hint="eastAsia" w:cs="宋体"/>
          <w:color w:val="auto"/>
          <w:highlight w:val="none"/>
          <w:shd w:val="clear" w:color="auto" w:fill="auto"/>
          <w:lang w:val="en-US" w:eastAsia="zh-CN"/>
        </w:rPr>
        <w:t>买办公室设备、野外作业人员保险、单位车辆保险以及野外施工耗材</w:t>
      </w:r>
      <w:r>
        <w:rPr>
          <w:rFonts w:hint="eastAsia"/>
          <w:color w:val="auto"/>
          <w:lang w:val="en-US" w:eastAsia="zh-CN"/>
        </w:rPr>
        <w:t>等以确保本年度的具体工作得以顺利开展。</w:t>
      </w:r>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2.阶段性目标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购置专用设备数量</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≥3台</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购置通用设备数量</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≥21台</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购置办公设备数量</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≥101台（套）</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野外作业保障用车数量</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≥15辆</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保障野外作业人员数量</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≥100人</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政府采购率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≥90%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采购设备质量合格率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专用设备验收合格率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专用设备采购完成时间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2022年11月30日前</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通用设备及办公设备采购完成时间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2022年11月30日前</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公用经费支付及时率</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≥90%</w:t>
      </w:r>
    </w:p>
    <w:p>
      <w:pPr>
        <w:pStyle w:val="2"/>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专用设备采购成本</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≤60.50万元</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通用设备采购成本</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≤5.30万元</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通办公设备采购成本</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≤19.88万元</w:t>
      </w:r>
      <w:r>
        <w:rPr>
          <w:rFonts w:hint="eastAsia" w:ascii="宋体" w:hAnsi="宋体" w:eastAsia="宋体" w:cs="宋体"/>
          <w:color w:val="auto"/>
          <w:highlight w:val="none"/>
          <w:shd w:val="clear" w:color="auto" w:fill="auto"/>
          <w:lang w:val="en-US" w:eastAsia="zh-CN"/>
        </w:rPr>
        <w:t>；</w:t>
      </w:r>
    </w:p>
    <w:p>
      <w:pPr>
        <w:pStyle w:val="2"/>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“野外作业人均运转经费”指标，预期指标值为≤3.01万元</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pPr>
        <w:pStyle w:val="2"/>
        <w:rPr>
          <w:rFonts w:hint="default"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我单位未设置此项指标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pPr>
        <w:pStyle w:val="2"/>
        <w:rPr>
          <w:rFonts w:hint="default"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我单位未设置此项指标</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pPr>
        <w:pStyle w:val="2"/>
        <w:rPr>
          <w:rFonts w:hint="default"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我单位未设置此项指标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专用设备使用年限</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≥3年</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业务外作业人员满意程度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≥95%。</w:t>
      </w:r>
    </w:p>
    <w:p>
      <w:pPr>
        <w:pStyle w:val="3"/>
        <w:bidi w:val="0"/>
        <w:rPr>
          <w:rFonts w:hint="eastAsia" w:ascii="宋体" w:hAnsi="宋体" w:eastAsia="宋体" w:cs="宋体"/>
          <w:b/>
          <w:bCs/>
          <w:color w:val="auto"/>
          <w:lang w:val="en-US" w:eastAsia="zh-CN"/>
        </w:rPr>
      </w:pPr>
      <w:r>
        <w:rPr>
          <w:rFonts w:hint="eastAsia" w:ascii="宋体" w:hAnsi="宋体" w:eastAsia="宋体" w:cs="宋体"/>
          <w:b/>
          <w:bCs/>
          <w:color w:val="auto"/>
        </w:rPr>
        <w:t>二、绩效评价工作开展情况</w:t>
      </w:r>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0" w:name="_Toc22922"/>
      <w:bookmarkStart w:id="1" w:name="_Toc5462343"/>
      <w:bookmarkStart w:id="2" w:name="_Toc12868"/>
      <w:bookmarkStart w:id="3" w:name="_Toc5258"/>
      <w:bookmarkStart w:id="4" w:name="_Toc26632"/>
      <w:bookmarkStart w:id="5" w:name="_Toc480473081"/>
      <w:bookmarkStart w:id="6" w:name="_Toc22169_WPSOffice_Level2"/>
      <w:bookmarkStart w:id="7" w:name="_Toc21664"/>
      <w:r>
        <w:rPr>
          <w:rFonts w:hint="eastAsia" w:ascii="宋体" w:hAnsi="宋体" w:eastAsia="宋体" w:cs="宋体"/>
          <w:color w:val="auto"/>
          <w:sz w:val="32"/>
          <w:szCs w:val="32"/>
          <w:highlight w:val="none"/>
          <w:shd w:val="clear" w:color="auto" w:fill="auto"/>
          <w:lang w:eastAsia="zh-CN"/>
        </w:rPr>
        <w:t>绩效评价的目的</w:t>
      </w:r>
      <w:bookmarkEnd w:id="0"/>
      <w:bookmarkEnd w:id="1"/>
      <w:bookmarkEnd w:id="2"/>
      <w:bookmarkEnd w:id="3"/>
      <w:bookmarkEnd w:id="4"/>
      <w:bookmarkEnd w:id="5"/>
      <w:bookmarkEnd w:id="6"/>
      <w:bookmarkEnd w:id="7"/>
      <w:r>
        <w:rPr>
          <w:rFonts w:hint="eastAsia" w:ascii="宋体" w:hAnsi="宋体" w:eastAsia="宋体" w:cs="宋体"/>
          <w:color w:val="auto"/>
          <w:sz w:val="32"/>
          <w:szCs w:val="32"/>
          <w:highlight w:val="none"/>
          <w:shd w:val="clear" w:color="auto" w:fill="auto"/>
          <w:lang w:eastAsia="zh-CN"/>
        </w:rPr>
        <w:t>、对象和范围</w:t>
      </w:r>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2.绩效评价的对象和范围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2022</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购置类</w:t>
      </w:r>
      <w:r>
        <w:rPr>
          <w:rFonts w:hint="eastAsia" w:ascii="宋体" w:hAnsi="宋体" w:eastAsia="宋体" w:cs="宋体"/>
          <w:color w:val="auto"/>
          <w:highlight w:val="none"/>
          <w:shd w:val="clear" w:color="auto" w:fill="auto"/>
          <w:lang w:val="en-US" w:eastAsia="zh-CN"/>
        </w:rPr>
        <w:t>项目开展部门绩效评价。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购置类</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8" w:name="_Toc419984722"/>
      <w:bookmarkStart w:id="9" w:name="_Toc1913"/>
      <w:bookmarkStart w:id="10" w:name="_Toc26131"/>
      <w:bookmarkStart w:id="11" w:name="_Toc428278230"/>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8"/>
      <w:bookmarkEnd w:id="9"/>
      <w:bookmarkEnd w:id="10"/>
      <w:bookmarkEnd w:id="11"/>
      <w:r>
        <w:rPr>
          <w:rFonts w:hint="eastAsia" w:ascii="宋体" w:hAnsi="宋体" w:eastAsia="宋体" w:cs="宋体"/>
          <w:color w:val="auto"/>
          <w:highlight w:val="none"/>
          <w:shd w:val="clear" w:color="auto" w:fill="auto"/>
          <w:lang w:val="en-US" w:eastAsia="zh-CN"/>
        </w:rPr>
        <w:t>标准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pPr>
        <w:jc w:val="center"/>
        <w:rPr>
          <w:rFonts w:hint="default"/>
          <w:b/>
          <w:bCs/>
          <w:color w:val="auto"/>
          <w:sz w:val="28"/>
          <w:szCs w:val="28"/>
          <w:lang w:val="en-US" w:eastAsia="zh-CN"/>
        </w:rPr>
      </w:pPr>
      <w:r>
        <w:rPr>
          <w:rFonts w:hint="eastAsia"/>
          <w:b/>
          <w:bCs/>
          <w:color w:val="auto"/>
          <w:sz w:val="28"/>
          <w:szCs w:val="28"/>
          <w:lang w:val="zh-TW" w:eastAsia="zh-TW"/>
        </w:rPr>
        <w:t>项目绩效评价指标体系</w:t>
      </w:r>
    </w:p>
    <w:tbl>
      <w:tblPr>
        <w:tblStyle w:val="9"/>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tblHeader/>
          <w:jc w:val="center"/>
        </w:trPr>
        <w:tc>
          <w:tcPr>
            <w:tcW w:w="642"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44" w:hRule="atLeast"/>
          <w:jc w:val="center"/>
        </w:trPr>
        <w:tc>
          <w:tcPr>
            <w:tcW w:w="642"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94" w:hRule="atLeast"/>
          <w:jc w:val="center"/>
        </w:trPr>
        <w:tc>
          <w:tcPr>
            <w:tcW w:w="642"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768" w:hRule="atLeast"/>
          <w:jc w:val="center"/>
        </w:trPr>
        <w:tc>
          <w:tcPr>
            <w:tcW w:w="642"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77"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restart"/>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20" w:hRule="atLeast"/>
          <w:jc w:val="center"/>
        </w:trPr>
        <w:tc>
          <w:tcPr>
            <w:tcW w:w="642"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94"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jc w:val="center"/>
        </w:trPr>
        <w:tc>
          <w:tcPr>
            <w:tcW w:w="642"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5" w:hRule="atLeast"/>
          <w:jc w:val="center"/>
        </w:trPr>
        <w:tc>
          <w:tcPr>
            <w:tcW w:w="642"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6"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对项目绩效目标预期指标值与实施情况进行比较，以及采取公众问卷及抽样调查等方式进行评判的方法对</w:t>
      </w:r>
      <w:r>
        <w:rPr>
          <w:rFonts w:hint="eastAsia" w:cs="宋体"/>
          <w:color w:val="auto"/>
          <w:highlight w:val="none"/>
          <w:shd w:val="clear" w:color="auto" w:fill="auto"/>
          <w:lang w:val="en-US" w:eastAsia="zh-CN"/>
        </w:rPr>
        <w:t>购置类</w:t>
      </w:r>
      <w:r>
        <w:rPr>
          <w:rFonts w:hint="eastAsia" w:ascii="宋体" w:hAnsi="宋体" w:eastAsia="宋体" w:cs="宋体"/>
          <w:color w:val="auto"/>
          <w:highlight w:val="none"/>
          <w:shd w:val="clear" w:color="auto" w:fill="auto"/>
          <w:lang w:val="en-US" w:eastAsia="zh-CN"/>
        </w:rPr>
        <w:t>项目进行评价。</w:t>
      </w:r>
    </w:p>
    <w:p>
      <w:pPr>
        <w:pStyle w:val="2"/>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pPr>
        <w:pStyle w:val="2"/>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（三）绩效评价工作过程</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1.前期准备</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ascii="宋体" w:hAnsi="宋体" w:cs="宋体"/>
          <w:b w:val="0"/>
          <w:bCs w:val="0"/>
          <w:color w:val="auto"/>
          <w:kern w:val="2"/>
          <w:sz w:val="28"/>
          <w:szCs w:val="24"/>
          <w:highlight w:val="none"/>
          <w:shd w:val="clear" w:color="auto" w:fill="auto"/>
          <w:lang w:val="en-US" w:eastAsia="zh-CN" w:bidi="ar-SA"/>
        </w:rPr>
        <w:t>购置类</w:t>
      </w:r>
      <w:r>
        <w:rPr>
          <w:rFonts w:hint="eastAsia" w:ascii="宋体" w:hAnsi="宋体" w:eastAsia="宋体" w:cs="宋体"/>
          <w:b w:val="0"/>
          <w:bCs w:val="0"/>
          <w:color w:val="auto"/>
          <w:kern w:val="2"/>
          <w:sz w:val="28"/>
          <w:szCs w:val="24"/>
          <w:highlight w:val="none"/>
          <w:shd w:val="clear" w:color="auto" w:fill="auto"/>
          <w:lang w:val="en-US" w:eastAsia="zh-CN" w:bidi="ar-SA"/>
        </w:rPr>
        <w:t>项目实施内容、目标信息、预算信息以及其他的一些项目基本信息，有了初步了解，为制定绩效评价工作方案做好准备。</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2.具体实施</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default"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b w:val="0"/>
          <w:bCs w:val="0"/>
          <w:color w:val="auto"/>
          <w:sz w:val="28"/>
          <w:szCs w:val="28"/>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p>
    <w:p>
      <w:pPr>
        <w:pStyle w:val="3"/>
        <w:pageBreakBefore w:val="0"/>
        <w:numPr>
          <w:ilvl w:val="0"/>
          <w:numId w:val="3"/>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r>
        <w:rPr>
          <w:rFonts w:hint="eastAsia" w:ascii="宋体" w:hAnsi="宋体" w:eastAsia="宋体" w:cs="宋体"/>
          <w:b/>
          <w:bCs/>
          <w:color w:val="auto"/>
          <w:highlight w:val="none"/>
          <w:shd w:val="clear" w:color="auto" w:fill="auto"/>
        </w:rPr>
        <w:t>综合评价情况及评价结论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购置类</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83.76</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9"/>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cs="宋体"/>
                <w:b/>
                <w:bCs/>
                <w:color w:val="auto"/>
                <w:kern w:val="0"/>
                <w:sz w:val="28"/>
                <w:szCs w:val="28"/>
                <w:highlight w:val="none"/>
                <w:shd w:val="clear" w:color="auto" w:fill="auto"/>
                <w:lang w:val="en-US" w:eastAsia="zh-CN"/>
              </w:rPr>
              <w:t>购置类</w:t>
            </w:r>
            <w:r>
              <w:rPr>
                <w:rFonts w:hint="eastAsia" w:ascii="宋体" w:hAnsi="宋体" w:eastAsia="宋体" w:cs="宋体"/>
                <w:b/>
                <w:bCs/>
                <w:color w:val="auto"/>
                <w:kern w:val="0"/>
                <w:sz w:val="28"/>
                <w:szCs w:val="28"/>
                <w:highlight w:val="none"/>
                <w:shd w:val="clear" w:color="auto" w:fill="auto"/>
                <w:lang w:val="en-US" w:eastAsia="zh-CN"/>
              </w:rPr>
              <w:t>项目得分表</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23.76</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83.76</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79.20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83.76</w:t>
            </w:r>
            <w:r>
              <w:rPr>
                <w:rFonts w:hint="eastAsia" w:ascii="宋体" w:hAnsi="宋体" w:eastAsia="宋体" w:cs="宋体"/>
                <w:color w:val="auto"/>
                <w:kern w:val="0"/>
                <w:sz w:val="21"/>
                <w:szCs w:val="21"/>
                <w:highlight w:val="none"/>
                <w:shd w:val="clear" w:color="auto" w:fill="auto"/>
                <w:lang w:val="en-US" w:eastAsia="zh-CN"/>
              </w:rPr>
              <w:t>%</w:t>
            </w:r>
          </w:p>
        </w:tc>
      </w:tr>
    </w:tbl>
    <w:p>
      <w:pPr>
        <w:pStyle w:val="3"/>
        <w:keepNext/>
        <w:keepLines/>
        <w:pageBreakBefore w:val="0"/>
        <w:widowControl w:val="0"/>
        <w:kinsoku/>
        <w:wordWrap/>
        <w:overflowPunct/>
        <w:topLinePunct w:val="0"/>
        <w:autoSpaceDE/>
        <w:autoSpaceDN/>
        <w:bidi w:val="0"/>
        <w:adjustRightInd/>
        <w:snapToGrid/>
        <w:spacing w:beforeLines="0" w:afterLines="0" w:line="360" w:lineRule="auto"/>
        <w:ind w:left="0" w:leftChars="0" w:firstLine="643" w:firstLineChars="200"/>
        <w:textAlignment w:val="auto"/>
        <w:rPr>
          <w:rFonts w:hint="eastAsia" w:ascii="宋体" w:hAnsi="宋体" w:eastAsia="宋体" w:cs="宋体"/>
          <w:b/>
          <w:bCs/>
          <w:color w:val="auto"/>
          <w:highlight w:val="none"/>
          <w:shd w:val="clear" w:color="auto" w:fill="auto"/>
        </w:rPr>
      </w:pPr>
      <w:r>
        <w:rPr>
          <w:rFonts w:hint="eastAsia" w:ascii="宋体" w:hAnsi="宋体" w:eastAsia="宋体" w:cs="宋体"/>
          <w:b/>
          <w:bCs/>
          <w:color w:val="auto"/>
          <w:highlight w:val="none"/>
          <w:shd w:val="clear" w:color="auto" w:fill="auto"/>
        </w:rPr>
        <w:t>四、绩效评价指标分析</w:t>
      </w:r>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rPr>
        <w:t>（一）项目决策情况</w:t>
      </w:r>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9"/>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pPr>
        <w:bidi w:val="0"/>
        <w:rPr>
          <w:rFonts w:hint="default"/>
          <w:b/>
          <w:bCs/>
          <w:color w:val="auto"/>
          <w:lang w:val="en-US" w:eastAsia="zh-CN"/>
        </w:rPr>
      </w:pPr>
      <w:r>
        <w:rPr>
          <w:rFonts w:hint="eastAsia"/>
          <w:b/>
          <w:bCs/>
          <w:color w:val="auto"/>
          <w:lang w:val="en-US" w:eastAsia="zh-CN"/>
        </w:rPr>
        <w:t>1.立项依据充分性</w:t>
      </w:r>
    </w:p>
    <w:p>
      <w:pPr>
        <w:bidi w:val="0"/>
        <w:rPr>
          <w:rFonts w:hint="eastAsia"/>
          <w:color w:val="auto"/>
          <w:lang w:eastAsia="zh-CN"/>
        </w:rPr>
      </w:pPr>
      <w:r>
        <w:rPr>
          <w:rFonts w:hint="eastAsia"/>
          <w:color w:val="auto"/>
          <w:lang w:eastAsia="zh-CN"/>
        </w:rPr>
        <w:t>①项目立项符合国家法律法规、国民经济发展规划和相关政策；</w:t>
      </w:r>
    </w:p>
    <w:p>
      <w:pPr>
        <w:bidi w:val="0"/>
        <w:rPr>
          <w:rFonts w:hint="eastAsia"/>
          <w:color w:val="auto"/>
          <w:lang w:eastAsia="zh-CN"/>
        </w:rPr>
      </w:pPr>
      <w:r>
        <w:rPr>
          <w:rFonts w:hint="eastAsia"/>
          <w:color w:val="auto"/>
          <w:lang w:eastAsia="zh-CN"/>
        </w:rPr>
        <w:t>②项目立项符合行业发展规划和政策要求；</w:t>
      </w:r>
    </w:p>
    <w:p>
      <w:pPr>
        <w:bidi w:val="0"/>
        <w:rPr>
          <w:rFonts w:hint="eastAsia"/>
          <w:color w:val="auto"/>
          <w:lang w:eastAsia="zh-CN"/>
        </w:rPr>
      </w:pPr>
      <w:r>
        <w:rPr>
          <w:rFonts w:hint="eastAsia"/>
          <w:color w:val="auto"/>
          <w:lang w:eastAsia="zh-CN"/>
        </w:rPr>
        <w:t>③项目立项与部门职责范围相符，属于部门履职所需；</w:t>
      </w:r>
    </w:p>
    <w:p>
      <w:pPr>
        <w:bidi w:val="0"/>
        <w:rPr>
          <w:rFonts w:hint="eastAsia"/>
          <w:color w:val="auto"/>
          <w:lang w:eastAsia="zh-CN"/>
        </w:rPr>
      </w:pPr>
      <w:r>
        <w:rPr>
          <w:rFonts w:hint="eastAsia"/>
          <w:color w:val="auto"/>
          <w:lang w:eastAsia="zh-CN"/>
        </w:rPr>
        <w:t>④项目属于公共财政支持范围，符合中央、地方事权支出责任划分原则；</w:t>
      </w:r>
    </w:p>
    <w:p>
      <w:pPr>
        <w:bidi w:val="0"/>
        <w:rPr>
          <w:rFonts w:hint="eastAsia"/>
          <w:color w:val="auto"/>
          <w:lang w:eastAsia="zh-CN"/>
        </w:rPr>
      </w:pPr>
      <w:r>
        <w:rPr>
          <w:rFonts w:hint="eastAsia"/>
          <w:color w:val="auto"/>
          <w:lang w:eastAsia="zh-CN"/>
        </w:rPr>
        <w:t>⑤项目与相关部门同类项目或部门内部相关项目</w:t>
      </w:r>
      <w:r>
        <w:rPr>
          <w:rFonts w:hint="eastAsia"/>
          <w:color w:val="auto"/>
          <w:lang w:val="en-US" w:eastAsia="zh-CN"/>
        </w:rPr>
        <w:t>不</w:t>
      </w:r>
      <w:r>
        <w:rPr>
          <w:rFonts w:hint="eastAsia"/>
          <w:color w:val="auto"/>
          <w:lang w:eastAsia="zh-CN"/>
        </w:rPr>
        <w:t>重复。</w:t>
      </w:r>
    </w:p>
    <w:p>
      <w:pPr>
        <w:bidi w:val="0"/>
        <w:rPr>
          <w:rFonts w:hint="default"/>
          <w:color w:val="auto"/>
          <w:lang w:val="en-US" w:eastAsia="zh-CN"/>
        </w:rPr>
      </w:pPr>
      <w:r>
        <w:rPr>
          <w:rFonts w:hint="eastAsia"/>
          <w:b/>
          <w:bCs/>
          <w:color w:val="auto"/>
          <w:lang w:val="en-US" w:eastAsia="zh-CN"/>
        </w:rPr>
        <w:t>综上，该项指标满分2分，得分2分。</w:t>
      </w:r>
    </w:p>
    <w:p>
      <w:pPr>
        <w:bidi w:val="0"/>
        <w:rPr>
          <w:rFonts w:hint="default"/>
          <w:b/>
          <w:bCs/>
          <w:color w:val="auto"/>
          <w:lang w:val="en-US" w:eastAsia="zh-CN"/>
        </w:rPr>
      </w:pPr>
      <w:r>
        <w:rPr>
          <w:rFonts w:hint="eastAsia"/>
          <w:b/>
          <w:bCs/>
          <w:color w:val="auto"/>
          <w:lang w:val="en-US" w:eastAsia="zh-CN"/>
        </w:rPr>
        <w:t>2.立项程序规范性</w:t>
      </w:r>
    </w:p>
    <w:p>
      <w:pPr>
        <w:bidi w:val="0"/>
        <w:rPr>
          <w:rFonts w:hint="eastAsia"/>
          <w:color w:val="auto"/>
          <w:lang w:eastAsia="zh-CN"/>
        </w:rPr>
      </w:pPr>
      <w:r>
        <w:rPr>
          <w:rFonts w:hint="eastAsia"/>
          <w:color w:val="auto"/>
          <w:lang w:eastAsia="zh-CN"/>
        </w:rPr>
        <w:t>①项目按照规定的程序申请设立；</w:t>
      </w:r>
    </w:p>
    <w:p>
      <w:pPr>
        <w:bidi w:val="0"/>
        <w:rPr>
          <w:rFonts w:hint="eastAsia"/>
          <w:color w:val="auto"/>
          <w:lang w:eastAsia="zh-CN"/>
        </w:rPr>
      </w:pPr>
      <w:r>
        <w:rPr>
          <w:rFonts w:hint="eastAsia"/>
          <w:color w:val="auto"/>
          <w:lang w:eastAsia="zh-CN"/>
        </w:rPr>
        <w:t>②审批文件、材料符合相关要求；</w:t>
      </w:r>
    </w:p>
    <w:p>
      <w:pPr>
        <w:bidi w:val="0"/>
        <w:rPr>
          <w:rFonts w:hint="eastAsia"/>
          <w:color w:val="auto"/>
          <w:highlight w:val="none"/>
          <w:lang w:eastAsia="zh-CN"/>
        </w:rPr>
      </w:pPr>
      <w:r>
        <w:rPr>
          <w:rFonts w:hint="eastAsia"/>
          <w:color w:val="auto"/>
          <w:highlight w:val="none"/>
          <w:lang w:eastAsia="zh-CN"/>
        </w:rPr>
        <w:t>③事前经过必要的可行性研究、绩效评估、集体决策。</w:t>
      </w:r>
    </w:p>
    <w:p>
      <w:pPr>
        <w:bidi w:val="0"/>
        <w:rPr>
          <w:rFonts w:hint="eastAsia"/>
          <w:color w:val="auto"/>
          <w:lang w:eastAsia="zh-CN"/>
        </w:rPr>
      </w:pPr>
      <w:r>
        <w:rPr>
          <w:rFonts w:hint="eastAsia"/>
          <w:b/>
          <w:bCs/>
          <w:color w:val="auto"/>
          <w:lang w:val="en-US" w:eastAsia="zh-CN"/>
        </w:rPr>
        <w:t>综上，该项指标满分3分，得分3分。</w:t>
      </w:r>
    </w:p>
    <w:p>
      <w:pPr>
        <w:bidi w:val="0"/>
        <w:rPr>
          <w:rFonts w:hint="default"/>
          <w:b/>
          <w:bCs/>
          <w:color w:val="auto"/>
          <w:lang w:val="en-US" w:eastAsia="zh-CN"/>
        </w:rPr>
      </w:pPr>
      <w:r>
        <w:rPr>
          <w:rFonts w:hint="eastAsia"/>
          <w:b/>
          <w:bCs/>
          <w:color w:val="auto"/>
          <w:lang w:val="en-US" w:eastAsia="zh-CN"/>
        </w:rPr>
        <w:t>3.绩效目标合理性</w:t>
      </w:r>
    </w:p>
    <w:p>
      <w:pPr>
        <w:bidi w:val="0"/>
        <w:rPr>
          <w:rFonts w:hint="eastAsia"/>
          <w:color w:val="auto"/>
          <w:lang w:eastAsia="zh-CN"/>
        </w:rPr>
      </w:pPr>
      <w:r>
        <w:rPr>
          <w:rFonts w:hint="eastAsia"/>
          <w:color w:val="auto"/>
          <w:lang w:eastAsia="zh-CN"/>
        </w:rPr>
        <w:t>①项目有绩效目标；</w:t>
      </w:r>
    </w:p>
    <w:p>
      <w:pPr>
        <w:bidi w:val="0"/>
        <w:rPr>
          <w:rFonts w:hint="eastAsia"/>
          <w:color w:val="auto"/>
          <w:lang w:eastAsia="zh-CN"/>
        </w:rPr>
      </w:pPr>
      <w:r>
        <w:rPr>
          <w:rFonts w:hint="eastAsia"/>
          <w:color w:val="auto"/>
          <w:lang w:eastAsia="zh-CN"/>
        </w:rPr>
        <w:t>②项目绩效目标与实际工作内容具有相关性；</w:t>
      </w:r>
    </w:p>
    <w:p>
      <w:pPr>
        <w:bidi w:val="0"/>
        <w:rPr>
          <w:rFonts w:hint="eastAsia"/>
          <w:color w:val="auto"/>
          <w:lang w:eastAsia="zh-CN"/>
        </w:rPr>
      </w:pPr>
      <w:r>
        <w:rPr>
          <w:rFonts w:hint="eastAsia"/>
          <w:color w:val="auto"/>
          <w:lang w:eastAsia="zh-CN"/>
        </w:rPr>
        <w:t>③项目预期产出效益和效果符合正常的业绩水平；</w:t>
      </w:r>
    </w:p>
    <w:p>
      <w:pPr>
        <w:bidi w:val="0"/>
        <w:rPr>
          <w:rFonts w:hint="eastAsia"/>
          <w:color w:val="auto"/>
          <w:lang w:eastAsia="zh-CN"/>
        </w:rPr>
      </w:pPr>
      <w:r>
        <w:rPr>
          <w:rFonts w:hint="eastAsia"/>
          <w:color w:val="auto"/>
          <w:lang w:eastAsia="zh-CN"/>
        </w:rPr>
        <w:t>④与预算确定的项目投资额或资金量相匹配。</w:t>
      </w:r>
    </w:p>
    <w:p>
      <w:pPr>
        <w:bidi w:val="0"/>
        <w:rPr>
          <w:rFonts w:hint="eastAsia"/>
          <w:color w:val="auto"/>
          <w:lang w:eastAsia="zh-CN"/>
        </w:rPr>
      </w:pPr>
      <w:r>
        <w:rPr>
          <w:rFonts w:hint="eastAsia"/>
          <w:b/>
          <w:bCs/>
          <w:color w:val="auto"/>
          <w:lang w:val="en-US" w:eastAsia="zh-CN"/>
        </w:rPr>
        <w:t>综上，该项指标满分5分，得分5分。</w:t>
      </w:r>
    </w:p>
    <w:p>
      <w:pPr>
        <w:bidi w:val="0"/>
        <w:rPr>
          <w:rFonts w:hint="default"/>
          <w:b/>
          <w:bCs/>
          <w:color w:val="auto"/>
          <w:lang w:val="en-US" w:eastAsia="zh-CN"/>
        </w:rPr>
      </w:pPr>
      <w:r>
        <w:rPr>
          <w:rFonts w:hint="eastAsia"/>
          <w:b/>
          <w:bCs/>
          <w:color w:val="auto"/>
          <w:lang w:val="en-US" w:eastAsia="zh-CN"/>
        </w:rPr>
        <w:t>4.绩效指标明确性</w:t>
      </w:r>
    </w:p>
    <w:p>
      <w:pPr>
        <w:bidi w:val="0"/>
        <w:rPr>
          <w:rFonts w:hint="eastAsia"/>
          <w:color w:val="auto"/>
          <w:lang w:eastAsia="zh-CN"/>
        </w:rPr>
      </w:pPr>
      <w:r>
        <w:rPr>
          <w:rFonts w:hint="eastAsia"/>
          <w:color w:val="auto"/>
          <w:lang w:eastAsia="zh-CN"/>
        </w:rPr>
        <w:t>①将项目绩效目标细化分解为具体的绩效指标；</w:t>
      </w:r>
    </w:p>
    <w:p>
      <w:pPr>
        <w:bidi w:val="0"/>
        <w:rPr>
          <w:rFonts w:hint="eastAsia"/>
          <w:color w:val="auto"/>
          <w:lang w:eastAsia="zh-CN"/>
        </w:rPr>
      </w:pPr>
      <w:r>
        <w:rPr>
          <w:rFonts w:hint="eastAsia"/>
          <w:color w:val="auto"/>
          <w:lang w:eastAsia="zh-CN"/>
        </w:rPr>
        <w:t>②通过清晰、可衡量的指标值予以体现；</w:t>
      </w:r>
    </w:p>
    <w:p>
      <w:pPr>
        <w:bidi w:val="0"/>
        <w:rPr>
          <w:rFonts w:hint="eastAsia"/>
          <w:color w:val="auto"/>
          <w:lang w:eastAsia="zh-CN"/>
        </w:rPr>
      </w:pPr>
      <w:r>
        <w:rPr>
          <w:rFonts w:hint="eastAsia"/>
          <w:color w:val="auto"/>
          <w:lang w:eastAsia="zh-CN"/>
        </w:rPr>
        <w:t>③与项目目标任务数或计划数相对应。</w:t>
      </w:r>
    </w:p>
    <w:p>
      <w:pPr>
        <w:bidi w:val="0"/>
        <w:rPr>
          <w:rFonts w:hint="eastAsia"/>
          <w:color w:val="auto"/>
          <w:lang w:eastAsia="zh-CN"/>
        </w:rPr>
      </w:pPr>
      <w:r>
        <w:rPr>
          <w:rFonts w:hint="eastAsia"/>
          <w:b/>
          <w:bCs/>
          <w:color w:val="auto"/>
          <w:lang w:val="en-US" w:eastAsia="zh-CN"/>
        </w:rPr>
        <w:t>综上，该项指标满分5分，得分5分。</w:t>
      </w:r>
    </w:p>
    <w:p>
      <w:pPr>
        <w:bidi w:val="0"/>
        <w:rPr>
          <w:rFonts w:hint="default"/>
          <w:b/>
          <w:bCs/>
          <w:color w:val="auto"/>
          <w:lang w:val="en-US" w:eastAsia="zh-CN"/>
        </w:rPr>
      </w:pPr>
      <w:r>
        <w:rPr>
          <w:rFonts w:hint="eastAsia"/>
          <w:b/>
          <w:bCs/>
          <w:color w:val="auto"/>
          <w:lang w:val="en-US" w:eastAsia="zh-CN"/>
        </w:rPr>
        <w:t>5.预算编制科学性</w:t>
      </w:r>
    </w:p>
    <w:p>
      <w:pPr>
        <w:bidi w:val="0"/>
        <w:rPr>
          <w:rFonts w:hint="eastAsia"/>
          <w:color w:val="auto"/>
          <w:lang w:eastAsia="zh-CN"/>
        </w:rPr>
      </w:pPr>
      <w:r>
        <w:rPr>
          <w:rFonts w:hint="eastAsia"/>
          <w:color w:val="auto"/>
          <w:lang w:eastAsia="zh-CN"/>
        </w:rPr>
        <w:t>①预算编制经过科学论证；</w:t>
      </w:r>
    </w:p>
    <w:p>
      <w:pPr>
        <w:bidi w:val="0"/>
        <w:rPr>
          <w:rFonts w:hint="eastAsia"/>
          <w:color w:val="auto"/>
          <w:lang w:eastAsia="zh-CN"/>
        </w:rPr>
      </w:pPr>
      <w:r>
        <w:rPr>
          <w:rFonts w:hint="eastAsia"/>
          <w:color w:val="auto"/>
          <w:lang w:eastAsia="zh-CN"/>
        </w:rPr>
        <w:t>②预算内容与项目内容匹配；</w:t>
      </w:r>
    </w:p>
    <w:p>
      <w:pPr>
        <w:bidi w:val="0"/>
        <w:rPr>
          <w:rFonts w:hint="eastAsia"/>
          <w:color w:val="auto"/>
          <w:lang w:eastAsia="zh-CN"/>
        </w:rPr>
      </w:pPr>
      <w:r>
        <w:rPr>
          <w:rFonts w:hint="eastAsia"/>
          <w:color w:val="auto"/>
          <w:lang w:eastAsia="zh-CN"/>
        </w:rPr>
        <w:t>③预算额度测算依据充分，按照标准编制；</w:t>
      </w:r>
    </w:p>
    <w:p>
      <w:pPr>
        <w:bidi w:val="0"/>
        <w:rPr>
          <w:rFonts w:hint="eastAsia"/>
          <w:color w:val="auto"/>
          <w:lang w:eastAsia="zh-CN"/>
        </w:rPr>
      </w:pPr>
      <w:r>
        <w:rPr>
          <w:rFonts w:hint="eastAsia"/>
          <w:color w:val="auto"/>
          <w:lang w:eastAsia="zh-CN"/>
        </w:rPr>
        <w:t>④预算确定的项目投资额或资金量与工作任务相匹配。</w:t>
      </w:r>
    </w:p>
    <w:p>
      <w:pPr>
        <w:bidi w:val="0"/>
        <w:rPr>
          <w:rFonts w:hint="eastAsia"/>
          <w:color w:val="auto"/>
          <w:lang w:eastAsia="zh-CN"/>
        </w:rPr>
      </w:pPr>
      <w:r>
        <w:rPr>
          <w:rFonts w:hint="eastAsia"/>
          <w:b/>
          <w:bCs/>
          <w:color w:val="auto"/>
          <w:lang w:val="en-US" w:eastAsia="zh-CN"/>
        </w:rPr>
        <w:t>综上，该项指标满分2分，得分2分。</w:t>
      </w:r>
    </w:p>
    <w:p>
      <w:pPr>
        <w:bidi w:val="0"/>
        <w:rPr>
          <w:rFonts w:hint="default"/>
          <w:b/>
          <w:bCs/>
          <w:color w:val="auto"/>
          <w:lang w:val="en-US" w:eastAsia="zh-CN"/>
        </w:rPr>
      </w:pPr>
      <w:r>
        <w:rPr>
          <w:rFonts w:hint="eastAsia"/>
          <w:b/>
          <w:bCs/>
          <w:color w:val="auto"/>
          <w:lang w:val="en-US" w:eastAsia="zh-CN"/>
        </w:rPr>
        <w:t>6.资金分配合理性</w:t>
      </w:r>
    </w:p>
    <w:p>
      <w:pPr>
        <w:bidi w:val="0"/>
        <w:rPr>
          <w:rFonts w:hint="eastAsia"/>
          <w:color w:val="auto"/>
          <w:lang w:eastAsia="zh-CN"/>
        </w:rPr>
      </w:pPr>
      <w:r>
        <w:rPr>
          <w:rFonts w:hint="eastAsia"/>
          <w:color w:val="auto"/>
          <w:lang w:eastAsia="zh-CN"/>
        </w:rPr>
        <w:t>①预算资金分配依据充分；</w:t>
      </w:r>
    </w:p>
    <w:p>
      <w:pPr>
        <w:bidi w:val="0"/>
        <w:rPr>
          <w:rFonts w:hint="eastAsia"/>
          <w:color w:val="auto"/>
          <w:lang w:eastAsia="zh-CN"/>
        </w:rPr>
      </w:pPr>
      <w:r>
        <w:rPr>
          <w:rFonts w:hint="eastAsia"/>
          <w:color w:val="auto"/>
          <w:lang w:eastAsia="zh-CN"/>
        </w:rPr>
        <w:t>②资金分配额度合理，与项目单位或地方实际相适应。</w:t>
      </w:r>
    </w:p>
    <w:p>
      <w:pPr>
        <w:bidi w:val="0"/>
        <w:rPr>
          <w:rFonts w:hint="eastAsia"/>
          <w:color w:val="auto"/>
          <w:lang w:eastAsia="zh-CN"/>
        </w:rPr>
      </w:pPr>
      <w:r>
        <w:rPr>
          <w:rFonts w:hint="eastAsia"/>
          <w:b/>
          <w:bCs/>
          <w:color w:val="auto"/>
          <w:lang w:val="en-US" w:eastAsia="zh-CN"/>
        </w:rPr>
        <w:t>综上，该项指标满分3分，得分3分。</w:t>
      </w:r>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16.2</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9"/>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2.1</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2.1</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16.2</w:t>
            </w:r>
          </w:p>
        </w:tc>
      </w:tr>
    </w:tbl>
    <w:p>
      <w:pPr>
        <w:bidi w:val="0"/>
        <w:rPr>
          <w:rFonts w:hint="default"/>
          <w:b/>
          <w:bCs/>
          <w:color w:val="auto"/>
          <w:lang w:val="en-US" w:eastAsia="zh-CN"/>
        </w:rPr>
      </w:pPr>
      <w:r>
        <w:rPr>
          <w:rFonts w:hint="eastAsia"/>
          <w:b/>
          <w:bCs/>
          <w:color w:val="auto"/>
          <w:lang w:val="en-US" w:eastAsia="zh-CN"/>
        </w:rPr>
        <w:t>1.资金到位率</w:t>
      </w:r>
    </w:p>
    <w:p>
      <w:pPr>
        <w:bidi w:val="0"/>
        <w:rPr>
          <w:rFonts w:hint="default"/>
          <w:b/>
          <w:bCs/>
          <w:color w:val="auto"/>
          <w:lang w:val="en-US" w:eastAsia="zh-CN"/>
        </w:rPr>
      </w:pPr>
      <w:r>
        <w:rPr>
          <w:rFonts w:hint="eastAsia"/>
          <w:color w:val="auto"/>
          <w:lang w:eastAsia="zh-CN"/>
        </w:rPr>
        <w:t>资金到位率=（</w:t>
      </w:r>
      <w:r>
        <w:rPr>
          <w:rFonts w:hint="eastAsia"/>
          <w:color w:val="auto"/>
          <w:lang w:val="en-US" w:eastAsia="zh-CN"/>
        </w:rPr>
        <w:t>202.95</w:t>
      </w:r>
      <w:r>
        <w:rPr>
          <w:rFonts w:hint="eastAsia"/>
          <w:color w:val="auto"/>
          <w:lang w:eastAsia="zh-CN"/>
        </w:rPr>
        <w:t>/</w:t>
      </w:r>
      <w:r>
        <w:rPr>
          <w:rFonts w:hint="eastAsia"/>
          <w:color w:val="auto"/>
          <w:lang w:val="en-US" w:eastAsia="zh-CN"/>
        </w:rPr>
        <w:t>387.50</w:t>
      </w:r>
      <w:r>
        <w:rPr>
          <w:rFonts w:hint="eastAsia"/>
          <w:color w:val="auto"/>
          <w:lang w:eastAsia="zh-CN"/>
        </w:rPr>
        <w:t>）×100%。</w:t>
      </w:r>
      <w:r>
        <w:rPr>
          <w:rFonts w:hint="eastAsia"/>
          <w:b/>
          <w:bCs/>
          <w:color w:val="auto"/>
          <w:lang w:val="en-US" w:eastAsia="zh-CN"/>
        </w:rPr>
        <w:t>=52.37%</w:t>
      </w:r>
    </w:p>
    <w:p>
      <w:pPr>
        <w:bidi w:val="0"/>
        <w:rPr>
          <w:rFonts w:hint="eastAsia"/>
          <w:color w:val="auto"/>
          <w:lang w:eastAsia="zh-CN"/>
        </w:rPr>
      </w:pPr>
      <w:r>
        <w:rPr>
          <w:rFonts w:hint="eastAsia"/>
          <w:b/>
          <w:bCs/>
          <w:color w:val="auto"/>
          <w:lang w:val="en-US" w:eastAsia="zh-CN"/>
        </w:rPr>
        <w:t>综上，该项指标满分4分，得分2.1分。</w:t>
      </w:r>
    </w:p>
    <w:p>
      <w:pPr>
        <w:bidi w:val="0"/>
        <w:rPr>
          <w:rFonts w:hint="default"/>
          <w:b/>
          <w:bCs/>
          <w:color w:val="auto"/>
          <w:lang w:val="en-US" w:eastAsia="zh-CN"/>
        </w:rPr>
      </w:pPr>
      <w:r>
        <w:rPr>
          <w:rFonts w:hint="eastAsia"/>
          <w:b/>
          <w:bCs/>
          <w:color w:val="auto"/>
          <w:lang w:val="en-US" w:eastAsia="zh-CN"/>
        </w:rPr>
        <w:t>2.预算执行率</w:t>
      </w:r>
    </w:p>
    <w:p>
      <w:pPr>
        <w:bidi w:val="0"/>
        <w:rPr>
          <w:rFonts w:hint="default"/>
          <w:color w:val="auto"/>
          <w:lang w:val="en-US" w:eastAsia="zh-CN"/>
        </w:rPr>
      </w:pPr>
      <w:r>
        <w:rPr>
          <w:rFonts w:hint="eastAsia"/>
          <w:color w:val="auto"/>
          <w:lang w:eastAsia="zh-CN"/>
        </w:rPr>
        <w:t>预算执行率=（</w:t>
      </w:r>
      <w:r>
        <w:rPr>
          <w:rFonts w:hint="eastAsia"/>
          <w:color w:val="auto"/>
          <w:lang w:val="en-US" w:eastAsia="zh-CN"/>
        </w:rPr>
        <w:t>202.95</w:t>
      </w:r>
      <w:r>
        <w:rPr>
          <w:rFonts w:hint="eastAsia"/>
          <w:color w:val="auto"/>
          <w:lang w:eastAsia="zh-CN"/>
        </w:rPr>
        <w:t>/</w:t>
      </w:r>
      <w:r>
        <w:rPr>
          <w:rFonts w:hint="eastAsia"/>
          <w:color w:val="auto"/>
          <w:lang w:val="en-US" w:eastAsia="zh-CN"/>
        </w:rPr>
        <w:t>387.50</w:t>
      </w:r>
      <w:r>
        <w:rPr>
          <w:rFonts w:hint="eastAsia"/>
          <w:color w:val="auto"/>
          <w:lang w:eastAsia="zh-CN"/>
        </w:rPr>
        <w:t>）×100%。</w:t>
      </w:r>
      <w:r>
        <w:rPr>
          <w:rFonts w:hint="eastAsia"/>
          <w:b/>
          <w:bCs/>
          <w:color w:val="auto"/>
          <w:lang w:val="en-US" w:eastAsia="zh-CN"/>
        </w:rPr>
        <w:t>=52.37%</w:t>
      </w:r>
    </w:p>
    <w:p>
      <w:pPr>
        <w:bidi w:val="0"/>
        <w:rPr>
          <w:rFonts w:hint="eastAsia"/>
          <w:color w:val="auto"/>
          <w:lang w:eastAsia="zh-CN"/>
        </w:rPr>
      </w:pPr>
      <w:r>
        <w:rPr>
          <w:rFonts w:hint="eastAsia"/>
          <w:b/>
          <w:bCs/>
          <w:color w:val="auto"/>
          <w:lang w:val="en-US" w:eastAsia="zh-CN"/>
        </w:rPr>
        <w:t>综上，该项指标满分2.1分，得分2.1分。</w:t>
      </w:r>
    </w:p>
    <w:p>
      <w:pPr>
        <w:bidi w:val="0"/>
        <w:rPr>
          <w:rFonts w:hint="default"/>
          <w:b/>
          <w:bCs/>
          <w:color w:val="auto"/>
          <w:lang w:val="en-US" w:eastAsia="zh-CN"/>
        </w:rPr>
      </w:pPr>
      <w:r>
        <w:rPr>
          <w:rFonts w:hint="eastAsia"/>
          <w:b/>
          <w:bCs/>
          <w:color w:val="auto"/>
          <w:lang w:val="en-US" w:eastAsia="zh-CN"/>
        </w:rPr>
        <w:t>3.资金使用合规性</w:t>
      </w:r>
    </w:p>
    <w:p>
      <w:pPr>
        <w:bidi w:val="0"/>
        <w:rPr>
          <w:rFonts w:hint="eastAsia"/>
          <w:color w:val="auto"/>
          <w:lang w:eastAsia="zh-CN"/>
        </w:rPr>
      </w:pPr>
      <w:r>
        <w:rPr>
          <w:rFonts w:hint="eastAsia"/>
          <w:color w:val="auto"/>
          <w:lang w:eastAsia="zh-CN"/>
        </w:rPr>
        <w:t>①符合国家财经法规和财务管理制度以及有关专项资金管理办法的规定；</w:t>
      </w:r>
    </w:p>
    <w:p>
      <w:pPr>
        <w:bidi w:val="0"/>
        <w:rPr>
          <w:rFonts w:hint="eastAsia"/>
          <w:color w:val="auto"/>
          <w:lang w:eastAsia="zh-CN"/>
        </w:rPr>
      </w:pPr>
      <w:r>
        <w:rPr>
          <w:rFonts w:hint="eastAsia"/>
          <w:color w:val="auto"/>
          <w:lang w:eastAsia="zh-CN"/>
        </w:rPr>
        <w:t>②资金的拨付有完整的审批程序和手续；</w:t>
      </w:r>
    </w:p>
    <w:p>
      <w:pPr>
        <w:bidi w:val="0"/>
        <w:rPr>
          <w:rFonts w:hint="eastAsia"/>
          <w:color w:val="auto"/>
          <w:lang w:eastAsia="zh-CN"/>
        </w:rPr>
      </w:pPr>
      <w:r>
        <w:rPr>
          <w:rFonts w:hint="eastAsia"/>
          <w:color w:val="auto"/>
          <w:lang w:eastAsia="zh-CN"/>
        </w:rPr>
        <w:t>③符合项目预算批复或合同规定的用途；</w:t>
      </w:r>
    </w:p>
    <w:p>
      <w:pPr>
        <w:bidi w:val="0"/>
        <w:rPr>
          <w:rFonts w:hint="eastAsia"/>
          <w:color w:val="auto"/>
          <w:lang w:eastAsia="zh-CN"/>
        </w:rPr>
      </w:pPr>
      <w:r>
        <w:rPr>
          <w:rFonts w:hint="eastAsia"/>
          <w:color w:val="auto"/>
          <w:lang w:eastAsia="zh-CN"/>
        </w:rPr>
        <w:t>④</w:t>
      </w:r>
      <w:r>
        <w:rPr>
          <w:rFonts w:hint="eastAsia"/>
          <w:color w:val="auto"/>
          <w:lang w:val="en-US" w:eastAsia="zh-CN"/>
        </w:rPr>
        <w:t>不</w:t>
      </w:r>
      <w:r>
        <w:rPr>
          <w:rFonts w:hint="eastAsia"/>
          <w:color w:val="auto"/>
          <w:lang w:eastAsia="zh-CN"/>
        </w:rPr>
        <w:t>存在截留、挤占、挪用、虚列支出等情况。</w:t>
      </w:r>
    </w:p>
    <w:p>
      <w:pPr>
        <w:bidi w:val="0"/>
        <w:rPr>
          <w:rFonts w:hint="eastAsia"/>
          <w:color w:val="auto"/>
          <w:lang w:eastAsia="zh-CN"/>
        </w:rPr>
      </w:pPr>
      <w:r>
        <w:rPr>
          <w:rFonts w:hint="eastAsia"/>
          <w:b/>
          <w:bCs/>
          <w:color w:val="auto"/>
          <w:lang w:val="en-US" w:eastAsia="zh-CN"/>
        </w:rPr>
        <w:t>综上，该项指标满分4分，得分4分。</w:t>
      </w:r>
    </w:p>
    <w:p>
      <w:pPr>
        <w:bidi w:val="0"/>
        <w:rPr>
          <w:rFonts w:hint="default"/>
          <w:b/>
          <w:bCs/>
          <w:color w:val="auto"/>
          <w:lang w:val="en-US" w:eastAsia="zh-CN"/>
        </w:rPr>
      </w:pPr>
      <w:r>
        <w:rPr>
          <w:rFonts w:hint="eastAsia"/>
          <w:b/>
          <w:bCs/>
          <w:color w:val="auto"/>
          <w:lang w:val="en-US" w:eastAsia="zh-CN"/>
        </w:rPr>
        <w:t>4.管理制度健全性</w:t>
      </w:r>
    </w:p>
    <w:p>
      <w:pPr>
        <w:bidi w:val="0"/>
        <w:rPr>
          <w:rFonts w:hint="eastAsia"/>
          <w:color w:val="auto"/>
          <w:lang w:eastAsia="zh-CN"/>
        </w:rPr>
      </w:pPr>
      <w:r>
        <w:rPr>
          <w:rFonts w:hint="eastAsia"/>
          <w:color w:val="auto"/>
          <w:lang w:eastAsia="zh-CN"/>
        </w:rPr>
        <w:t>①具有相应的财务和业务管理制度；</w:t>
      </w:r>
    </w:p>
    <w:p>
      <w:pPr>
        <w:bidi w:val="0"/>
        <w:rPr>
          <w:rFonts w:hint="eastAsia"/>
          <w:color w:val="auto"/>
          <w:lang w:eastAsia="zh-CN"/>
        </w:rPr>
      </w:pPr>
      <w:r>
        <w:rPr>
          <w:rFonts w:hint="eastAsia"/>
          <w:color w:val="auto"/>
          <w:lang w:eastAsia="zh-CN"/>
        </w:rPr>
        <w:t>②财务和业务管理制度合法、合规、完整。</w:t>
      </w:r>
    </w:p>
    <w:p>
      <w:pPr>
        <w:bidi w:val="0"/>
        <w:rPr>
          <w:rFonts w:hint="eastAsia"/>
          <w:color w:val="auto"/>
          <w:lang w:eastAsia="zh-CN"/>
        </w:rPr>
      </w:pPr>
      <w:r>
        <w:rPr>
          <w:rFonts w:hint="eastAsia"/>
          <w:b/>
          <w:bCs/>
          <w:color w:val="auto"/>
          <w:lang w:val="en-US" w:eastAsia="zh-CN"/>
        </w:rPr>
        <w:t>综上，该项指标满分4分，得分4分。</w:t>
      </w:r>
    </w:p>
    <w:p>
      <w:pPr>
        <w:bidi w:val="0"/>
        <w:ind w:left="1403" w:leftChars="200" w:hanging="843" w:hangingChars="300"/>
        <w:rPr>
          <w:rFonts w:hint="eastAsia"/>
          <w:b/>
          <w:bCs/>
          <w:color w:val="auto"/>
          <w:lang w:val="en-US" w:eastAsia="zh-CN"/>
        </w:rPr>
      </w:pPr>
      <w:r>
        <w:rPr>
          <w:rFonts w:hint="eastAsia"/>
          <w:b/>
          <w:bCs/>
          <w:color w:val="auto"/>
          <w:lang w:val="en-US" w:eastAsia="zh-CN"/>
        </w:rPr>
        <w:t>5.制度执行有效性</w:t>
      </w:r>
    </w:p>
    <w:p>
      <w:pPr>
        <w:bidi w:val="0"/>
        <w:rPr>
          <w:rFonts w:hint="eastAsia"/>
          <w:color w:val="auto"/>
          <w:lang w:eastAsia="zh-CN"/>
        </w:rPr>
      </w:pPr>
      <w:r>
        <w:rPr>
          <w:rFonts w:hint="eastAsia"/>
          <w:color w:val="auto"/>
          <w:lang w:eastAsia="zh-CN"/>
        </w:rPr>
        <w:t>①遵守相关法律法规和相关管理规定；</w:t>
      </w:r>
    </w:p>
    <w:p>
      <w:pPr>
        <w:bidi w:val="0"/>
        <w:rPr>
          <w:rFonts w:hint="eastAsia"/>
          <w:color w:val="auto"/>
          <w:lang w:eastAsia="zh-CN"/>
        </w:rPr>
      </w:pPr>
      <w:r>
        <w:rPr>
          <w:rFonts w:hint="eastAsia"/>
          <w:color w:val="auto"/>
          <w:lang w:eastAsia="zh-CN"/>
        </w:rPr>
        <w:t>②项目调整及支出调整手续完备；</w:t>
      </w:r>
    </w:p>
    <w:p>
      <w:pPr>
        <w:bidi w:val="0"/>
        <w:rPr>
          <w:rFonts w:hint="eastAsia"/>
          <w:color w:val="auto"/>
          <w:lang w:eastAsia="zh-CN"/>
        </w:rPr>
      </w:pPr>
      <w:r>
        <w:rPr>
          <w:rFonts w:hint="eastAsia"/>
          <w:color w:val="auto"/>
          <w:lang w:eastAsia="zh-CN"/>
        </w:rPr>
        <w:t>③项目合同书、验收报告、技术鉴定等资料齐全并及时归档；</w:t>
      </w:r>
    </w:p>
    <w:p>
      <w:pPr>
        <w:bidi w:val="0"/>
        <w:rPr>
          <w:rFonts w:hint="eastAsia"/>
          <w:color w:val="auto"/>
          <w:lang w:eastAsia="zh-CN"/>
        </w:rPr>
      </w:pPr>
      <w:r>
        <w:rPr>
          <w:rFonts w:hint="eastAsia"/>
          <w:color w:val="auto"/>
          <w:lang w:eastAsia="zh-CN"/>
        </w:rPr>
        <w:t>④项目实施的人员条件、场地设备、信息支撑等落实到位。</w:t>
      </w:r>
    </w:p>
    <w:p>
      <w:pPr>
        <w:bidi w:val="0"/>
        <w:rPr>
          <w:rFonts w:hint="eastAsia"/>
          <w:color w:val="auto"/>
          <w:lang w:eastAsia="zh-CN"/>
        </w:rPr>
      </w:pPr>
      <w:r>
        <w:rPr>
          <w:rFonts w:hint="eastAsia"/>
          <w:b/>
          <w:bCs/>
          <w:color w:val="auto"/>
          <w:lang w:val="en-US" w:eastAsia="zh-CN"/>
        </w:rPr>
        <w:t>综上，该项指标满分4分，得分4分。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p>
    <w:p>
      <w:pPr>
        <w:pageBreakBefore w:val="0"/>
        <w:widowControl w:val="0"/>
        <w:kinsoku/>
        <w:wordWrap/>
        <w:overflowPunct/>
        <w:topLinePunct w:val="0"/>
        <w:autoSpaceDE/>
        <w:autoSpaceDN/>
        <w:bidi w:val="0"/>
        <w:adjustRightInd/>
        <w:spacing w:line="360" w:lineRule="auto"/>
        <w:ind w:firstLine="560"/>
        <w:textAlignment w:val="auto"/>
        <w:rPr>
          <w:rFonts w:hint="eastAsia" w:cs="宋体"/>
          <w:b/>
          <w:bCs/>
          <w:color w:val="auto"/>
          <w:kern w:val="0"/>
          <w:sz w:val="28"/>
          <w:szCs w:val="28"/>
          <w:highlight w:val="none"/>
          <w:shd w:val="clear" w:color="auto" w:fill="auto"/>
          <w:lang w:val="zh-TW" w:eastAsia="zh-CN"/>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15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23.76</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9"/>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购置专用设备数量</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≥3台</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1台</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shd w:val="clear" w:color="auto" w:fill="auto"/>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购置通用设备数量</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≥21台</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23台</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r>
      <w:tr>
        <w:tblPrEx>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购置办公设备数量</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≥101台（套）</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181台</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r>
      <w:tr>
        <w:tblPrEx>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野外作业保障用车数量</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≥15辆</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15辆</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r>
      <w:tr>
        <w:tblPrEx>
          <w:shd w:val="clear" w:color="auto" w:fill="auto"/>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保障野外作业人员数量</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5.7</w:t>
            </w:r>
          </w:p>
        </w:tc>
      </w:tr>
      <w:tr>
        <w:tblPrEx>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政府采购率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31.86%</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1.06</w:t>
            </w:r>
          </w:p>
        </w:tc>
      </w:tr>
      <w:tr>
        <w:tblPrEx>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采购设备质量合格率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专用设备验收合格率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专用设备采购完成时间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2022年11月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2022年12月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通用设备及办公设备采购完成时间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2022年11月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2022年12月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公用经费支付及时率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tabs>
                <w:tab w:val="left" w:pos="450"/>
              </w:tabs>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ab/>
            </w:r>
            <w:r>
              <w:rPr>
                <w:rFonts w:hint="eastAsia" w:cs="宋体"/>
                <w:color w:val="auto"/>
                <w:kern w:val="0"/>
                <w:sz w:val="20"/>
                <w:szCs w:val="20"/>
                <w:highlight w:val="none"/>
                <w:shd w:val="clear" w:color="auto" w:fill="auto"/>
                <w:lang w:val="en-US" w:eastAsia="zh-CN"/>
              </w:rPr>
              <w:t>≥90%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专用设备采购成本</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both"/>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≤60.5万元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0.46万元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shd w:val="clear" w:color="auto" w:fill="auto"/>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通用设备采购成本</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tabs>
                <w:tab w:val="left" w:pos="559"/>
              </w:tabs>
              <w:kinsoku/>
              <w:wordWrap/>
              <w:overflowPunct/>
              <w:topLinePunct w:val="0"/>
              <w:autoSpaceDE/>
              <w:autoSpaceDN/>
              <w:bidi w:val="0"/>
              <w:adjustRightInd/>
              <w:snapToGrid w:val="0"/>
              <w:spacing w:line="240" w:lineRule="auto"/>
              <w:ind w:firstLine="0" w:firstLineChars="0"/>
              <w:jc w:val="left"/>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≤5.30万元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4.6万元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办公设备采购成本</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tabs>
                <w:tab w:val="left" w:pos="532"/>
              </w:tabs>
              <w:kinsoku/>
              <w:wordWrap/>
              <w:overflowPunct/>
              <w:topLinePunct w:val="0"/>
              <w:autoSpaceDE/>
              <w:autoSpaceDN/>
              <w:bidi w:val="0"/>
              <w:adjustRightInd/>
              <w:snapToGrid w:val="0"/>
              <w:spacing w:line="240" w:lineRule="auto"/>
              <w:ind w:firstLine="0" w:firstLineChars="0"/>
              <w:jc w:val="left"/>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≤19.88万元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3.91万元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shd w:val="clear" w:color="auto" w:fill="auto"/>
          <w:tblCellMar>
            <w:top w:w="0" w:type="dxa"/>
            <w:left w:w="0" w:type="dxa"/>
            <w:bottom w:w="0" w:type="dxa"/>
            <w:right w:w="0" w:type="dxa"/>
          </w:tblCellMar>
        </w:tblPrEx>
        <w:trPr>
          <w:trHeight w:val="428"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野外作业人均运转经费数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both"/>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≤3.01万元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2.13万元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23.76</w:t>
            </w:r>
          </w:p>
        </w:tc>
      </w:tr>
    </w:tbl>
    <w:p>
      <w:pPr>
        <w:bidi w:val="0"/>
        <w:rPr>
          <w:rFonts w:hint="default"/>
          <w:b/>
          <w:bCs/>
          <w:color w:val="auto"/>
          <w:lang w:val="en-US" w:eastAsia="zh-CN"/>
        </w:rPr>
      </w:pPr>
      <w:r>
        <w:rPr>
          <w:rFonts w:hint="eastAsia"/>
          <w:b/>
          <w:bCs/>
          <w:color w:val="auto"/>
          <w:lang w:val="en-US" w:eastAsia="zh-CN"/>
        </w:rPr>
        <w:t>1.项目完成数量</w:t>
      </w:r>
    </w:p>
    <w:p>
      <w:pPr>
        <w:bidi w:val="0"/>
        <w:rPr>
          <w:rFonts w:hint="default"/>
          <w:color w:val="auto"/>
          <w:lang w:val="en-US" w:eastAsia="zh-CN"/>
        </w:rPr>
      </w:pPr>
      <w:r>
        <w:rPr>
          <w:rFonts w:hint="eastAsia"/>
          <w:color w:val="auto"/>
          <w:lang w:val="en-US" w:eastAsia="zh-CN"/>
        </w:rPr>
        <w:t>“购置专用设备数量”指标，预期指标值为≥3台，实际完成为1台。实际完成率=（1/3）×100%=33.33%。</w:t>
      </w:r>
    </w:p>
    <w:p>
      <w:pPr>
        <w:bidi w:val="0"/>
        <w:rPr>
          <w:rFonts w:hint="eastAsia"/>
          <w:b/>
          <w:bCs/>
          <w:color w:val="auto"/>
          <w:lang w:val="en-US" w:eastAsia="zh-CN"/>
        </w:rPr>
      </w:pPr>
      <w:r>
        <w:rPr>
          <w:rFonts w:hint="eastAsia"/>
          <w:b/>
          <w:bCs/>
          <w:color w:val="auto"/>
          <w:lang w:val="en-US" w:eastAsia="zh-CN"/>
        </w:rPr>
        <w:t>综上，该项指标满分6分，得分2分。</w:t>
      </w:r>
    </w:p>
    <w:p>
      <w:pPr>
        <w:bidi w:val="0"/>
        <w:rPr>
          <w:rFonts w:hint="default"/>
          <w:color w:val="auto"/>
          <w:lang w:val="en-US" w:eastAsia="zh-CN"/>
        </w:rPr>
      </w:pPr>
      <w:r>
        <w:rPr>
          <w:rFonts w:hint="eastAsia"/>
          <w:color w:val="auto"/>
          <w:lang w:val="en-US" w:eastAsia="zh-CN"/>
        </w:rPr>
        <w:t>“购置通用设备数量”指标，预期指标值为≥21台，实际完成为23台。实际完成率=（23/21）×100%=109.52%。</w:t>
      </w:r>
    </w:p>
    <w:p>
      <w:pPr>
        <w:bidi w:val="0"/>
        <w:rPr>
          <w:rFonts w:hint="eastAsia"/>
          <w:b/>
          <w:bCs/>
          <w:color w:val="auto"/>
          <w:lang w:val="en-US" w:eastAsia="zh-CN"/>
        </w:rPr>
      </w:pPr>
      <w:r>
        <w:rPr>
          <w:rFonts w:hint="eastAsia"/>
          <w:b/>
          <w:bCs/>
          <w:color w:val="auto"/>
          <w:lang w:val="en-US" w:eastAsia="zh-CN"/>
        </w:rPr>
        <w:t>综上，该项指标满分6分，得分6分。</w:t>
      </w:r>
    </w:p>
    <w:p>
      <w:pPr>
        <w:bidi w:val="0"/>
        <w:rPr>
          <w:rFonts w:hint="default"/>
          <w:color w:val="auto"/>
          <w:lang w:val="en-US" w:eastAsia="zh-CN"/>
        </w:rPr>
      </w:pPr>
      <w:r>
        <w:rPr>
          <w:rFonts w:hint="eastAsia"/>
          <w:color w:val="auto"/>
          <w:lang w:val="en-US" w:eastAsia="zh-CN"/>
        </w:rPr>
        <w:t>“购置办公设备数量”指标，预期指标值为≥≥101台（套），实际完成为181台。实际完成率=（181/101）×100%=179.21%。</w:t>
      </w:r>
    </w:p>
    <w:p>
      <w:pPr>
        <w:bidi w:val="0"/>
        <w:rPr>
          <w:rFonts w:hint="eastAsia"/>
          <w:b/>
          <w:bCs/>
          <w:color w:val="auto"/>
          <w:lang w:val="en-US" w:eastAsia="zh-CN"/>
        </w:rPr>
      </w:pPr>
      <w:r>
        <w:rPr>
          <w:rFonts w:hint="eastAsia"/>
          <w:b/>
          <w:bCs/>
          <w:color w:val="auto"/>
          <w:lang w:val="en-US" w:eastAsia="zh-CN"/>
        </w:rPr>
        <w:t>综上，该项指标满分6分，得分6分。</w:t>
      </w:r>
    </w:p>
    <w:p>
      <w:pPr>
        <w:bidi w:val="0"/>
        <w:rPr>
          <w:rFonts w:hint="default"/>
          <w:color w:val="auto"/>
          <w:lang w:val="en-US" w:eastAsia="zh-CN"/>
        </w:rPr>
      </w:pPr>
      <w:r>
        <w:rPr>
          <w:rFonts w:hint="eastAsia"/>
          <w:color w:val="auto"/>
          <w:lang w:val="en-US" w:eastAsia="zh-CN"/>
        </w:rPr>
        <w:t>“野外作业保障用车数量”指标，预期指标值为≥15（辆），实际完成为15辆。实际完成率=（15/15）×100%=100%。</w:t>
      </w:r>
    </w:p>
    <w:p>
      <w:pPr>
        <w:bidi w:val="0"/>
        <w:rPr>
          <w:rFonts w:hint="eastAsia"/>
          <w:b/>
          <w:bCs/>
          <w:color w:val="auto"/>
          <w:lang w:val="en-US" w:eastAsia="zh-CN"/>
        </w:rPr>
      </w:pPr>
      <w:r>
        <w:rPr>
          <w:rFonts w:hint="eastAsia"/>
          <w:b/>
          <w:bCs/>
          <w:color w:val="auto"/>
          <w:lang w:val="en-US" w:eastAsia="zh-CN"/>
        </w:rPr>
        <w:t>综上，该项指标满分6分，得分6分。</w:t>
      </w:r>
    </w:p>
    <w:p>
      <w:pPr>
        <w:bidi w:val="0"/>
        <w:rPr>
          <w:rFonts w:hint="default"/>
          <w:color w:val="auto"/>
          <w:lang w:val="en-US" w:eastAsia="zh-CN"/>
        </w:rPr>
      </w:pPr>
      <w:r>
        <w:rPr>
          <w:rFonts w:hint="eastAsia"/>
          <w:color w:val="auto"/>
          <w:lang w:val="en-US" w:eastAsia="zh-CN"/>
        </w:rPr>
        <w:t>“保障野外作业人员数量”指标，预期指标值为≥100人，实际完成为95人。实际完成率=（95/100）×100%=95%。</w:t>
      </w:r>
    </w:p>
    <w:p>
      <w:pPr>
        <w:bidi w:val="0"/>
        <w:rPr>
          <w:rFonts w:hint="eastAsia"/>
          <w:color w:val="auto"/>
          <w:lang w:eastAsia="zh-CN"/>
        </w:rPr>
      </w:pPr>
      <w:r>
        <w:rPr>
          <w:rFonts w:hint="eastAsia"/>
          <w:b/>
          <w:bCs/>
          <w:color w:val="auto"/>
          <w:lang w:val="en-US" w:eastAsia="zh-CN"/>
        </w:rPr>
        <w:t>综上，该项指标满分6分，得分5.7分。</w:t>
      </w:r>
    </w:p>
    <w:p>
      <w:pPr>
        <w:numPr>
          <w:ilvl w:val="0"/>
          <w:numId w:val="4"/>
        </w:numPr>
        <w:bidi w:val="0"/>
        <w:rPr>
          <w:rFonts w:hint="eastAsia"/>
          <w:b/>
          <w:bCs/>
          <w:color w:val="auto"/>
          <w:lang w:val="en-US" w:eastAsia="zh-CN"/>
        </w:rPr>
      </w:pPr>
      <w:r>
        <w:rPr>
          <w:rFonts w:hint="eastAsia"/>
          <w:b/>
          <w:bCs/>
          <w:color w:val="auto"/>
          <w:lang w:val="en-US" w:eastAsia="zh-CN"/>
        </w:rPr>
        <w:t>项目完成质量</w:t>
      </w:r>
    </w:p>
    <w:p>
      <w:pPr>
        <w:numPr>
          <w:ilvl w:val="0"/>
          <w:numId w:val="0"/>
        </w:numPr>
        <w:bidi w:val="0"/>
        <w:ind w:firstLine="840" w:firstLineChars="300"/>
        <w:rPr>
          <w:rFonts w:hint="eastAsia"/>
          <w:color w:val="auto"/>
          <w:lang w:val="en-US" w:eastAsia="zh-CN"/>
        </w:rPr>
      </w:pPr>
      <w:r>
        <w:rPr>
          <w:rFonts w:hint="eastAsia"/>
          <w:color w:val="auto"/>
          <w:lang w:val="en-US" w:eastAsia="zh-CN"/>
        </w:rPr>
        <w:t>“政府采购率”指标，预期指标值为≥90%，实际完成为31.86%。</w:t>
      </w:r>
    </w:p>
    <w:p>
      <w:pPr>
        <w:bidi w:val="0"/>
        <w:rPr>
          <w:rFonts w:hint="eastAsia"/>
          <w:b/>
          <w:bCs/>
          <w:color w:val="auto"/>
          <w:lang w:val="en-US" w:eastAsia="zh-CN"/>
        </w:rPr>
      </w:pPr>
      <w:r>
        <w:rPr>
          <w:rFonts w:hint="eastAsia"/>
          <w:b/>
          <w:bCs/>
          <w:color w:val="auto"/>
          <w:lang w:val="en-US" w:eastAsia="zh-CN"/>
        </w:rPr>
        <w:t>综上，该项指标满分3分，得</w:t>
      </w:r>
      <w:r>
        <w:rPr>
          <w:rFonts w:hint="eastAsia"/>
          <w:color w:val="auto"/>
          <w:lang w:val="en-US" w:eastAsia="zh-CN"/>
        </w:rPr>
        <w:t>分</w:t>
      </w:r>
      <w:r>
        <w:rPr>
          <w:rFonts w:hint="eastAsia"/>
          <w:b/>
          <w:bCs/>
          <w:color w:val="auto"/>
          <w:lang w:val="en-US" w:eastAsia="zh-CN"/>
        </w:rPr>
        <w:t>1.06分。</w:t>
      </w:r>
    </w:p>
    <w:p>
      <w:pPr>
        <w:bidi w:val="0"/>
        <w:rPr>
          <w:rFonts w:hint="eastAsia"/>
          <w:color w:val="auto"/>
          <w:lang w:val="en-US" w:eastAsia="zh-CN"/>
        </w:rPr>
      </w:pPr>
      <w:r>
        <w:rPr>
          <w:rFonts w:hint="eastAsia"/>
          <w:color w:val="auto"/>
          <w:lang w:val="en-US" w:eastAsia="zh-CN"/>
        </w:rPr>
        <w:t>“采购设备质量合格率”指标，预期指标值为≥100%，实际完成为≥100%。</w:t>
      </w:r>
    </w:p>
    <w:p>
      <w:pPr>
        <w:bidi w:val="0"/>
        <w:rPr>
          <w:rFonts w:hint="eastAsia"/>
          <w:color w:val="auto"/>
          <w:lang w:eastAsia="zh-CN"/>
        </w:rPr>
      </w:pPr>
      <w:r>
        <w:rPr>
          <w:rFonts w:hint="eastAsia"/>
          <w:b/>
          <w:bCs/>
          <w:color w:val="auto"/>
          <w:lang w:val="en-US" w:eastAsia="zh-CN"/>
        </w:rPr>
        <w:t>综上，该项指标满分3分，得分3分。</w:t>
      </w:r>
    </w:p>
    <w:p>
      <w:pPr>
        <w:bidi w:val="0"/>
        <w:rPr>
          <w:rFonts w:hint="eastAsia"/>
          <w:color w:val="auto"/>
          <w:lang w:val="en-US" w:eastAsia="zh-CN"/>
        </w:rPr>
      </w:pPr>
      <w:r>
        <w:rPr>
          <w:rFonts w:hint="eastAsia"/>
          <w:color w:val="auto"/>
          <w:lang w:eastAsia="zh-CN"/>
        </w:rPr>
        <w:t>“</w:t>
      </w:r>
      <w:r>
        <w:rPr>
          <w:rFonts w:hint="eastAsia"/>
          <w:color w:val="auto"/>
          <w:lang w:val="en-US" w:eastAsia="zh-CN"/>
        </w:rPr>
        <w:t>专用设备验收合格率”指标，预期指标值为≥100%，实际完成为≥100%。</w:t>
      </w:r>
    </w:p>
    <w:p>
      <w:pPr>
        <w:bidi w:val="0"/>
        <w:rPr>
          <w:rFonts w:hint="eastAsia"/>
          <w:color w:val="auto"/>
          <w:lang w:eastAsia="zh-CN"/>
        </w:rPr>
      </w:pPr>
      <w:r>
        <w:rPr>
          <w:rFonts w:hint="eastAsia"/>
          <w:b/>
          <w:bCs/>
          <w:color w:val="auto"/>
          <w:lang w:val="en-US" w:eastAsia="zh-CN"/>
        </w:rPr>
        <w:t>综上，该项指标满分3分，得分3分。</w:t>
      </w:r>
    </w:p>
    <w:p>
      <w:pPr>
        <w:bidi w:val="0"/>
        <w:rPr>
          <w:rFonts w:hint="default"/>
          <w:b/>
          <w:bCs/>
          <w:color w:val="auto"/>
          <w:lang w:val="en-US" w:eastAsia="zh-CN"/>
        </w:rPr>
      </w:pPr>
      <w:r>
        <w:rPr>
          <w:rFonts w:hint="eastAsia"/>
          <w:b/>
          <w:bCs/>
          <w:color w:val="auto"/>
          <w:lang w:val="en-US" w:eastAsia="zh-CN"/>
        </w:rPr>
        <w:t>3.项目完成时效</w:t>
      </w:r>
    </w:p>
    <w:p>
      <w:pPr>
        <w:bidi w:val="0"/>
        <w:rPr>
          <w:rFonts w:hint="eastAsia"/>
          <w:color w:val="auto"/>
          <w:lang w:val="en-US" w:eastAsia="zh-CN"/>
        </w:rPr>
      </w:pPr>
      <w:r>
        <w:rPr>
          <w:rFonts w:hint="eastAsia"/>
          <w:color w:val="auto"/>
          <w:lang w:val="en-US" w:eastAsia="zh-CN"/>
        </w:rPr>
        <w:t>“专用设备采购完成时间”指标，预期指标值为2022年11月，实际完成为2022年12月。</w:t>
      </w:r>
    </w:p>
    <w:p>
      <w:pPr>
        <w:bidi w:val="0"/>
        <w:rPr>
          <w:rFonts w:hint="eastAsia"/>
          <w:b/>
          <w:bCs/>
          <w:color w:val="auto"/>
          <w:lang w:val="en-US" w:eastAsia="zh-CN"/>
        </w:rPr>
      </w:pPr>
      <w:r>
        <w:rPr>
          <w:rFonts w:hint="eastAsia"/>
          <w:b/>
          <w:bCs/>
          <w:color w:val="auto"/>
          <w:lang w:val="en-US" w:eastAsia="zh-CN"/>
        </w:rPr>
        <w:t>综上，该项指标满分5分，得分5分。</w:t>
      </w:r>
    </w:p>
    <w:p>
      <w:pPr>
        <w:bidi w:val="0"/>
        <w:rPr>
          <w:rFonts w:hint="eastAsia"/>
          <w:color w:val="auto"/>
          <w:lang w:val="en-US" w:eastAsia="zh-CN"/>
        </w:rPr>
      </w:pPr>
      <w:r>
        <w:rPr>
          <w:rFonts w:hint="eastAsia"/>
          <w:color w:val="auto"/>
          <w:lang w:val="en-US" w:eastAsia="zh-CN"/>
        </w:rPr>
        <w:t>“通用设备及办公设备采购完成时间”指标，预期指标值为2022年11月，实际完成为2022年12月。</w:t>
      </w:r>
    </w:p>
    <w:p>
      <w:pPr>
        <w:bidi w:val="0"/>
        <w:rPr>
          <w:rFonts w:hint="eastAsia"/>
          <w:color w:val="auto"/>
          <w:lang w:eastAsia="zh-CN"/>
        </w:rPr>
      </w:pPr>
      <w:r>
        <w:rPr>
          <w:rFonts w:hint="eastAsia"/>
          <w:b/>
          <w:bCs/>
          <w:color w:val="auto"/>
          <w:lang w:val="en-US" w:eastAsia="zh-CN"/>
        </w:rPr>
        <w:t>综上，该项指标满分5分，得分5分。</w:t>
      </w:r>
    </w:p>
    <w:p>
      <w:pPr>
        <w:bidi w:val="0"/>
        <w:rPr>
          <w:rFonts w:hint="eastAsia"/>
          <w:color w:val="auto"/>
          <w:lang w:val="en-US" w:eastAsia="zh-CN"/>
        </w:rPr>
      </w:pPr>
      <w:r>
        <w:rPr>
          <w:rFonts w:hint="eastAsia"/>
          <w:color w:val="auto"/>
          <w:lang w:val="en-US" w:eastAsia="zh-CN"/>
        </w:rPr>
        <w:t>“公用经费支付及时率”指标，预期指标值为≥90%，实际完成为100%。</w:t>
      </w:r>
    </w:p>
    <w:p>
      <w:pPr>
        <w:bidi w:val="0"/>
        <w:rPr>
          <w:rFonts w:hint="eastAsia"/>
          <w:color w:val="auto"/>
          <w:lang w:eastAsia="zh-CN"/>
        </w:rPr>
      </w:pPr>
      <w:r>
        <w:rPr>
          <w:rFonts w:hint="eastAsia"/>
          <w:b/>
          <w:bCs/>
          <w:color w:val="auto"/>
          <w:lang w:val="en-US" w:eastAsia="zh-CN"/>
        </w:rPr>
        <w:t>综上，该项指标满分5分，得分5分。</w:t>
      </w:r>
    </w:p>
    <w:p>
      <w:pPr>
        <w:bidi w:val="0"/>
        <w:rPr>
          <w:rFonts w:hint="default"/>
          <w:b/>
          <w:bCs/>
          <w:color w:val="auto"/>
          <w:lang w:val="en-US" w:eastAsia="zh-CN"/>
        </w:rPr>
      </w:pPr>
      <w:r>
        <w:rPr>
          <w:rFonts w:hint="eastAsia"/>
          <w:b/>
          <w:bCs/>
          <w:color w:val="auto"/>
          <w:lang w:val="en-US" w:eastAsia="zh-CN"/>
        </w:rPr>
        <w:t>4.项目完成成本</w:t>
      </w:r>
    </w:p>
    <w:p>
      <w:pPr>
        <w:bidi w:val="0"/>
        <w:rPr>
          <w:rFonts w:hint="eastAsia"/>
          <w:color w:val="auto"/>
          <w:lang w:val="en-US" w:eastAsia="zh-CN"/>
        </w:rPr>
      </w:pPr>
      <w:r>
        <w:rPr>
          <w:rFonts w:hint="eastAsia"/>
          <w:color w:val="auto"/>
          <w:lang w:val="en-US" w:eastAsia="zh-CN"/>
        </w:rPr>
        <w:t>“专用设备采购成本”指标，预期指标值为≤60.5万元，实际完成为0.46万元。实际完成率=（0.46/60.5）×100%=0.76%。</w:t>
      </w:r>
    </w:p>
    <w:p>
      <w:pPr>
        <w:bidi w:val="0"/>
        <w:rPr>
          <w:rFonts w:hint="eastAsia"/>
          <w:b/>
          <w:bCs/>
          <w:color w:val="auto"/>
          <w:lang w:val="en-US" w:eastAsia="zh-CN"/>
        </w:rPr>
      </w:pPr>
      <w:r>
        <w:rPr>
          <w:rFonts w:hint="eastAsia"/>
          <w:b/>
          <w:bCs/>
          <w:color w:val="auto"/>
          <w:lang w:val="en-US" w:eastAsia="zh-CN"/>
        </w:rPr>
        <w:t>综上，该项指标满分4分，得分4分。</w:t>
      </w:r>
    </w:p>
    <w:p>
      <w:pPr>
        <w:bidi w:val="0"/>
        <w:rPr>
          <w:rFonts w:hint="eastAsia"/>
          <w:color w:val="auto"/>
          <w:lang w:val="en-US" w:eastAsia="zh-CN"/>
        </w:rPr>
      </w:pPr>
      <w:r>
        <w:rPr>
          <w:rFonts w:hint="eastAsia"/>
          <w:color w:val="auto"/>
          <w:lang w:val="en-US" w:eastAsia="zh-CN"/>
        </w:rPr>
        <w:t>“通用设备采购成本”指标，预期指标值为≤5.30万元，实际完成为4.6万元。实际完成率=（4.6/5.3）×100%=86.79%。</w:t>
      </w:r>
    </w:p>
    <w:p>
      <w:pPr>
        <w:bidi w:val="0"/>
        <w:rPr>
          <w:rFonts w:hint="eastAsia"/>
          <w:b/>
          <w:bCs/>
          <w:color w:val="auto"/>
          <w:lang w:val="en-US" w:eastAsia="zh-CN"/>
        </w:rPr>
      </w:pPr>
      <w:r>
        <w:rPr>
          <w:rFonts w:hint="eastAsia"/>
          <w:b/>
          <w:bCs/>
          <w:color w:val="auto"/>
          <w:lang w:val="en-US" w:eastAsia="zh-CN"/>
        </w:rPr>
        <w:t>综上，该项指标满分4分，得分4分。</w:t>
      </w:r>
    </w:p>
    <w:p>
      <w:pPr>
        <w:bidi w:val="0"/>
        <w:rPr>
          <w:rFonts w:hint="eastAsia"/>
          <w:color w:val="auto"/>
          <w:lang w:val="en-US" w:eastAsia="zh-CN"/>
        </w:rPr>
      </w:pPr>
      <w:r>
        <w:rPr>
          <w:rFonts w:hint="eastAsia"/>
          <w:color w:val="auto"/>
          <w:lang w:val="en-US" w:eastAsia="zh-CN"/>
        </w:rPr>
        <w:t>“办公设备采购成本”指标，预期指标值为≤19.88万元，实际完成为3.91万元。实际完成率=（3.91/19.88）×100%=19.67%。</w:t>
      </w:r>
    </w:p>
    <w:p>
      <w:pPr>
        <w:bidi w:val="0"/>
        <w:rPr>
          <w:rFonts w:hint="eastAsia"/>
          <w:b/>
          <w:bCs/>
          <w:color w:val="auto"/>
          <w:lang w:val="en-US" w:eastAsia="zh-CN"/>
        </w:rPr>
      </w:pPr>
      <w:r>
        <w:rPr>
          <w:rFonts w:hint="eastAsia"/>
          <w:b/>
          <w:bCs/>
          <w:color w:val="auto"/>
          <w:lang w:val="en-US" w:eastAsia="zh-CN"/>
        </w:rPr>
        <w:t>综上，该项指标满分4分，得分4分。</w:t>
      </w:r>
    </w:p>
    <w:p>
      <w:pPr>
        <w:bidi w:val="0"/>
        <w:rPr>
          <w:rFonts w:hint="eastAsia"/>
          <w:color w:val="auto"/>
          <w:lang w:val="en-US" w:eastAsia="zh-CN"/>
        </w:rPr>
      </w:pPr>
      <w:r>
        <w:rPr>
          <w:rFonts w:hint="eastAsia"/>
          <w:color w:val="auto"/>
          <w:lang w:val="en-US" w:eastAsia="zh-CN"/>
        </w:rPr>
        <w:t>“野外作业人均运转经费数”指标，预期指标值为≤3.01万元，实际完成为2.13万元。实际完成率=（2.13/3.01）×100%=70.76%。</w:t>
      </w:r>
    </w:p>
    <w:p>
      <w:pPr>
        <w:bidi w:val="0"/>
        <w:rPr>
          <w:rFonts w:hint="eastAsia"/>
          <w:color w:val="auto"/>
          <w:lang w:eastAsia="zh-CN"/>
        </w:rPr>
      </w:pPr>
      <w:r>
        <w:rPr>
          <w:rFonts w:hint="eastAsia"/>
          <w:b/>
          <w:bCs/>
          <w:color w:val="auto"/>
          <w:lang w:val="en-US" w:eastAsia="zh-CN"/>
        </w:rPr>
        <w:t>综上，该项指标满分4分，得分4分。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9"/>
        <w:tblW w:w="8372" w:type="dxa"/>
        <w:jc w:val="center"/>
        <w:shd w:val="clear" w:color="auto" w:fill="auto"/>
        <w:tblLayout w:type="fixed"/>
        <w:tblCellMar>
          <w:top w:w="0" w:type="dxa"/>
          <w:left w:w="0" w:type="dxa"/>
          <w:bottom w:w="0" w:type="dxa"/>
          <w:right w:w="0" w:type="dxa"/>
        </w:tblCellMar>
      </w:tblPr>
      <w:tblGrid>
        <w:gridCol w:w="685"/>
        <w:gridCol w:w="1725"/>
        <w:gridCol w:w="2744"/>
        <w:gridCol w:w="789"/>
        <w:gridCol w:w="726"/>
        <w:gridCol w:w="1050"/>
        <w:gridCol w:w="653"/>
      </w:tblGrid>
      <w:tr>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78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7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专业设备使用年限</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≤3年</w:t>
            </w:r>
          </w:p>
        </w:tc>
        <w:tc>
          <w:tcPr>
            <w:tcW w:w="7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3年</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tblPrEx>
          <w:shd w:val="clear" w:color="auto" w:fill="auto"/>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野外作业人员满意程度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7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tblPrEx>
          <w:shd w:val="clear" w:color="auto" w:fill="auto"/>
          <w:tblCellMar>
            <w:top w:w="0" w:type="dxa"/>
            <w:left w:w="0" w:type="dxa"/>
            <w:bottom w:w="0" w:type="dxa"/>
            <w:right w:w="0" w:type="dxa"/>
          </w:tblCellMar>
        </w:tblPrEx>
        <w:trPr>
          <w:trHeight w:val="469" w:hRule="atLeast"/>
          <w:jc w:val="center"/>
        </w:trPr>
        <w:tc>
          <w:tcPr>
            <w:tcW w:w="59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
              <w:ind w:left="0" w:leftChars="0" w:firstLine="200" w:firstLineChars="100"/>
              <w:rPr>
                <w:rFonts w:hint="default"/>
                <w:color w:val="auto"/>
                <w:lang w:val="en-US" w:eastAsia="zh-CN"/>
              </w:rPr>
            </w:pPr>
            <w:r>
              <w:rPr>
                <w:rFonts w:hint="eastAsia" w:ascii="宋体" w:hAnsi="宋体" w:eastAsia="宋体" w:cs="宋体"/>
                <w:b w:val="0"/>
                <w:bCs w:val="0"/>
                <w:color w:val="auto"/>
                <w:kern w:val="0"/>
                <w:sz w:val="20"/>
                <w:szCs w:val="20"/>
                <w:highlight w:val="none"/>
                <w:shd w:val="clear" w:color="auto" w:fill="auto"/>
                <w:lang w:val="en-US" w:eastAsia="zh-CN" w:bidi="ar-SA"/>
              </w:rPr>
              <w:t>30</w:t>
            </w:r>
          </w:p>
        </w:tc>
      </w:tr>
    </w:tbl>
    <w:p>
      <w:pPr>
        <w:numPr>
          <w:ilvl w:val="0"/>
          <w:numId w:val="5"/>
        </w:numPr>
        <w:bidi w:val="0"/>
        <w:rPr>
          <w:rFonts w:hint="eastAsia"/>
          <w:b/>
          <w:bCs/>
          <w:color w:val="auto"/>
          <w:lang w:val="en-US" w:eastAsia="zh-CN"/>
        </w:rPr>
      </w:pPr>
      <w:r>
        <w:rPr>
          <w:rFonts w:hint="eastAsia"/>
          <w:b/>
          <w:bCs/>
          <w:color w:val="auto"/>
          <w:lang w:val="en-US" w:eastAsia="zh-CN"/>
        </w:rPr>
        <w:t>经济效益指标</w:t>
      </w:r>
    </w:p>
    <w:p>
      <w:pPr>
        <w:bidi w:val="0"/>
        <w:rPr>
          <w:rFonts w:hint="eastAsia"/>
          <w:color w:val="auto"/>
          <w:lang w:val="en-US" w:eastAsia="zh-CN"/>
        </w:rPr>
      </w:pPr>
      <w:r>
        <w:rPr>
          <w:rFonts w:hint="eastAsia"/>
          <w:color w:val="auto"/>
          <w:lang w:val="en-US" w:eastAsia="zh-CN"/>
        </w:rPr>
        <w:t>单位未设置此项指标</w:t>
      </w:r>
    </w:p>
    <w:p>
      <w:pPr>
        <w:numPr>
          <w:ilvl w:val="0"/>
          <w:numId w:val="5"/>
        </w:numPr>
        <w:bidi w:val="0"/>
        <w:ind w:left="0" w:leftChars="0" w:firstLine="562" w:firstLineChars="200"/>
        <w:rPr>
          <w:rFonts w:hint="eastAsia"/>
          <w:b/>
          <w:bCs/>
          <w:color w:val="auto"/>
          <w:lang w:val="en-US" w:eastAsia="zh-CN"/>
        </w:rPr>
      </w:pPr>
      <w:r>
        <w:rPr>
          <w:rFonts w:hint="eastAsia"/>
          <w:b/>
          <w:bCs/>
          <w:color w:val="auto"/>
          <w:lang w:val="en-US" w:eastAsia="zh-CN"/>
        </w:rPr>
        <w:t>社会效益指标</w:t>
      </w:r>
    </w:p>
    <w:p>
      <w:pPr>
        <w:bidi w:val="0"/>
        <w:rPr>
          <w:rFonts w:hint="eastAsia"/>
          <w:color w:val="auto"/>
          <w:lang w:val="en-US" w:eastAsia="zh-CN"/>
        </w:rPr>
      </w:pPr>
      <w:r>
        <w:rPr>
          <w:rFonts w:hint="eastAsia"/>
          <w:color w:val="auto"/>
          <w:lang w:val="en-US" w:eastAsia="zh-CN"/>
        </w:rPr>
        <w:t>单位未设置此项指标</w:t>
      </w:r>
    </w:p>
    <w:p>
      <w:pPr>
        <w:bidi w:val="0"/>
        <w:rPr>
          <w:rFonts w:hint="eastAsia"/>
          <w:color w:val="auto"/>
          <w:lang w:val="en-US" w:eastAsia="zh-CN"/>
        </w:rPr>
      </w:pPr>
      <w:r>
        <w:rPr>
          <w:rFonts w:hint="eastAsia"/>
          <w:b/>
          <w:bCs/>
          <w:color w:val="auto"/>
          <w:lang w:val="en-US" w:eastAsia="zh-CN"/>
        </w:rPr>
        <w:t>3.生态效益指标</w:t>
      </w:r>
    </w:p>
    <w:p>
      <w:pPr>
        <w:bidi w:val="0"/>
        <w:rPr>
          <w:rFonts w:hint="eastAsia"/>
          <w:color w:val="auto"/>
          <w:lang w:val="en-US" w:eastAsia="zh-CN"/>
        </w:rPr>
      </w:pPr>
      <w:r>
        <w:rPr>
          <w:rFonts w:hint="eastAsia"/>
          <w:color w:val="auto"/>
          <w:lang w:val="en-US" w:eastAsia="zh-CN"/>
        </w:rPr>
        <w:t>单位未设置此项指标</w:t>
      </w:r>
    </w:p>
    <w:p>
      <w:pPr>
        <w:numPr>
          <w:ilvl w:val="0"/>
          <w:numId w:val="5"/>
        </w:numPr>
        <w:bidi w:val="0"/>
        <w:ind w:left="0" w:leftChars="0" w:firstLine="562" w:firstLineChars="200"/>
        <w:rPr>
          <w:rFonts w:hint="eastAsia"/>
          <w:b/>
          <w:bCs/>
          <w:color w:val="auto"/>
          <w:lang w:val="en-US" w:eastAsia="zh-CN"/>
        </w:rPr>
      </w:pPr>
      <w:r>
        <w:rPr>
          <w:rFonts w:hint="eastAsia"/>
          <w:b/>
          <w:bCs/>
          <w:color w:val="auto"/>
          <w:lang w:val="en-US" w:eastAsia="zh-CN"/>
        </w:rPr>
        <w:t>可持续影响指标</w:t>
      </w:r>
    </w:p>
    <w:p>
      <w:pPr>
        <w:bidi w:val="0"/>
        <w:rPr>
          <w:rFonts w:hint="eastAsia"/>
          <w:b w:val="0"/>
          <w:bCs w:val="0"/>
          <w:color w:val="auto"/>
          <w:lang w:val="en-US" w:eastAsia="zh-CN"/>
        </w:rPr>
      </w:pPr>
      <w:r>
        <w:rPr>
          <w:rFonts w:hint="eastAsia"/>
          <w:b w:val="0"/>
          <w:bCs w:val="0"/>
          <w:color w:val="auto"/>
          <w:lang w:val="en-US" w:eastAsia="zh-CN"/>
        </w:rPr>
        <w:t>“专业设备使用年限”指标，预期指标值为≤3年，实际完成为3年。</w:t>
      </w:r>
    </w:p>
    <w:p>
      <w:pPr>
        <w:bidi w:val="0"/>
        <w:rPr>
          <w:rFonts w:hint="default"/>
          <w:color w:val="auto"/>
          <w:lang w:val="en-US" w:eastAsia="zh-CN"/>
        </w:rPr>
      </w:pPr>
      <w:r>
        <w:rPr>
          <w:rFonts w:hint="eastAsia"/>
          <w:b w:val="0"/>
          <w:bCs w:val="0"/>
          <w:color w:val="auto"/>
          <w:lang w:val="en-US" w:eastAsia="zh-CN"/>
        </w:rPr>
        <w:t>通过项目的实施，确保我单位正常的野外施工需求。</w:t>
      </w:r>
    </w:p>
    <w:p>
      <w:pPr>
        <w:bidi w:val="0"/>
        <w:rPr>
          <w:rFonts w:hint="eastAsia"/>
          <w:color w:val="auto"/>
          <w:lang w:val="en-US" w:eastAsia="zh-CN"/>
        </w:rPr>
      </w:pPr>
      <w:r>
        <w:rPr>
          <w:rFonts w:hint="eastAsia"/>
          <w:b/>
          <w:bCs/>
          <w:color w:val="auto"/>
          <w:lang w:val="en-US" w:eastAsia="zh-CN"/>
        </w:rPr>
        <w:t>综上，该项指标满分15分，得分15分。</w:t>
      </w:r>
    </w:p>
    <w:p>
      <w:pPr>
        <w:bidi w:val="0"/>
        <w:rPr>
          <w:rFonts w:hint="eastAsia"/>
          <w:b/>
          <w:bCs/>
          <w:color w:val="auto"/>
          <w:lang w:val="en-US" w:eastAsia="zh-CN"/>
        </w:rPr>
      </w:pPr>
      <w:r>
        <w:rPr>
          <w:rFonts w:hint="eastAsia"/>
          <w:b/>
          <w:bCs/>
          <w:color w:val="auto"/>
          <w:lang w:val="en-US" w:eastAsia="zh-CN"/>
        </w:rPr>
        <w:t>5.满意度指标</w:t>
      </w:r>
    </w:p>
    <w:p>
      <w:pPr>
        <w:bidi w:val="0"/>
        <w:rPr>
          <w:rFonts w:hint="eastAsia"/>
          <w:b w:val="0"/>
          <w:bCs w:val="0"/>
          <w:color w:val="auto"/>
          <w:lang w:val="en-US" w:eastAsia="zh-CN"/>
        </w:rPr>
      </w:pPr>
      <w:r>
        <w:rPr>
          <w:rFonts w:hint="eastAsia"/>
          <w:b w:val="0"/>
          <w:bCs w:val="0"/>
          <w:color w:val="auto"/>
          <w:lang w:val="en-US" w:eastAsia="zh-CN"/>
        </w:rPr>
        <w:t>“野外作业人员满意程度”指标，预期指标值为≥95%，实际完成为95%。</w:t>
      </w:r>
    </w:p>
    <w:p>
      <w:pPr>
        <w:bidi w:val="0"/>
        <w:rPr>
          <w:rFonts w:hint="eastAsia"/>
          <w:b/>
          <w:bCs/>
          <w:color w:val="auto"/>
          <w:lang w:val="en-US" w:eastAsia="zh-CN"/>
        </w:rPr>
      </w:pPr>
      <w:r>
        <w:rPr>
          <w:rFonts w:hint="eastAsia"/>
          <w:b/>
          <w:bCs/>
          <w:color w:val="auto"/>
          <w:lang w:val="en-US" w:eastAsia="zh-CN"/>
        </w:rPr>
        <w:t>综上，该项指标满分15分，得分15分。</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r>
        <w:rPr>
          <w:rFonts w:hint="eastAsia" w:ascii="宋体" w:hAnsi="宋体" w:eastAsia="宋体" w:cs="宋体"/>
          <w:b/>
          <w:bCs/>
          <w:color w:val="auto"/>
          <w:highlight w:val="none"/>
          <w:shd w:val="clear" w:color="auto" w:fill="auto"/>
          <w:lang w:val="en-US" w:eastAsia="zh-CN"/>
        </w:rPr>
        <w:t>五、</w:t>
      </w:r>
      <w:r>
        <w:rPr>
          <w:rFonts w:hint="eastAsia" w:ascii="宋体" w:hAnsi="宋体" w:eastAsia="宋体" w:cs="宋体"/>
          <w:b/>
          <w:bCs/>
          <w:color w:val="auto"/>
          <w:highlight w:val="none"/>
          <w:shd w:val="clear" w:color="auto" w:fill="auto"/>
        </w:rPr>
        <w:t>主要经验及做法、存在的问题及原因分析</w:t>
      </w:r>
    </w:p>
    <w:p>
      <w:pPr>
        <w:numPr>
          <w:ilvl w:val="0"/>
          <w:numId w:val="0"/>
        </w:numPr>
        <w:bidi w:val="0"/>
        <w:ind w:left="560" w:leftChars="0"/>
        <w:rPr>
          <w:rFonts w:hint="eastAsia"/>
          <w:b/>
          <w:bCs/>
          <w:color w:val="auto"/>
          <w:lang w:eastAsia="zh-CN"/>
        </w:rPr>
      </w:pPr>
      <w:bookmarkStart w:id="12" w:name="_Toc28290"/>
      <w:bookmarkStart w:id="13" w:name="_Toc1921"/>
      <w:r>
        <w:rPr>
          <w:rFonts w:hint="eastAsia"/>
          <w:b/>
          <w:bCs/>
          <w:color w:val="auto"/>
          <w:lang w:eastAsia="zh-CN"/>
        </w:rPr>
        <w:t>（</w:t>
      </w:r>
      <w:r>
        <w:rPr>
          <w:rFonts w:hint="eastAsia"/>
          <w:b/>
          <w:bCs/>
          <w:color w:val="auto"/>
          <w:lang w:val="en-US" w:eastAsia="zh-CN"/>
        </w:rPr>
        <w:t>一</w:t>
      </w:r>
      <w:r>
        <w:rPr>
          <w:rFonts w:hint="eastAsia"/>
          <w:b/>
          <w:bCs/>
          <w:color w:val="auto"/>
          <w:lang w:eastAsia="zh-CN"/>
        </w:rPr>
        <w:t>）</w:t>
      </w:r>
      <w:r>
        <w:rPr>
          <w:rFonts w:hint="eastAsia"/>
          <w:b/>
          <w:bCs/>
          <w:color w:val="auto"/>
        </w:rPr>
        <w:t>主要经验及做法</w:t>
      </w:r>
    </w:p>
    <w:p>
      <w:pPr>
        <w:bidi w:val="0"/>
        <w:rPr>
          <w:rFonts w:hint="eastAsia"/>
          <w:color w:val="auto"/>
          <w:lang w:eastAsia="zh-CN"/>
        </w:rPr>
      </w:pPr>
      <w:r>
        <w:rPr>
          <w:rFonts w:hint="eastAsia"/>
          <w:color w:val="auto"/>
          <w:lang w:val="en-US" w:eastAsia="zh-CN"/>
        </w:rPr>
        <w:t>购置类项目</w:t>
      </w:r>
      <w:r>
        <w:rPr>
          <w:rFonts w:hint="eastAsia"/>
          <w:color w:val="auto"/>
          <w:lang w:eastAsia="zh-CN"/>
        </w:rPr>
        <w:t>20</w:t>
      </w:r>
      <w:r>
        <w:rPr>
          <w:rFonts w:hint="eastAsia"/>
          <w:color w:val="auto"/>
          <w:lang w:val="en-US" w:eastAsia="zh-CN"/>
        </w:rPr>
        <w:t>22</w:t>
      </w:r>
      <w:r>
        <w:rPr>
          <w:rFonts w:hint="eastAsia"/>
          <w:color w:val="auto"/>
          <w:lang w:eastAsia="zh-CN"/>
        </w:rPr>
        <w:t>年预算</w:t>
      </w:r>
      <w:r>
        <w:rPr>
          <w:rFonts w:hint="eastAsia"/>
          <w:color w:val="auto"/>
          <w:lang w:val="en-US" w:eastAsia="zh-CN"/>
        </w:rPr>
        <w:t>数</w:t>
      </w:r>
      <w:r>
        <w:rPr>
          <w:rFonts w:hint="eastAsia"/>
          <w:color w:val="auto"/>
          <w:lang w:eastAsia="zh-CN"/>
        </w:rPr>
        <w:t>为</w:t>
      </w:r>
      <w:r>
        <w:rPr>
          <w:rFonts w:hint="eastAsia"/>
          <w:color w:val="auto"/>
          <w:lang w:val="en-US" w:eastAsia="zh-CN"/>
        </w:rPr>
        <w:t>387.50</w:t>
      </w:r>
      <w:r>
        <w:rPr>
          <w:rFonts w:hint="eastAsia"/>
          <w:color w:val="auto"/>
          <w:lang w:eastAsia="zh-CN"/>
        </w:rPr>
        <w:t>万元，</w:t>
      </w:r>
      <w:r>
        <w:rPr>
          <w:rFonts w:hint="eastAsia"/>
          <w:color w:val="auto"/>
          <w:lang w:val="en-US" w:eastAsia="zh-CN"/>
        </w:rPr>
        <w:t>截至2022年12月31日共</w:t>
      </w:r>
      <w:r>
        <w:rPr>
          <w:rFonts w:hint="eastAsia"/>
          <w:color w:val="auto"/>
          <w:lang w:eastAsia="zh-CN"/>
        </w:rPr>
        <w:t>支出</w:t>
      </w:r>
      <w:r>
        <w:rPr>
          <w:rFonts w:hint="eastAsia"/>
          <w:color w:val="auto"/>
          <w:lang w:val="en-US" w:eastAsia="zh-CN"/>
        </w:rPr>
        <w:t>202.95</w:t>
      </w:r>
      <w:r>
        <w:rPr>
          <w:rFonts w:hint="eastAsia"/>
          <w:color w:val="auto"/>
          <w:lang w:eastAsia="zh-CN"/>
        </w:rPr>
        <w:t>万元，预算</w:t>
      </w:r>
      <w:r>
        <w:rPr>
          <w:rFonts w:hint="eastAsia"/>
          <w:color w:val="auto"/>
          <w:lang w:val="en-US" w:eastAsia="zh-CN"/>
        </w:rPr>
        <w:t>执行</w:t>
      </w:r>
      <w:r>
        <w:rPr>
          <w:rFonts w:hint="eastAsia"/>
          <w:color w:val="auto"/>
          <w:lang w:eastAsia="zh-CN"/>
        </w:rPr>
        <w:t>率为</w:t>
      </w:r>
      <w:r>
        <w:rPr>
          <w:rFonts w:hint="eastAsia"/>
          <w:color w:val="auto"/>
          <w:lang w:val="en-US" w:eastAsia="zh-CN"/>
        </w:rPr>
        <w:t>52.37</w:t>
      </w:r>
      <w:r>
        <w:rPr>
          <w:rFonts w:hint="eastAsia"/>
          <w:color w:val="auto"/>
          <w:lang w:eastAsia="zh-CN"/>
        </w:rPr>
        <w:t>%。</w:t>
      </w:r>
    </w:p>
    <w:p>
      <w:pPr>
        <w:bidi w:val="0"/>
        <w:rPr>
          <w:rFonts w:hint="eastAsia"/>
          <w:color w:val="auto"/>
          <w:lang w:eastAsia="zh-CN"/>
        </w:rPr>
      </w:pPr>
      <w:r>
        <w:rPr>
          <w:rFonts w:hint="eastAsia"/>
          <w:color w:val="auto"/>
          <w:lang w:val="en-US" w:eastAsia="zh-CN"/>
        </w:rPr>
        <w:t>新疆维吾尔自治区有色地质勘查局七0六队单位</w:t>
      </w:r>
      <w:r>
        <w:rPr>
          <w:rFonts w:hint="eastAsia"/>
          <w:color w:val="auto"/>
          <w:lang w:eastAsia="zh-CN"/>
        </w:rPr>
        <w:t>建立健全了预算管理规章制度，各部门严格按预算编制的原则和要求做好当年预算编制工作，在预算绩效管理工作中，做到合理安排各项资金，重点保障基本支出，按轻重缓急顺序原则，优先安排了</w:t>
      </w:r>
      <w:r>
        <w:rPr>
          <w:rFonts w:hint="eastAsia"/>
          <w:color w:val="auto"/>
          <w:lang w:val="en-US" w:eastAsia="zh-CN"/>
        </w:rPr>
        <w:t>新疆维吾尔自治区有色地质勘查局七0六队单位</w:t>
      </w:r>
      <w:r>
        <w:rPr>
          <w:rFonts w:hint="eastAsia"/>
          <w:color w:val="auto"/>
          <w:lang w:eastAsia="zh-CN"/>
        </w:rPr>
        <w:t>事业发展中关系民生与稳定的项目，切实优化资源配置，提高了资金使用的效率和效果。</w:t>
      </w:r>
    </w:p>
    <w:bookmarkEnd w:id="12"/>
    <w:bookmarkEnd w:id="13"/>
    <w:p>
      <w:pPr>
        <w:bidi w:val="0"/>
        <w:rPr>
          <w:rFonts w:hint="eastAsia"/>
          <w:b/>
          <w:bCs/>
          <w:color w:val="auto"/>
          <w:lang w:eastAsia="zh-CN"/>
        </w:rPr>
      </w:pPr>
      <w:r>
        <w:rPr>
          <w:rFonts w:hint="eastAsia"/>
          <w:b/>
          <w:bCs/>
          <w:color w:val="auto"/>
          <w:lang w:eastAsia="zh-CN"/>
        </w:rPr>
        <w:t>（</w:t>
      </w:r>
      <w:r>
        <w:rPr>
          <w:rFonts w:hint="eastAsia"/>
          <w:b/>
          <w:bCs/>
          <w:color w:val="auto"/>
          <w:lang w:val="en-US" w:eastAsia="zh-CN"/>
        </w:rPr>
        <w:t>二</w:t>
      </w:r>
      <w:r>
        <w:rPr>
          <w:rFonts w:hint="eastAsia"/>
          <w:b/>
          <w:bCs/>
          <w:color w:val="auto"/>
          <w:lang w:eastAsia="zh-CN"/>
        </w:rPr>
        <w:t>）</w:t>
      </w:r>
      <w:r>
        <w:rPr>
          <w:rFonts w:hint="eastAsia"/>
          <w:b/>
          <w:bCs/>
          <w:color w:val="auto"/>
        </w:rPr>
        <w:t>存在的问题及原因分析</w:t>
      </w:r>
    </w:p>
    <w:p>
      <w:pPr>
        <w:pStyle w:val="3"/>
        <w:pageBreakBefore w:val="0"/>
        <w:kinsoku/>
        <w:wordWrap/>
        <w:overflowPunct/>
        <w:topLinePunct w:val="0"/>
        <w:autoSpaceDE/>
        <w:autoSpaceDN/>
        <w:bidi w:val="0"/>
        <w:adjustRightInd/>
        <w:spacing w:beforeLines="0" w:afterLines="0" w:line="360" w:lineRule="auto"/>
        <w:textAlignment w:val="auto"/>
        <w:rPr>
          <w:rFonts w:hint="eastAsia"/>
          <w:b/>
          <w:bCs/>
          <w:color w:val="auto"/>
          <w:shd w:val="clear" w:color="auto" w:fill="auto"/>
          <w:lang w:val="en-US" w:eastAsia="zh-CN"/>
        </w:rPr>
      </w:pPr>
      <w:r>
        <w:rPr>
          <w:rFonts w:hint="eastAsia"/>
          <w:b/>
          <w:bCs/>
          <w:color w:val="auto"/>
          <w:shd w:val="clear" w:color="auto" w:fill="auto"/>
          <w:lang w:val="en-US" w:eastAsia="zh-CN"/>
        </w:rPr>
        <w:t>无</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r>
        <w:rPr>
          <w:rFonts w:hint="eastAsia" w:ascii="宋体" w:hAnsi="宋体" w:eastAsia="宋体" w:cs="宋体"/>
          <w:b/>
          <w:bCs/>
          <w:color w:val="auto"/>
          <w:highlight w:val="none"/>
          <w:shd w:val="clear" w:color="auto" w:fill="auto"/>
          <w:lang w:val="en-US" w:eastAsia="zh-CN"/>
        </w:rPr>
        <w:t>六、</w:t>
      </w:r>
      <w:r>
        <w:rPr>
          <w:rFonts w:hint="eastAsia" w:ascii="宋体" w:hAnsi="宋体" w:eastAsia="宋体" w:cs="宋体"/>
          <w:b/>
          <w:bCs/>
          <w:color w:val="auto"/>
          <w:highlight w:val="none"/>
          <w:shd w:val="clear" w:color="auto" w:fill="auto"/>
        </w:rPr>
        <w:t>有关建议</w:t>
      </w:r>
    </w:p>
    <w:p>
      <w:pPr>
        <w:bidi w:val="0"/>
        <w:rPr>
          <w:rFonts w:hint="eastAsia"/>
          <w:color w:val="auto"/>
        </w:rPr>
      </w:pPr>
      <w:r>
        <w:rPr>
          <w:rFonts w:hint="eastAsia" w:ascii="宋体" w:hAnsi="宋体" w:eastAsia="宋体" w:cs="宋体"/>
          <w:color w:val="auto"/>
        </w:rPr>
        <w:t>加强预算绩效目标编制的培训学习。如：财政部《中央部门项目支出核心绩效目标和指标</w:t>
      </w:r>
      <w:r>
        <w:rPr>
          <w:rFonts w:hint="eastAsia" w:cs="宋体"/>
          <w:color w:val="auto"/>
          <w:lang w:val="en-US" w:eastAsia="zh-CN"/>
        </w:rPr>
        <w:t>设置</w:t>
      </w:r>
      <w:r>
        <w:rPr>
          <w:rFonts w:hint="eastAsia" w:ascii="宋体" w:hAnsi="宋体" w:eastAsia="宋体" w:cs="宋体"/>
          <w:color w:val="auto"/>
        </w:rPr>
        <w:t>及取值指引（试行）》（财预〔2021〕101号）、《自治区分行业分领域共性项目绩效指标体系（2021年度）》、提高绩效目标编制质量，确保绩效目标“够得着、能实现”。</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r>
        <w:rPr>
          <w:rFonts w:hint="eastAsia" w:ascii="宋体" w:hAnsi="宋体" w:eastAsia="宋体" w:cs="宋体"/>
          <w:b/>
          <w:bCs/>
          <w:color w:val="auto"/>
          <w:highlight w:val="none"/>
          <w:shd w:val="clear" w:color="auto" w:fill="auto"/>
          <w:lang w:val="en-US" w:eastAsia="zh-CN"/>
        </w:rPr>
        <w:t>七</w:t>
      </w:r>
      <w:r>
        <w:rPr>
          <w:rFonts w:hint="eastAsia" w:ascii="宋体" w:hAnsi="宋体" w:eastAsia="宋体" w:cs="宋体"/>
          <w:b/>
          <w:bCs/>
          <w:color w:val="auto"/>
          <w:highlight w:val="none"/>
          <w:shd w:val="clear" w:color="auto" w:fill="auto"/>
        </w:rPr>
        <w:t>、其他需要说明的问题</w:t>
      </w:r>
    </w:p>
    <w:p>
      <w:pPr>
        <w:bidi w:val="0"/>
        <w:rPr>
          <w:rFonts w:hint="default" w:ascii="宋体" w:hAnsi="宋体" w:eastAsia="宋体" w:cs="宋体"/>
          <w:color w:val="auto"/>
          <w:lang w:val="en-US" w:eastAsia="zh-CN"/>
        </w:rPr>
      </w:pPr>
      <w:r>
        <w:rPr>
          <w:rFonts w:hint="eastAsia" w:ascii="宋体" w:hAnsi="宋体" w:eastAsia="宋体" w:cs="宋体"/>
          <w:color w:val="auto"/>
          <w:lang w:val="en-US" w:eastAsia="zh-CN"/>
        </w:rPr>
        <w:t>无其他需要说明的问题。</w:t>
      </w:r>
    </w:p>
    <w:p>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pPr>
        <w:ind w:left="0" w:leftChars="0" w:firstLine="0" w:firstLineChars="0"/>
        <w:rPr>
          <w:rFonts w:hint="eastAsia"/>
          <w:color w:val="auto"/>
          <w:lang w:val="en-US" w:eastAsia="zh-CN"/>
        </w:rPr>
      </w:pPr>
      <w:r>
        <w:rPr>
          <w:rFonts w:hint="eastAsia"/>
          <w:color w:val="auto"/>
          <w:lang w:val="en-US" w:eastAsia="zh-CN"/>
        </w:rPr>
        <w:br w:type="page"/>
      </w:r>
    </w:p>
    <w:tbl>
      <w:tblPr>
        <w:tblStyle w:val="9"/>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385"/>
        <w:gridCol w:w="466"/>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noWrap w:val="0"/>
            <w:vAlign w:val="center"/>
          </w:tcPr>
          <w:p>
            <w:pPr>
              <w:widowControl/>
              <w:spacing w:line="320" w:lineRule="exact"/>
              <w:ind w:firstLine="0" w:firstLineChars="0"/>
              <w:jc w:val="both"/>
              <w:rPr>
                <w:rFonts w:ascii="宋体" w:hAnsi="宋体" w:eastAsia="宋体" w:cs="宋体"/>
                <w:b/>
                <w:bCs/>
                <w:color w:val="auto"/>
                <w:kern w:val="0"/>
                <w:sz w:val="32"/>
                <w:szCs w:val="32"/>
              </w:rPr>
            </w:pPr>
            <w:r>
              <w:rPr>
                <w:rFonts w:hint="eastAsia" w:ascii="宋体" w:hAnsi="宋体" w:eastAsia="宋体" w:cs="宋体"/>
                <w:b/>
                <w:bCs/>
                <w:color w:val="auto"/>
                <w:kern w:val="0"/>
                <w:sz w:val="32"/>
                <w:szCs w:val="32"/>
                <w:lang w:val="en-US" w:eastAsia="zh-CN"/>
              </w:rPr>
              <w:t xml:space="preserve">附件一             </w:t>
            </w:r>
            <w:r>
              <w:rPr>
                <w:rFonts w:hint="eastAsia" w:ascii="宋体" w:hAnsi="宋体" w:eastAsia="宋体" w:cs="宋体"/>
                <w:b/>
                <w:bCs/>
                <w:color w:val="auto"/>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noWrap w:val="0"/>
            <w:vAlign w:val="top"/>
          </w:tcPr>
          <w:p>
            <w:pPr>
              <w:widowControl/>
              <w:spacing w:line="240" w:lineRule="auto"/>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xml:space="preserve">（ </w:t>
            </w:r>
            <w:r>
              <w:rPr>
                <w:rFonts w:hint="eastAsia" w:cs="宋体"/>
                <w:color w:val="auto"/>
                <w:kern w:val="0"/>
                <w:sz w:val="22"/>
                <w:szCs w:val="22"/>
                <w:lang w:val="en-US" w:eastAsia="zh-CN"/>
              </w:rPr>
              <w:t>2022</w:t>
            </w:r>
            <w:r>
              <w:rPr>
                <w:rFonts w:hint="eastAsia" w:ascii="宋体" w:hAnsi="宋体" w:eastAsia="宋体" w:cs="宋体"/>
                <w:color w:val="auto"/>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项目名称</w:t>
            </w:r>
          </w:p>
        </w:tc>
        <w:tc>
          <w:tcPr>
            <w:tcW w:w="7512"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宋体" w:hAnsi="宋体" w:eastAsia="宋体" w:cs="宋体"/>
                <w:color w:val="auto"/>
                <w:kern w:val="0"/>
                <w:sz w:val="18"/>
                <w:szCs w:val="18"/>
                <w:lang w:val="en-US" w:eastAsia="zh-CN"/>
              </w:rPr>
            </w:pPr>
            <w:r>
              <w:rPr>
                <w:rFonts w:hint="eastAsia" w:cs="宋体"/>
                <w:color w:val="auto"/>
                <w:kern w:val="0"/>
                <w:sz w:val="18"/>
                <w:szCs w:val="18"/>
                <w:lang w:val="en-US" w:eastAsia="zh-CN"/>
              </w:rPr>
              <w:t>购置类项目</w:t>
            </w:r>
          </w:p>
        </w:tc>
      </w:tr>
      <w:tr>
        <w:tblPrEx>
          <w:tblCellMar>
            <w:top w:w="0" w:type="dxa"/>
            <w:left w:w="108" w:type="dxa"/>
            <w:bottom w:w="0" w:type="dxa"/>
            <w:right w:w="108" w:type="dxa"/>
          </w:tblCellMar>
        </w:tblPrEx>
        <w:trPr>
          <w:trHeight w:val="508"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主管部门</w:t>
            </w:r>
          </w:p>
        </w:tc>
        <w:tc>
          <w:tcPr>
            <w:tcW w:w="411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宋体" w:hAnsi="宋体" w:eastAsia="宋体" w:cs="宋体"/>
                <w:color w:val="auto"/>
                <w:kern w:val="0"/>
                <w:sz w:val="18"/>
                <w:szCs w:val="18"/>
                <w:lang w:val="en-US" w:eastAsia="zh-CN"/>
              </w:rPr>
            </w:pPr>
            <w:r>
              <w:rPr>
                <w:rFonts w:hint="eastAsia" w:cs="宋体"/>
                <w:color w:val="auto"/>
                <w:kern w:val="0"/>
                <w:sz w:val="18"/>
                <w:szCs w:val="18"/>
                <w:lang w:val="en-US" w:eastAsia="zh-CN"/>
              </w:rPr>
              <w:t>新疆维吾尔自治区有色地质勘查局</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实施单位</w:t>
            </w:r>
          </w:p>
        </w:tc>
        <w:tc>
          <w:tcPr>
            <w:tcW w:w="226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宋体" w:hAnsi="宋体" w:eastAsia="宋体" w:cs="宋体"/>
                <w:color w:val="auto"/>
                <w:kern w:val="0"/>
                <w:sz w:val="18"/>
                <w:szCs w:val="18"/>
                <w:lang w:val="en-US"/>
              </w:rPr>
            </w:pPr>
            <w:r>
              <w:rPr>
                <w:rFonts w:hint="eastAsia" w:cs="宋体"/>
                <w:color w:val="auto"/>
                <w:kern w:val="0"/>
                <w:sz w:val="18"/>
                <w:szCs w:val="18"/>
                <w:lang w:val="en-US" w:eastAsia="zh-CN"/>
              </w:rPr>
              <w:t>新疆维吾尔自治区有色地质勘查局七0六队</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项目资金</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（万元）</w:t>
            </w: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1134"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年初预算数</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全年预算数</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全年执行数</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分值</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执行率</w:t>
            </w:r>
          </w:p>
        </w:tc>
        <w:tc>
          <w:tcPr>
            <w:tcW w:w="708"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rPr>
                <w:rFonts w:ascii="宋体" w:hAnsi="宋体" w:eastAsia="宋体" w:cs="宋体"/>
                <w:color w:val="auto"/>
                <w:kern w:val="0"/>
                <w:sz w:val="18"/>
                <w:szCs w:val="18"/>
              </w:rPr>
            </w:pPr>
            <w:r>
              <w:rPr>
                <w:rFonts w:hint="eastAsia" w:ascii="宋体" w:hAnsi="宋体" w:eastAsia="宋体" w:cs="宋体"/>
                <w:color w:val="auto"/>
                <w:kern w:val="0"/>
                <w:sz w:val="18"/>
                <w:szCs w:val="18"/>
              </w:rPr>
              <w:t>年度资金总额</w:t>
            </w:r>
          </w:p>
        </w:tc>
        <w:tc>
          <w:tcPr>
            <w:tcW w:w="1134"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宋体" w:hAnsi="宋体" w:eastAsia="宋体" w:cs="宋体"/>
                <w:color w:val="auto"/>
                <w:kern w:val="0"/>
                <w:sz w:val="18"/>
                <w:szCs w:val="18"/>
                <w:lang w:val="en-US" w:eastAsia="zh-CN"/>
              </w:rPr>
            </w:pPr>
            <w:r>
              <w:rPr>
                <w:rFonts w:hint="eastAsia" w:cs="宋体"/>
                <w:color w:val="auto"/>
                <w:kern w:val="0"/>
                <w:sz w:val="18"/>
                <w:szCs w:val="18"/>
                <w:lang w:val="en-US" w:eastAsia="zh-CN"/>
              </w:rPr>
              <w:t>387.50</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宋体" w:hAnsi="宋体" w:eastAsia="宋体" w:cs="宋体"/>
                <w:color w:val="auto"/>
                <w:kern w:val="0"/>
                <w:sz w:val="18"/>
                <w:szCs w:val="18"/>
                <w:lang w:val="en-US" w:eastAsia="zh-CN"/>
              </w:rPr>
            </w:pPr>
            <w:r>
              <w:rPr>
                <w:rFonts w:hint="eastAsia" w:cs="宋体"/>
                <w:color w:val="auto"/>
                <w:kern w:val="0"/>
                <w:sz w:val="18"/>
                <w:szCs w:val="18"/>
                <w:lang w:val="en-US" w:eastAsia="zh-CN"/>
              </w:rPr>
              <w:t>387.50</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宋体" w:hAnsi="宋体" w:eastAsia="宋体" w:cs="宋体"/>
                <w:color w:val="auto"/>
                <w:kern w:val="0"/>
                <w:sz w:val="18"/>
                <w:szCs w:val="18"/>
                <w:lang w:val="en-US" w:eastAsia="zh-CN"/>
              </w:rPr>
            </w:pPr>
            <w:r>
              <w:rPr>
                <w:rFonts w:hint="eastAsia" w:cs="宋体"/>
                <w:color w:val="auto"/>
                <w:kern w:val="0"/>
                <w:sz w:val="18"/>
                <w:szCs w:val="18"/>
                <w:lang w:val="en-US" w:eastAsia="zh-CN"/>
              </w:rPr>
              <w:t>202.95</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10</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宋体" w:hAnsi="宋体" w:eastAsia="宋体" w:cs="宋体"/>
                <w:color w:val="auto"/>
                <w:kern w:val="0"/>
                <w:sz w:val="18"/>
                <w:szCs w:val="18"/>
                <w:lang w:val="en-US" w:eastAsia="zh-CN"/>
              </w:rPr>
            </w:pPr>
            <w:r>
              <w:rPr>
                <w:rFonts w:hint="eastAsia" w:cs="宋体"/>
                <w:color w:val="auto"/>
                <w:kern w:val="0"/>
                <w:sz w:val="18"/>
                <w:szCs w:val="18"/>
                <w:lang w:val="en-US" w:eastAsia="zh-CN"/>
              </w:rPr>
              <w:t>52.37%</w:t>
            </w:r>
          </w:p>
        </w:tc>
        <w:tc>
          <w:tcPr>
            <w:tcW w:w="708"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宋体" w:hAnsi="宋体" w:eastAsia="宋体" w:cs="宋体"/>
                <w:color w:val="auto"/>
                <w:kern w:val="0"/>
                <w:sz w:val="18"/>
                <w:szCs w:val="18"/>
                <w:lang w:val="en-US" w:eastAsia="zh-CN"/>
              </w:rPr>
            </w:pPr>
            <w:r>
              <w:rPr>
                <w:rFonts w:hint="eastAsia" w:cs="宋体"/>
                <w:color w:val="auto"/>
                <w:kern w:val="0"/>
                <w:sz w:val="18"/>
                <w:szCs w:val="18"/>
                <w:lang w:val="en-US" w:eastAsia="zh-CN"/>
              </w:rPr>
              <w:t>5.24</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其中：当年财政拨款</w:t>
            </w:r>
          </w:p>
        </w:tc>
        <w:tc>
          <w:tcPr>
            <w:tcW w:w="1134"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708"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 xml:space="preserve">      上年结转资金</w:t>
            </w:r>
          </w:p>
        </w:tc>
        <w:tc>
          <w:tcPr>
            <w:tcW w:w="1134"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708"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 xml:space="preserve">  其他资金</w:t>
            </w:r>
          </w:p>
        </w:tc>
        <w:tc>
          <w:tcPr>
            <w:tcW w:w="1134"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宋体" w:hAnsi="宋体" w:eastAsia="宋体" w:cs="宋体"/>
                <w:color w:val="auto"/>
                <w:kern w:val="0"/>
                <w:sz w:val="18"/>
                <w:szCs w:val="18"/>
                <w:lang w:val="en-US" w:eastAsia="zh-CN"/>
              </w:rPr>
            </w:pPr>
            <w:r>
              <w:rPr>
                <w:rFonts w:hint="eastAsia" w:cs="宋体"/>
                <w:color w:val="auto"/>
                <w:kern w:val="0"/>
                <w:sz w:val="18"/>
                <w:szCs w:val="18"/>
                <w:lang w:val="en-US" w:eastAsia="zh-CN"/>
              </w:rPr>
              <w:t>387.50</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宋体" w:hAnsi="宋体" w:eastAsia="宋体" w:cs="宋体"/>
                <w:color w:val="auto"/>
                <w:kern w:val="0"/>
                <w:sz w:val="18"/>
                <w:szCs w:val="18"/>
                <w:lang w:val="en-US" w:eastAsia="zh-CN"/>
              </w:rPr>
            </w:pPr>
            <w:r>
              <w:rPr>
                <w:rFonts w:hint="eastAsia" w:cs="宋体"/>
                <w:color w:val="auto"/>
                <w:kern w:val="0"/>
                <w:sz w:val="18"/>
                <w:szCs w:val="18"/>
                <w:lang w:val="en-US" w:eastAsia="zh-CN"/>
              </w:rPr>
              <w:t>387.50</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宋体" w:hAnsi="宋体" w:eastAsia="宋体" w:cs="宋体"/>
                <w:color w:val="auto"/>
                <w:kern w:val="0"/>
                <w:sz w:val="18"/>
                <w:szCs w:val="18"/>
                <w:lang w:val="en-US" w:eastAsia="zh-CN"/>
              </w:rPr>
            </w:pPr>
            <w:r>
              <w:rPr>
                <w:rFonts w:hint="eastAsia" w:cs="宋体"/>
                <w:color w:val="auto"/>
                <w:kern w:val="0"/>
                <w:sz w:val="18"/>
                <w:szCs w:val="18"/>
                <w:lang w:val="en-US" w:eastAsia="zh-CN"/>
              </w:rPr>
              <w:t>202.95</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宋体" w:hAnsi="宋体" w:eastAsia="宋体" w:cs="宋体"/>
                <w:color w:val="auto"/>
                <w:kern w:val="0"/>
                <w:sz w:val="18"/>
                <w:szCs w:val="18"/>
                <w:lang w:val="en-US" w:eastAsia="zh-CN"/>
              </w:rPr>
            </w:pPr>
            <w:r>
              <w:rPr>
                <w:rFonts w:hint="eastAsia" w:cs="宋体"/>
                <w:color w:val="auto"/>
                <w:kern w:val="0"/>
                <w:sz w:val="18"/>
                <w:szCs w:val="18"/>
                <w:lang w:val="en-US" w:eastAsia="zh-CN"/>
              </w:rPr>
              <w:t>52.37%</w:t>
            </w:r>
          </w:p>
        </w:tc>
        <w:tc>
          <w:tcPr>
            <w:tcW w:w="708"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预期目标</w:t>
            </w:r>
          </w:p>
        </w:tc>
        <w:tc>
          <w:tcPr>
            <w:tcW w:w="3402"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5090"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3402"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绩</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效</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指</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标</w:t>
            </w:r>
          </w:p>
        </w:tc>
        <w:tc>
          <w:tcPr>
            <w:tcW w:w="98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一级指标</w:t>
            </w:r>
          </w:p>
        </w:tc>
        <w:tc>
          <w:tcPr>
            <w:tcW w:w="1112"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二级指标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三级指标</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年度</w:t>
            </w:r>
          </w:p>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指标值</w:t>
            </w: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实际</w:t>
            </w:r>
          </w:p>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完成值</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分值</w:t>
            </w:r>
          </w:p>
        </w:tc>
        <w:tc>
          <w:tcPr>
            <w:tcW w:w="81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得分</w:t>
            </w:r>
          </w:p>
        </w:tc>
        <w:tc>
          <w:tcPr>
            <w:tcW w:w="117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偏差原因分析及改进措施</w:t>
            </w:r>
          </w:p>
        </w:tc>
      </w:tr>
      <w:tr>
        <w:tblPrEx>
          <w:tblCellMar>
            <w:top w:w="0" w:type="dxa"/>
            <w:left w:w="108" w:type="dxa"/>
            <w:bottom w:w="0" w:type="dxa"/>
            <w:right w:w="108" w:type="dxa"/>
          </w:tblCellMar>
        </w:tblPrEx>
        <w:trPr>
          <w:trHeight w:val="559"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产出指标</w:t>
            </w:r>
          </w:p>
        </w:tc>
        <w:tc>
          <w:tcPr>
            <w:tcW w:w="1112" w:type="dxa"/>
            <w:vMerge w:val="restart"/>
            <w:tcBorders>
              <w:top w:val="nil"/>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数量指标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购置专用设备数量</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≥3台</w:t>
            </w: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1台</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6</w:t>
            </w:r>
          </w:p>
        </w:tc>
        <w:tc>
          <w:tcPr>
            <w:tcW w:w="81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rPr>
            </w:pPr>
            <w:r>
              <w:rPr>
                <w:rFonts w:hint="eastAsia" w:cs="宋体"/>
                <w:color w:val="auto"/>
                <w:kern w:val="0"/>
                <w:sz w:val="18"/>
                <w:szCs w:val="18"/>
                <w:lang w:val="en-US" w:eastAsia="zh-CN"/>
              </w:rPr>
              <w:t>2</w:t>
            </w:r>
          </w:p>
        </w:tc>
        <w:tc>
          <w:tcPr>
            <w:tcW w:w="117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宋体" w:hAnsi="宋体" w:eastAsia="宋体" w:cs="宋体"/>
                <w:color w:val="auto"/>
                <w:kern w:val="0"/>
                <w:sz w:val="18"/>
                <w:szCs w:val="18"/>
                <w:lang w:val="en-US" w:eastAsia="zh-CN" w:bidi="ar-SA"/>
              </w:rPr>
            </w:pPr>
            <w:r>
              <w:rPr>
                <w:rFonts w:hint="eastAsia" w:cs="宋体"/>
                <w:color w:val="auto"/>
                <w:kern w:val="0"/>
                <w:sz w:val="18"/>
                <w:szCs w:val="18"/>
                <w:lang w:val="en-US" w:eastAsia="zh-CN" w:bidi="ar-SA"/>
              </w:rPr>
              <w:t>自筹经费紧张，部分设备未购买</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1112"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购置通用设备数量</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≥21台</w:t>
            </w: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23台</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6</w:t>
            </w:r>
          </w:p>
        </w:tc>
        <w:tc>
          <w:tcPr>
            <w:tcW w:w="81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6</w:t>
            </w:r>
          </w:p>
        </w:tc>
        <w:tc>
          <w:tcPr>
            <w:tcW w:w="117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bidi="ar-SA"/>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1112"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购置办公设备数量</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≥101台（套）</w:t>
            </w: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181台</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6</w:t>
            </w:r>
          </w:p>
        </w:tc>
        <w:tc>
          <w:tcPr>
            <w:tcW w:w="81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6</w:t>
            </w:r>
          </w:p>
        </w:tc>
        <w:tc>
          <w:tcPr>
            <w:tcW w:w="117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bidi="ar-SA"/>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1112"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野外作业保障用车数量</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≥15辆</w:t>
            </w: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15辆</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6</w:t>
            </w:r>
          </w:p>
        </w:tc>
        <w:tc>
          <w:tcPr>
            <w:tcW w:w="81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6</w:t>
            </w:r>
          </w:p>
        </w:tc>
        <w:tc>
          <w:tcPr>
            <w:tcW w:w="117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bidi="ar-SA"/>
              </w:rPr>
            </w:pPr>
          </w:p>
        </w:tc>
      </w:tr>
      <w:tr>
        <w:tblPrEx>
          <w:tblCellMar>
            <w:top w:w="0" w:type="dxa"/>
            <w:left w:w="108" w:type="dxa"/>
            <w:bottom w:w="0" w:type="dxa"/>
            <w:right w:w="108" w:type="dxa"/>
          </w:tblCellMar>
        </w:tblPrEx>
        <w:trPr>
          <w:trHeight w:val="845"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1112" w:type="dxa"/>
            <w:vMerge w:val="continue"/>
            <w:tcBorders>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保障野外作业人员数量</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≥100人</w:t>
            </w: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95人</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6</w:t>
            </w:r>
          </w:p>
        </w:tc>
        <w:tc>
          <w:tcPr>
            <w:tcW w:w="81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5.7</w:t>
            </w:r>
          </w:p>
        </w:tc>
        <w:tc>
          <w:tcPr>
            <w:tcW w:w="117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宋体" w:hAnsi="宋体" w:eastAsia="宋体" w:cs="宋体"/>
                <w:color w:val="auto"/>
                <w:kern w:val="0"/>
                <w:sz w:val="18"/>
                <w:szCs w:val="18"/>
                <w:lang w:val="en-US" w:eastAsia="zh-CN" w:bidi="ar-SA"/>
              </w:rPr>
            </w:pPr>
            <w:r>
              <w:rPr>
                <w:rFonts w:hint="eastAsia" w:cs="宋体"/>
                <w:color w:val="auto"/>
                <w:kern w:val="0"/>
                <w:sz w:val="18"/>
                <w:szCs w:val="18"/>
                <w:lang w:val="en-US" w:eastAsia="zh-CN" w:bidi="ar-SA"/>
              </w:rPr>
              <w:t>因受外部环境影响，野外工作量减少</w:t>
            </w:r>
          </w:p>
        </w:tc>
      </w:tr>
      <w:tr>
        <w:tblPrEx>
          <w:tblCellMar>
            <w:top w:w="0" w:type="dxa"/>
            <w:left w:w="108" w:type="dxa"/>
            <w:bottom w:w="0" w:type="dxa"/>
            <w:right w:w="108" w:type="dxa"/>
          </w:tblCellMar>
        </w:tblPrEx>
        <w:trPr>
          <w:trHeight w:val="777"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质量指标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政府采购率</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≥90%</w:t>
            </w: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31.86%</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3</w:t>
            </w:r>
          </w:p>
        </w:tc>
        <w:tc>
          <w:tcPr>
            <w:tcW w:w="81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1.06</w:t>
            </w:r>
          </w:p>
        </w:tc>
        <w:tc>
          <w:tcPr>
            <w:tcW w:w="117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cs="宋体"/>
                <w:color w:val="auto"/>
                <w:kern w:val="0"/>
                <w:sz w:val="18"/>
                <w:szCs w:val="18"/>
                <w:lang w:val="en-US" w:eastAsia="zh-CN" w:bidi="ar-SA"/>
              </w:rPr>
              <w:t>自筹经费紧张，部分设备未购买</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采购设备质量合格率</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≥100%</w:t>
            </w: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3</w:t>
            </w:r>
          </w:p>
        </w:tc>
        <w:tc>
          <w:tcPr>
            <w:tcW w:w="81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3</w:t>
            </w:r>
          </w:p>
        </w:tc>
        <w:tc>
          <w:tcPr>
            <w:tcW w:w="117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专用设备验收合格率</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≥100%</w:t>
            </w: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3</w:t>
            </w:r>
          </w:p>
        </w:tc>
        <w:tc>
          <w:tcPr>
            <w:tcW w:w="81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3</w:t>
            </w:r>
          </w:p>
        </w:tc>
        <w:tc>
          <w:tcPr>
            <w:tcW w:w="117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时效指标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专用设备采购完成时间</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2022年11月</w:t>
            </w: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2022年12月</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5</w:t>
            </w:r>
          </w:p>
        </w:tc>
        <w:tc>
          <w:tcPr>
            <w:tcW w:w="81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5</w:t>
            </w:r>
          </w:p>
        </w:tc>
        <w:tc>
          <w:tcPr>
            <w:tcW w:w="117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通用设备及办公设备采购完成时间</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2022年11月</w:t>
            </w: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2022年12月</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5</w:t>
            </w:r>
          </w:p>
        </w:tc>
        <w:tc>
          <w:tcPr>
            <w:tcW w:w="81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5</w:t>
            </w:r>
          </w:p>
        </w:tc>
        <w:tc>
          <w:tcPr>
            <w:tcW w:w="117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公用经费支付及时率</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≥90%≥90%≥90%</w:t>
            </w: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5</w:t>
            </w:r>
          </w:p>
        </w:tc>
        <w:tc>
          <w:tcPr>
            <w:tcW w:w="81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5</w:t>
            </w:r>
          </w:p>
        </w:tc>
        <w:tc>
          <w:tcPr>
            <w:tcW w:w="117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成本指标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专用设备采购成本</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≤60.5万元</w:t>
            </w: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0.46万元</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81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117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bidi="ar-SA"/>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通用设备采购成本</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≤5.30万元</w:t>
            </w: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4.6万元</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81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117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bidi="ar-SA"/>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办公设备采购成本</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≤19.88万元</w:t>
            </w: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3.91万元</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81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117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bidi="ar-SA"/>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野外作业人均运转经费数</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≤3.01万元</w:t>
            </w: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2.13万元</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81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117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bidi="ar-SA"/>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效益指标</w:t>
            </w:r>
          </w:p>
        </w:tc>
        <w:tc>
          <w:tcPr>
            <w:tcW w:w="1112" w:type="dxa"/>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经济效益</w:t>
            </w:r>
          </w:p>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w:t>
            </w: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w:t>
            </w:r>
          </w:p>
        </w:tc>
        <w:tc>
          <w:tcPr>
            <w:tcW w:w="81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w:t>
            </w:r>
          </w:p>
        </w:tc>
        <w:tc>
          <w:tcPr>
            <w:tcW w:w="117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社会效益</w:t>
            </w:r>
          </w:p>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w:t>
            </w: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w:t>
            </w:r>
          </w:p>
        </w:tc>
        <w:tc>
          <w:tcPr>
            <w:tcW w:w="81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w:t>
            </w:r>
          </w:p>
        </w:tc>
        <w:tc>
          <w:tcPr>
            <w:tcW w:w="117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生态效益</w:t>
            </w:r>
          </w:p>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w:t>
            </w: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w:t>
            </w:r>
          </w:p>
        </w:tc>
        <w:tc>
          <w:tcPr>
            <w:tcW w:w="81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w:t>
            </w:r>
          </w:p>
        </w:tc>
        <w:tc>
          <w:tcPr>
            <w:tcW w:w="117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专业设备使用年限</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≤3年</w:t>
            </w: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3年</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宋体" w:hAnsi="宋体" w:eastAsia="宋体" w:cs="宋体"/>
                <w:color w:val="auto"/>
                <w:kern w:val="0"/>
                <w:sz w:val="18"/>
                <w:szCs w:val="18"/>
                <w:lang w:val="en-US" w:eastAsia="zh-CN"/>
              </w:rPr>
            </w:pPr>
            <w:r>
              <w:rPr>
                <w:rFonts w:hint="eastAsia" w:cs="宋体"/>
                <w:color w:val="auto"/>
                <w:kern w:val="0"/>
                <w:sz w:val="18"/>
                <w:szCs w:val="18"/>
                <w:lang w:val="en-US" w:eastAsia="zh-CN"/>
              </w:rPr>
              <w:t>10</w:t>
            </w:r>
          </w:p>
        </w:tc>
        <w:tc>
          <w:tcPr>
            <w:tcW w:w="81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w:t>
            </w:r>
            <w:r>
              <w:rPr>
                <w:rFonts w:hint="eastAsia" w:cs="宋体"/>
                <w:color w:val="auto"/>
                <w:kern w:val="0"/>
                <w:sz w:val="18"/>
                <w:szCs w:val="18"/>
                <w:lang w:val="en-US" w:eastAsia="zh-CN"/>
              </w:rPr>
              <w:t>0</w:t>
            </w:r>
          </w:p>
        </w:tc>
        <w:tc>
          <w:tcPr>
            <w:tcW w:w="117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c>
          <w:tcPr>
            <w:tcW w:w="980" w:type="dxa"/>
            <w:tcBorders>
              <w:top w:val="nil"/>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满意度</w:t>
            </w:r>
          </w:p>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指标</w:t>
            </w:r>
          </w:p>
        </w:tc>
        <w:tc>
          <w:tcPr>
            <w:tcW w:w="1112" w:type="dxa"/>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野外作业人员满意程度</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≥95%</w:t>
            </w: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95%</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宋体" w:hAnsi="宋体" w:eastAsia="宋体" w:cs="宋体"/>
                <w:color w:val="auto"/>
                <w:kern w:val="0"/>
                <w:sz w:val="18"/>
                <w:szCs w:val="18"/>
                <w:lang w:val="en-US" w:eastAsia="zh-CN"/>
              </w:rPr>
            </w:pPr>
            <w:r>
              <w:rPr>
                <w:rFonts w:hint="eastAsia" w:cs="宋体"/>
                <w:color w:val="auto"/>
                <w:kern w:val="0"/>
                <w:sz w:val="18"/>
                <w:szCs w:val="18"/>
                <w:lang w:val="en-US" w:eastAsia="zh-CN"/>
              </w:rPr>
              <w:t>10</w:t>
            </w:r>
          </w:p>
        </w:tc>
        <w:tc>
          <w:tcPr>
            <w:tcW w:w="81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w:t>
            </w:r>
            <w:r>
              <w:rPr>
                <w:rFonts w:hint="eastAsia" w:cs="宋体"/>
                <w:color w:val="auto"/>
                <w:kern w:val="0"/>
                <w:sz w:val="18"/>
                <w:szCs w:val="18"/>
                <w:lang w:val="en-US" w:eastAsia="zh-CN"/>
              </w:rPr>
              <w:t>0</w:t>
            </w:r>
          </w:p>
        </w:tc>
        <w:tc>
          <w:tcPr>
            <w:tcW w:w="117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lang w:val="en-US" w:eastAsia="zh-CN"/>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总分</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宋体" w:hAnsi="宋体" w:eastAsia="宋体" w:cs="宋体"/>
                <w:color w:val="auto"/>
                <w:kern w:val="0"/>
                <w:sz w:val="18"/>
                <w:szCs w:val="18"/>
                <w:lang w:val="en-US" w:eastAsia="zh-CN"/>
              </w:rPr>
            </w:pPr>
            <w:r>
              <w:rPr>
                <w:rFonts w:hint="eastAsia" w:cs="宋体"/>
                <w:color w:val="auto"/>
                <w:kern w:val="0"/>
                <w:sz w:val="18"/>
                <w:szCs w:val="18"/>
                <w:lang w:val="en-US" w:eastAsia="zh-CN"/>
              </w:rPr>
              <w:t>100</w:t>
            </w:r>
          </w:p>
        </w:tc>
        <w:tc>
          <w:tcPr>
            <w:tcW w:w="81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宋体" w:hAnsi="宋体" w:eastAsia="宋体" w:cs="宋体"/>
                <w:color w:val="auto"/>
                <w:kern w:val="0"/>
                <w:sz w:val="18"/>
                <w:szCs w:val="18"/>
                <w:lang w:val="en-US" w:eastAsia="zh-CN"/>
              </w:rPr>
            </w:pPr>
            <w:r>
              <w:rPr>
                <w:rFonts w:hint="eastAsia" w:cs="宋体"/>
                <w:color w:val="auto"/>
                <w:kern w:val="0"/>
                <w:sz w:val="18"/>
                <w:szCs w:val="18"/>
                <w:lang w:val="en-US" w:eastAsia="zh-CN"/>
              </w:rPr>
              <w:t>85</w:t>
            </w:r>
          </w:p>
        </w:tc>
        <w:tc>
          <w:tcPr>
            <w:tcW w:w="117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rPr>
            </w:pPr>
          </w:p>
        </w:tc>
      </w:tr>
    </w:tbl>
    <w:p>
      <w:pPr>
        <w:rPr>
          <w:rFonts w:hint="eastAsia"/>
          <w:color w:val="auto"/>
          <w:lang w:val="en-US" w:eastAsia="zh-CN"/>
        </w:rPr>
        <w:sectPr>
          <w:footerReference r:id="rId5" w:type="default"/>
          <w:pgSz w:w="11906" w:h="16838"/>
          <w:pgMar w:top="1440" w:right="1800" w:bottom="1440" w:left="1800" w:header="737" w:footer="851" w:gutter="0"/>
          <w:pgNumType w:fmt="decimal" w:start="1"/>
          <w:cols w:space="720" w:num="1"/>
          <w:docGrid w:type="lines" w:linePitch="408" w:charSpace="0"/>
        </w:sectPr>
      </w:pPr>
      <w:bookmarkStart w:id="14" w:name="_GoBack"/>
      <w:bookmarkEnd w:id="14"/>
    </w:p>
    <w:p>
      <w:pPr>
        <w:keepNext/>
        <w:keepLines/>
        <w:widowControl w:val="0"/>
        <w:spacing w:before="0" w:beforeLines="0" w:beforeAutospacing="0" w:after="0" w:afterLines="0" w:afterAutospacing="0" w:line="240" w:lineRule="auto"/>
        <w:jc w:val="left"/>
        <w:outlineLvl w:val="1"/>
        <w:rPr>
          <w:rFonts w:hint="eastAsia" w:ascii="Arial" w:hAnsi="Arial" w:eastAsia="宋体" w:cs="Times New Roman"/>
          <w:b/>
          <w:bCs/>
          <w:color w:val="auto"/>
          <w:kern w:val="2"/>
          <w:sz w:val="32"/>
          <w:szCs w:val="24"/>
          <w:lang w:val="en-US" w:eastAsia="zh-CN" w:bidi="ar-SA"/>
        </w:rPr>
      </w:pPr>
      <w:r>
        <w:rPr>
          <w:rFonts w:hint="eastAsia" w:cs="宋体"/>
          <w:b/>
          <w:bCs/>
          <w:color w:val="auto"/>
          <w:kern w:val="2"/>
          <w:sz w:val="36"/>
          <w:szCs w:val="28"/>
          <w:lang w:val="en-US" w:eastAsia="zh-CN" w:bidi="ar-SA"/>
        </w:rPr>
        <w:t xml:space="preserve">附件二              </w:t>
      </w:r>
      <w:r>
        <w:rPr>
          <w:rFonts w:hint="eastAsia" w:ascii="宋体" w:hAnsi="宋体" w:eastAsia="宋体" w:cs="宋体"/>
          <w:b/>
          <w:bCs/>
          <w:color w:val="auto"/>
          <w:kern w:val="2"/>
          <w:sz w:val="36"/>
          <w:szCs w:val="28"/>
          <w:lang w:val="en-US" w:eastAsia="zh-CN" w:bidi="ar-SA"/>
        </w:rPr>
        <w:t>项目支出绩效评价指标体系打分表</w:t>
      </w:r>
    </w:p>
    <w:tbl>
      <w:tblPr>
        <w:tblStyle w:val="9"/>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61" w:type="dxa"/>
            <w:shd w:val="clear" w:color="auto" w:fill="FFFFFF"/>
            <w:noWrap w:val="0"/>
            <w:vAlign w:val="center"/>
          </w:tcPr>
          <w:p>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一级指标</w:t>
            </w:r>
          </w:p>
        </w:tc>
        <w:tc>
          <w:tcPr>
            <w:tcW w:w="727" w:type="dxa"/>
            <w:shd w:val="clear" w:color="auto" w:fill="FFFFFF"/>
            <w:noWrap w:val="0"/>
            <w:vAlign w:val="center"/>
          </w:tcPr>
          <w:p>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二级指标</w:t>
            </w: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三级指标</w:t>
            </w:r>
          </w:p>
        </w:tc>
        <w:tc>
          <w:tcPr>
            <w:tcW w:w="2141" w:type="dxa"/>
            <w:shd w:val="clear" w:color="auto" w:fill="FFFFFF"/>
            <w:noWrap w:val="0"/>
            <w:vAlign w:val="center"/>
          </w:tcPr>
          <w:p>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指标解释</w:t>
            </w:r>
          </w:p>
        </w:tc>
        <w:tc>
          <w:tcPr>
            <w:tcW w:w="7821" w:type="dxa"/>
            <w:shd w:val="clear" w:color="auto" w:fill="FFFFFF"/>
            <w:noWrap w:val="0"/>
            <w:vAlign w:val="center"/>
          </w:tcPr>
          <w:p>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指标说明</w:t>
            </w:r>
          </w:p>
        </w:tc>
        <w:tc>
          <w:tcPr>
            <w:tcW w:w="785" w:type="dxa"/>
            <w:shd w:val="clear" w:color="auto" w:fill="FFFFFF"/>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lang w:val="en-US" w:eastAsia="zh-CN"/>
              </w:rPr>
            </w:pPr>
            <w:r>
              <w:rPr>
                <w:rFonts w:hint="eastAsia" w:ascii="宋体" w:hAnsi="宋体" w:eastAsia="宋体" w:cs="宋体"/>
                <w:b/>
                <w:bCs/>
                <w:color w:val="auto"/>
                <w:kern w:val="0"/>
                <w:sz w:val="22"/>
                <w:szCs w:val="22"/>
                <w:lang w:val="en-US" w:eastAsia="zh-CN"/>
              </w:rPr>
              <w:t>分值</w:t>
            </w:r>
          </w:p>
        </w:tc>
        <w:tc>
          <w:tcPr>
            <w:tcW w:w="769" w:type="dxa"/>
            <w:shd w:val="clear" w:color="auto" w:fill="FFFFFF"/>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lang w:val="en-US" w:eastAsia="zh-CN"/>
              </w:rPr>
            </w:pPr>
            <w:r>
              <w:rPr>
                <w:rFonts w:hint="eastAsia" w:ascii="宋体" w:hAnsi="宋体" w:eastAsia="宋体" w:cs="宋体"/>
                <w:b/>
                <w:bCs/>
                <w:color w:val="auto"/>
                <w:kern w:val="0"/>
                <w:sz w:val="22"/>
                <w:szCs w:val="22"/>
                <w:lang w:val="en-US" w:eastAsia="zh-CN"/>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决策　</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p>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tc>
        <w:tc>
          <w:tcPr>
            <w:tcW w:w="727"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项目立项　</w:t>
            </w: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立项依据</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充分性</w:t>
            </w:r>
          </w:p>
        </w:tc>
        <w:tc>
          <w:tcPr>
            <w:tcW w:w="2141" w:type="dxa"/>
            <w:shd w:val="clear" w:color="auto"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项目立项是否符合法律法规、相关政策、发展规划以及部门职责，用以反映和考核项目立项依据情况。</w:t>
            </w:r>
          </w:p>
        </w:tc>
        <w:tc>
          <w:tcPr>
            <w:tcW w:w="7821" w:type="dxa"/>
            <w:shd w:val="clear" w:color="auto" w:fill="FFFFFF"/>
            <w:noWrap w:val="0"/>
            <w:vAlign w:val="center"/>
          </w:tcPr>
          <w:p>
            <w:pPr>
              <w:widowControl/>
              <w:spacing w:line="0" w:lineRule="atLeast"/>
              <w:ind w:firstLine="0" w:firstLineChars="0"/>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评价要点：</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①项目立项是否符合国家法律法规、国民经济发展规划和相关政策；</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②项目立项是否符合行业发展规划和政策要求；</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③项目立项是否与部门职责范围相符，属于部门履职所需；</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④项目是否属于公共财政支持范围，是否符合中央、地方事权支出责任划分原则；</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⑤项目是否与相关部门同类项目或部门内部相关项目重复。</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FFFFFF"/>
            <w:noWrap w:val="0"/>
            <w:vAlign w:val="center"/>
          </w:tcPr>
          <w:p>
            <w:pPr>
              <w:widowControl/>
              <w:spacing w:line="0" w:lineRule="atLeast"/>
              <w:ind w:firstLine="0" w:firstLineChars="0"/>
              <w:jc w:val="left"/>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FFFFFF"/>
            <w:noWrap w:val="0"/>
            <w:vAlign w:val="center"/>
          </w:tcPr>
          <w:p>
            <w:pPr>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立项程序</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规范性</w:t>
            </w:r>
          </w:p>
        </w:tc>
        <w:tc>
          <w:tcPr>
            <w:tcW w:w="2141" w:type="dxa"/>
            <w:shd w:val="clear" w:color="auto"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项目申请、设立过程是否符合相关要求，用以反映和考核项目立项的规范情况。</w:t>
            </w:r>
          </w:p>
        </w:tc>
        <w:tc>
          <w:tcPr>
            <w:tcW w:w="7821" w:type="dxa"/>
            <w:shd w:val="clear" w:color="auto" w:fill="FFFFFF"/>
            <w:noWrap w:val="0"/>
            <w:vAlign w:val="center"/>
          </w:tcPr>
          <w:p>
            <w:pPr>
              <w:widowControl/>
              <w:spacing w:line="0" w:lineRule="atLeast"/>
              <w:ind w:firstLine="0" w:firstLineChars="0"/>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评价要点：</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①项目是否按照规定的程序申请设立；</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②审批文件、材料是否符合相关要求；</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③事前是否已经过必要的可行性研究、专家论证、风险评估、绩效评估、集体决策。</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FFFFFF"/>
            <w:noWrap w:val="0"/>
            <w:vAlign w:val="center"/>
          </w:tcPr>
          <w:p>
            <w:pPr>
              <w:widowControl/>
              <w:spacing w:line="0" w:lineRule="atLeast"/>
              <w:ind w:firstLine="0" w:firstLineChars="0"/>
              <w:jc w:val="left"/>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FFFFFF"/>
            <w:noWrap w:val="0"/>
            <w:vAlign w:val="center"/>
          </w:tcPr>
          <w:p>
            <w:pPr>
              <w:spacing w:line="0" w:lineRule="atLeast"/>
              <w:ind w:firstLine="0" w:firstLineChars="0"/>
              <w:jc w:val="center"/>
              <w:rPr>
                <w:rFonts w:ascii="宋体" w:hAnsi="宋体" w:eastAsia="宋体" w:cs="宋体"/>
                <w:color w:val="auto"/>
                <w:kern w:val="0"/>
                <w:sz w:val="22"/>
                <w:szCs w:val="22"/>
              </w:rPr>
            </w:pPr>
          </w:p>
        </w:tc>
        <w:tc>
          <w:tcPr>
            <w:tcW w:w="727"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绩效目标　</w:t>
            </w: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绩效目标</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合理性</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项目所设定的绩效目标是否依据充分，是否符合客观实际，用以反映和考核项目绩效目标与项目实施的相符情况。</w:t>
            </w:r>
          </w:p>
        </w:tc>
        <w:tc>
          <w:tcPr>
            <w:tcW w:w="7821" w:type="dxa"/>
            <w:shd w:val="clear" w:color="000000" w:fill="FFFFFF"/>
            <w:noWrap w:val="0"/>
            <w:vAlign w:val="center"/>
          </w:tcPr>
          <w:p>
            <w:pPr>
              <w:widowControl/>
              <w:spacing w:line="0" w:lineRule="atLeast"/>
              <w:ind w:firstLine="0" w:firstLineChars="0"/>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评价要点：</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（如未设定预算绩效目标，也可考核其他工作任务目标）</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①项目是否有绩效目标；</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②项目绩效目标与实际工作内容是否具有相关性；</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③项目预期产出效益和效果是否符合正常的业绩水平；</w:t>
            </w:r>
          </w:p>
          <w:p>
            <w:pPr>
              <w:widowControl/>
              <w:spacing w:line="0" w:lineRule="atLeast"/>
              <w:ind w:firstLine="0" w:firstLineChars="0"/>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④是否与预算确定的项目投资额或资金量相匹配。</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000000" w:fill="FFFFFF"/>
            <w:noWrap w:val="0"/>
            <w:vAlign w:val="center"/>
          </w:tcPr>
          <w:p>
            <w:pPr>
              <w:widowControl/>
              <w:spacing w:line="0" w:lineRule="atLeast"/>
              <w:ind w:firstLine="0" w:firstLineChars="0"/>
              <w:jc w:val="left"/>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决策　</w:t>
            </w:r>
          </w:p>
        </w:tc>
        <w:tc>
          <w:tcPr>
            <w:tcW w:w="727"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绩效目标</w:t>
            </w: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绩效指标</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明确性</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依据绩效目标设定的绩效指标是否清晰、细化、可衡量等，用以反映和考核项目绩效目标的明细化情况。</w:t>
            </w:r>
          </w:p>
        </w:tc>
        <w:tc>
          <w:tcPr>
            <w:tcW w:w="782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评价要点：</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①是否将项目绩效目标细化分解为具体的绩效指标；</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②是否通过清晰、可衡量的指标值予以体现；</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③是否与项目目标任务数或计划数相对应。</w:t>
            </w:r>
            <w:r>
              <w:rPr>
                <w:rFonts w:hint="eastAsia" w:ascii="宋体" w:hAnsi="宋体" w:eastAsia="宋体" w:cs="宋体"/>
                <w:color w:val="auto"/>
                <w:kern w:val="0"/>
                <w:sz w:val="22"/>
                <w:szCs w:val="22"/>
              </w:rPr>
              <w:br w:type="textWrapping"/>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61" w:type="dxa"/>
            <w:vMerge w:val="continue"/>
            <w:shd w:val="clear" w:color="auto" w:fill="FFFFFF"/>
            <w:noWrap w:val="0"/>
            <w:vAlign w:val="center"/>
          </w:tcPr>
          <w:p>
            <w:pPr>
              <w:spacing w:line="0" w:lineRule="atLeast"/>
              <w:ind w:firstLine="0" w:firstLineChars="0"/>
              <w:jc w:val="center"/>
              <w:rPr>
                <w:rFonts w:ascii="宋体" w:hAnsi="宋体" w:eastAsia="宋体" w:cs="宋体"/>
                <w:color w:val="auto"/>
                <w:kern w:val="0"/>
                <w:sz w:val="22"/>
                <w:szCs w:val="22"/>
              </w:rPr>
            </w:pPr>
          </w:p>
        </w:tc>
        <w:tc>
          <w:tcPr>
            <w:tcW w:w="727"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资金投入</w:t>
            </w:r>
          </w:p>
          <w:p>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预算编制</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科学性</w:t>
            </w:r>
          </w:p>
        </w:tc>
        <w:tc>
          <w:tcPr>
            <w:tcW w:w="2141" w:type="dxa"/>
            <w:shd w:val="clear" w:color="auto"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评价要点：</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①预算编制是否经过科学论证；</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②预算内容与项目内容是否匹配；</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③预算额度测算依据是否充分，是否按照标准编制；</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④预算确定的项目投资额或资金量是否与工作任务相匹配。</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FFFFFF"/>
            <w:noWrap w:val="0"/>
            <w:vAlign w:val="center"/>
          </w:tcPr>
          <w:p>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资金分配</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合理性</w:t>
            </w:r>
          </w:p>
        </w:tc>
        <w:tc>
          <w:tcPr>
            <w:tcW w:w="2141" w:type="dxa"/>
            <w:shd w:val="clear" w:color="auto"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评价要点：</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①预算资金分配依据是否充分；</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②资金分配额度是否合理，与项目单位或地方实际是否相适应。</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FFFFFF"/>
            <w:noWrap w:val="0"/>
            <w:vAlign w:val="center"/>
          </w:tcPr>
          <w:p>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shd w:val="clear" w:color="auto" w:fill="FFFFFF"/>
            <w:noWrap w:val="0"/>
            <w:vAlign w:val="center"/>
          </w:tcPr>
          <w:p>
            <w:pPr>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过程</w:t>
            </w:r>
          </w:p>
        </w:tc>
        <w:tc>
          <w:tcPr>
            <w:tcW w:w="727" w:type="dxa"/>
            <w:vMerge w:val="restart"/>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资金管理</w:t>
            </w: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资金到位率</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实际到位资金与预算资金的比率，用以反映和考核资金落实情况对项目实施的总体保障程度。</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资金到位率=（实际到位资金/预算资金）×100%。</w:t>
            </w:r>
          </w:p>
          <w:p>
            <w:pPr>
              <w:widowControl/>
              <w:spacing w:line="0" w:lineRule="atLeast"/>
              <w:ind w:firstLine="0" w:firstLineChars="0"/>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实际到位资金：一定时期（本年度或项目期）内落实到具体项目的资金。</w:t>
            </w:r>
          </w:p>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预算资金：一定时期（本年度或项目期）内预算安排到具体项目的资金。</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shd w:val="clear" w:color="auto" w:fill="FFFFFF"/>
            <w:noWrap w:val="0"/>
            <w:vAlign w:val="center"/>
          </w:tcPr>
          <w:p>
            <w:pPr>
              <w:spacing w:line="0" w:lineRule="atLeast"/>
              <w:ind w:firstLine="0" w:firstLineChars="0"/>
              <w:jc w:val="center"/>
              <w:rPr>
                <w:rFonts w:hint="eastAsia" w:ascii="宋体" w:hAnsi="宋体" w:eastAsia="宋体" w:cs="宋体"/>
                <w:color w:val="auto"/>
                <w:kern w:val="0"/>
                <w:sz w:val="22"/>
                <w:szCs w:val="22"/>
              </w:rPr>
            </w:pPr>
          </w:p>
        </w:tc>
        <w:tc>
          <w:tcPr>
            <w:tcW w:w="727" w:type="dxa"/>
            <w:vMerge w:val="continue"/>
            <w:shd w:val="clear" w:color="auto" w:fill="FFFFFF"/>
            <w:noWrap w:val="0"/>
            <w:vAlign w:val="center"/>
          </w:tcPr>
          <w:p>
            <w:pPr>
              <w:spacing w:line="0" w:lineRule="atLeast"/>
              <w:ind w:firstLine="0" w:firstLineChars="0"/>
              <w:jc w:val="center"/>
              <w:rPr>
                <w:rFonts w:hint="eastAsia" w:ascii="宋体" w:hAnsi="宋体" w:eastAsia="宋体" w:cs="宋体"/>
                <w:color w:val="auto"/>
                <w:kern w:val="0"/>
                <w:sz w:val="22"/>
                <w:szCs w:val="22"/>
              </w:rPr>
            </w:pP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预算执行率</w:t>
            </w:r>
          </w:p>
        </w:tc>
        <w:tc>
          <w:tcPr>
            <w:tcW w:w="2141" w:type="dxa"/>
            <w:shd w:val="clear" w:color="auto"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项目预算资金是否按照计划执行，用以反映或考核项目预算执行情况。</w:t>
            </w:r>
          </w:p>
        </w:tc>
        <w:tc>
          <w:tcPr>
            <w:tcW w:w="7821" w:type="dxa"/>
            <w:shd w:val="clear" w:color="auto"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预算执行率=（实际支出资金/实际到位资金）×100%。</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实际支出资金：一定时期（本年度或项目期）内项目实际拨付的资金。</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FFFFFF"/>
            <w:noWrap w:val="0"/>
            <w:vAlign w:val="center"/>
          </w:tcPr>
          <w:p>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p>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过程　</w:t>
            </w:r>
          </w:p>
        </w:tc>
        <w:tc>
          <w:tcPr>
            <w:tcW w:w="727"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资金管理</w:t>
            </w: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资金使用</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合规性</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项目资金使用是否符合相关的财务管理制度规定，用以反映和考核项目资金的规范运行情况。</w:t>
            </w:r>
          </w:p>
        </w:tc>
        <w:tc>
          <w:tcPr>
            <w:tcW w:w="782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评价要点：</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①是否符合国家财经法规和财务管理制度以及有关专项资金管理办法的规定；</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②资金的拨付是否有完整的审批程序和手续；</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③是否符合项目预算批复或合同规定的用途；</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④是否存在截留、挤占、挪用、虚列支出等情况。</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FFFFFF"/>
            <w:noWrap w:val="0"/>
            <w:vAlign w:val="center"/>
          </w:tcPr>
          <w:p>
            <w:pPr>
              <w:spacing w:line="0" w:lineRule="atLeast"/>
              <w:ind w:firstLine="0" w:firstLineChars="0"/>
              <w:jc w:val="center"/>
              <w:rPr>
                <w:rFonts w:ascii="宋体" w:hAnsi="宋体" w:eastAsia="宋体" w:cs="宋体"/>
                <w:color w:val="auto"/>
                <w:kern w:val="0"/>
                <w:sz w:val="22"/>
                <w:szCs w:val="22"/>
              </w:rPr>
            </w:pPr>
          </w:p>
        </w:tc>
        <w:tc>
          <w:tcPr>
            <w:tcW w:w="727"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组织实施</w:t>
            </w:r>
          </w:p>
          <w:p>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管理制度</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健全性</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项目实施单位的财务和业务管理制度是否健全，用以反映和考核财务和业务管理制度对项目顺利实施的保障情况。</w:t>
            </w:r>
          </w:p>
        </w:tc>
        <w:tc>
          <w:tcPr>
            <w:tcW w:w="782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评价要点：</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①是否已制定或具有相应的财务和业务管理制度；</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②财务和业务管理制度是否合法、合规、完整。</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制度执行</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有效性</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项目实施是否符合相关管理规定，用以反映和考核相关管理制度的有效执行情况。</w:t>
            </w:r>
          </w:p>
        </w:tc>
        <w:tc>
          <w:tcPr>
            <w:tcW w:w="782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评价要点：</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①是否遵守相关法律法规和相关管理规定；</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②项目调整及支出调整手续是否完备；</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③项目合同书、验收报告、技术鉴定等资料是否齐全并及时归档；</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④项目实施的人员条件、场地设备、信息支撑等是否落实到位。</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产出</w:t>
            </w:r>
          </w:p>
        </w:tc>
        <w:tc>
          <w:tcPr>
            <w:tcW w:w="727"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产出数量</w:t>
            </w: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实际完成率</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项目实施的实际产出数与计划产出数的比率，用以反映和考核项目产出数量目标的实现程度。</w:t>
            </w:r>
          </w:p>
        </w:tc>
        <w:tc>
          <w:tcPr>
            <w:tcW w:w="782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实际完成率=（实际产出数/计划产出数）×100%。</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实际产出数：一定时期（本年度或项目期）内项目实际产出的产品或提供的服务数量。</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计划产出数：项目绩效目标确定的在一定时期（本年度或项目期）内计划产出的产品或提供的服务数量。</w:t>
            </w:r>
          </w:p>
        </w:tc>
        <w:tc>
          <w:tcPr>
            <w:tcW w:w="785" w:type="dxa"/>
            <w:shd w:val="clear" w:color="000000" w:fill="FFFFFF"/>
            <w:noWrap w:val="0"/>
            <w:vAlign w:val="center"/>
          </w:tcPr>
          <w:p>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10</w:t>
            </w:r>
          </w:p>
        </w:tc>
        <w:tc>
          <w:tcPr>
            <w:tcW w:w="769"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产出</w:t>
            </w:r>
          </w:p>
        </w:tc>
        <w:tc>
          <w:tcPr>
            <w:tcW w:w="727"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产出质量</w:t>
            </w: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质量达标率</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项目完成的质量达标产出数与实际产出数的比率，用以反映和考核项目产出质量目标的实现程度。</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质量达标率=（质量达标产出数/实际产出数）×100%。</w:t>
            </w:r>
          </w:p>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noWrap w:val="0"/>
            <w:vAlign w:val="center"/>
          </w:tcPr>
          <w:p>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10</w:t>
            </w:r>
          </w:p>
        </w:tc>
        <w:tc>
          <w:tcPr>
            <w:tcW w:w="769" w:type="dxa"/>
            <w:shd w:val="clear" w:color="000000" w:fill="FFFFFF"/>
            <w:noWrap w:val="0"/>
            <w:vAlign w:val="center"/>
          </w:tcPr>
          <w:p>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FFFFFF"/>
            <w:noWrap w:val="0"/>
            <w:vAlign w:val="center"/>
          </w:tcPr>
          <w:p>
            <w:pPr>
              <w:spacing w:line="0" w:lineRule="atLeast"/>
              <w:ind w:firstLine="0" w:firstLineChars="0"/>
              <w:jc w:val="center"/>
              <w:rPr>
                <w:rFonts w:ascii="宋体" w:hAnsi="宋体" w:eastAsia="宋体" w:cs="宋体"/>
                <w:color w:val="auto"/>
                <w:kern w:val="0"/>
                <w:sz w:val="22"/>
                <w:szCs w:val="22"/>
              </w:rPr>
            </w:pPr>
          </w:p>
        </w:tc>
        <w:tc>
          <w:tcPr>
            <w:tcW w:w="727" w:type="dxa"/>
            <w:shd w:val="clear" w:color="auto" w:fill="FFFFFF"/>
            <w:noWrap w:val="0"/>
            <w:vAlign w:val="center"/>
          </w:tcPr>
          <w:p>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产出时效</w:t>
            </w: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完成及时性</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项目实际完成时间与计划完成时间的比较，用以反映和考核项目产出时效目标的实现程度。</w:t>
            </w:r>
          </w:p>
        </w:tc>
        <w:tc>
          <w:tcPr>
            <w:tcW w:w="782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实际完成时间：项目实施单位完成该项目实际所耗用的时间。</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计划完成时间：按照项目实施计划或相关规定完成该项目所需的时间。</w:t>
            </w:r>
          </w:p>
        </w:tc>
        <w:tc>
          <w:tcPr>
            <w:tcW w:w="785" w:type="dxa"/>
            <w:shd w:val="clear" w:color="000000" w:fill="FFFFFF"/>
            <w:noWrap w:val="0"/>
            <w:vAlign w:val="center"/>
          </w:tcPr>
          <w:p>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10</w:t>
            </w:r>
          </w:p>
        </w:tc>
        <w:tc>
          <w:tcPr>
            <w:tcW w:w="769" w:type="dxa"/>
            <w:shd w:val="clear" w:color="000000" w:fill="FFFFFF"/>
            <w:noWrap w:val="0"/>
            <w:vAlign w:val="center"/>
          </w:tcPr>
          <w:p>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p>
        </w:tc>
        <w:tc>
          <w:tcPr>
            <w:tcW w:w="727"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产出成本</w:t>
            </w: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成本节约率</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完成项目计划工作目标的实际节约成本与计划成本的比率，用以反映和考核项目的成本节约程度。</w:t>
            </w:r>
          </w:p>
        </w:tc>
        <w:tc>
          <w:tcPr>
            <w:tcW w:w="782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成本节约率=[（计划成本-实际成本）/计划成本]×100%。</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实际成本：项目实施单位如期、保质、保量完成既定工作目标实际所耗费的支出。</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计划成本：项目实施单位为完成工作目标计划安排的支出，一般以项目预算为参考。</w:t>
            </w:r>
          </w:p>
        </w:tc>
        <w:tc>
          <w:tcPr>
            <w:tcW w:w="785"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10</w:t>
            </w:r>
          </w:p>
        </w:tc>
        <w:tc>
          <w:tcPr>
            <w:tcW w:w="769" w:type="dxa"/>
            <w:shd w:val="clear" w:color="000000" w:fill="FFFFFF"/>
            <w:noWrap w:val="0"/>
            <w:vAlign w:val="center"/>
          </w:tcPr>
          <w:p>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效益　</w:t>
            </w:r>
          </w:p>
        </w:tc>
        <w:tc>
          <w:tcPr>
            <w:tcW w:w="727"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项目效益　</w:t>
            </w: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实施效益</w:t>
            </w:r>
          </w:p>
        </w:tc>
        <w:tc>
          <w:tcPr>
            <w:tcW w:w="2141" w:type="dxa"/>
            <w:shd w:val="clear" w:color="auto" w:fill="FFFFFF"/>
            <w:noWrap w:val="0"/>
            <w:vAlign w:val="center"/>
          </w:tcPr>
          <w:p>
            <w:pPr>
              <w:widowControl/>
              <w:spacing w:line="0" w:lineRule="atLeast"/>
              <w:ind w:firstLine="0" w:firstLineChars="0"/>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项目实施所产生的效益。</w:t>
            </w:r>
          </w:p>
        </w:tc>
        <w:tc>
          <w:tcPr>
            <w:tcW w:w="7821" w:type="dxa"/>
            <w:shd w:val="clear" w:color="auto"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项目实施所产生的社会效益、经济效益、生态效益、可持续影响等。可根据项目实际情况有选择地设置和细化。</w:t>
            </w:r>
          </w:p>
        </w:tc>
        <w:tc>
          <w:tcPr>
            <w:tcW w:w="785" w:type="dxa"/>
            <w:shd w:val="clear" w:color="auto" w:fill="FFFFFF"/>
            <w:noWrap w:val="0"/>
            <w:vAlign w:val="center"/>
          </w:tcPr>
          <w:p>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10</w:t>
            </w:r>
          </w:p>
        </w:tc>
        <w:tc>
          <w:tcPr>
            <w:tcW w:w="769" w:type="dxa"/>
            <w:shd w:val="clear" w:color="auto" w:fill="FFFFFF"/>
            <w:noWrap w:val="0"/>
            <w:vAlign w:val="center"/>
          </w:tcPr>
          <w:p>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满意度</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社会公众或服务对象对项目实施效果的满意程度。</w:t>
            </w:r>
          </w:p>
        </w:tc>
        <w:tc>
          <w:tcPr>
            <w:tcW w:w="782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社会公众或服务对象是指因该项目实施而受到影响的部门（单位）、群体或个人。一般采取社会调查的方式。</w:t>
            </w:r>
          </w:p>
        </w:tc>
        <w:tc>
          <w:tcPr>
            <w:tcW w:w="785" w:type="dxa"/>
            <w:shd w:val="clear" w:color="000000" w:fill="FFFFFF"/>
            <w:noWrap w:val="0"/>
            <w:vAlign w:val="center"/>
          </w:tcPr>
          <w:p>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10</w:t>
            </w:r>
          </w:p>
        </w:tc>
        <w:tc>
          <w:tcPr>
            <w:tcW w:w="769" w:type="dxa"/>
            <w:shd w:val="clear" w:color="000000" w:fill="FFFFFF"/>
            <w:noWrap w:val="0"/>
            <w:vAlign w:val="center"/>
          </w:tcPr>
          <w:p>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10</w:t>
            </w:r>
          </w:p>
        </w:tc>
      </w:tr>
    </w:tbl>
    <w:p>
      <w:pPr>
        <w:spacing w:line="240" w:lineRule="auto"/>
        <w:ind w:firstLine="0" w:firstLineChars="0"/>
        <w:rPr>
          <w:rFonts w:ascii="Times New Roman" w:hAnsi="Times New Roman" w:eastAsia="仿宋_GB2312" w:cs="Times New Roman"/>
          <w:color w:val="auto"/>
          <w:sz w:val="30"/>
          <w:szCs w:val="24"/>
        </w:rPr>
      </w:pPr>
    </w:p>
    <w:p>
      <w:pPr>
        <w:rPr>
          <w:rFonts w:hint="default"/>
          <w:color w:val="auto"/>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B4F5BA80"/>
    <w:multiLevelType w:val="singleLevel"/>
    <w:tmpl w:val="B4F5BA80"/>
    <w:lvl w:ilvl="0" w:tentative="0">
      <w:start w:val="2"/>
      <w:numFmt w:val="decimal"/>
      <w:lvlText w:val="%1."/>
      <w:lvlJc w:val="left"/>
      <w:pPr>
        <w:tabs>
          <w:tab w:val="left" w:pos="312"/>
        </w:tabs>
      </w:pPr>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7796CF1"/>
    <w:multiLevelType w:val="singleLevel"/>
    <w:tmpl w:val="37796CF1"/>
    <w:lvl w:ilvl="0" w:tentative="0">
      <w:start w:val="1"/>
      <w:numFmt w:val="decimal"/>
      <w:lvlText w:val="%1."/>
      <w:lvlJc w:val="left"/>
      <w:pPr>
        <w:tabs>
          <w:tab w:val="left" w:pos="312"/>
        </w:tabs>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xMmY5MWY4ZjJlYzMwMGRiMWY5YmE4Yzk5MjJhNDQifQ=="/>
  </w:docVars>
  <w:rsids>
    <w:rsidRoot w:val="68291A1A"/>
    <w:rsid w:val="01470C4C"/>
    <w:rsid w:val="02200440"/>
    <w:rsid w:val="02284B43"/>
    <w:rsid w:val="02B015E2"/>
    <w:rsid w:val="039C3BA0"/>
    <w:rsid w:val="03A845BB"/>
    <w:rsid w:val="04D63993"/>
    <w:rsid w:val="07890F4F"/>
    <w:rsid w:val="09781BD6"/>
    <w:rsid w:val="0D4452F3"/>
    <w:rsid w:val="0F5E5042"/>
    <w:rsid w:val="10510571"/>
    <w:rsid w:val="11FA6155"/>
    <w:rsid w:val="12CF0947"/>
    <w:rsid w:val="12D64838"/>
    <w:rsid w:val="12F1313F"/>
    <w:rsid w:val="136C678E"/>
    <w:rsid w:val="13EB2FF5"/>
    <w:rsid w:val="165825BC"/>
    <w:rsid w:val="176F36D7"/>
    <w:rsid w:val="18456B1E"/>
    <w:rsid w:val="1C1171C5"/>
    <w:rsid w:val="1DA41A79"/>
    <w:rsid w:val="1DF53469"/>
    <w:rsid w:val="1E58492F"/>
    <w:rsid w:val="1E5B6757"/>
    <w:rsid w:val="1ED10AC6"/>
    <w:rsid w:val="1FC0575D"/>
    <w:rsid w:val="21B00C1D"/>
    <w:rsid w:val="23031BEB"/>
    <w:rsid w:val="23917691"/>
    <w:rsid w:val="244D65B8"/>
    <w:rsid w:val="245E1E24"/>
    <w:rsid w:val="27661469"/>
    <w:rsid w:val="27900EAD"/>
    <w:rsid w:val="279B538A"/>
    <w:rsid w:val="286F545C"/>
    <w:rsid w:val="29314FBC"/>
    <w:rsid w:val="2C927671"/>
    <w:rsid w:val="2D7C5CD6"/>
    <w:rsid w:val="2E483E7E"/>
    <w:rsid w:val="2F1B2DFC"/>
    <w:rsid w:val="2F454B19"/>
    <w:rsid w:val="31E3230A"/>
    <w:rsid w:val="33356F64"/>
    <w:rsid w:val="33944516"/>
    <w:rsid w:val="34B62907"/>
    <w:rsid w:val="36065004"/>
    <w:rsid w:val="38782EDD"/>
    <w:rsid w:val="39631FC9"/>
    <w:rsid w:val="3B42664A"/>
    <w:rsid w:val="3D836A4E"/>
    <w:rsid w:val="3FBE0BC5"/>
    <w:rsid w:val="4048103A"/>
    <w:rsid w:val="435241E2"/>
    <w:rsid w:val="439E3FA7"/>
    <w:rsid w:val="44B32266"/>
    <w:rsid w:val="44FC64F4"/>
    <w:rsid w:val="467F4585"/>
    <w:rsid w:val="470628CB"/>
    <w:rsid w:val="47555BD4"/>
    <w:rsid w:val="48127EE6"/>
    <w:rsid w:val="48E12B50"/>
    <w:rsid w:val="499441BE"/>
    <w:rsid w:val="4A2138F0"/>
    <w:rsid w:val="4A583887"/>
    <w:rsid w:val="4B9F6E02"/>
    <w:rsid w:val="4E6E48A8"/>
    <w:rsid w:val="4EEC036B"/>
    <w:rsid w:val="501D2673"/>
    <w:rsid w:val="51852833"/>
    <w:rsid w:val="53555F0F"/>
    <w:rsid w:val="583C7AE0"/>
    <w:rsid w:val="59216F96"/>
    <w:rsid w:val="5B9D2CCD"/>
    <w:rsid w:val="67394C7D"/>
    <w:rsid w:val="68126B38"/>
    <w:rsid w:val="68291A1A"/>
    <w:rsid w:val="691B1594"/>
    <w:rsid w:val="6A17429C"/>
    <w:rsid w:val="6A567EA3"/>
    <w:rsid w:val="6B4B4368"/>
    <w:rsid w:val="6E557973"/>
    <w:rsid w:val="6F0D6C22"/>
    <w:rsid w:val="6F47657F"/>
    <w:rsid w:val="70670707"/>
    <w:rsid w:val="720E3691"/>
    <w:rsid w:val="732764B3"/>
    <w:rsid w:val="75E5007C"/>
    <w:rsid w:val="77861774"/>
    <w:rsid w:val="78E12E2C"/>
    <w:rsid w:val="79300B45"/>
    <w:rsid w:val="794D3E18"/>
    <w:rsid w:val="79F3729A"/>
    <w:rsid w:val="7ACB0498"/>
    <w:rsid w:val="7AED0B4D"/>
    <w:rsid w:val="7C1E4487"/>
    <w:rsid w:val="7C215E02"/>
    <w:rsid w:val="7CF23764"/>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2"/>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2">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1">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2">
    <w:name w:val="标题 2 Char"/>
    <w:link w:val="4"/>
    <w:qFormat/>
    <w:uiPriority w:val="0"/>
    <w:rPr>
      <w:rFonts w:ascii="Arial" w:hAnsi="Arial" w:eastAsia="楷体"/>
      <w:b/>
      <w:sz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12131</Words>
  <Characters>12976</Characters>
  <Lines>0</Lines>
  <Paragraphs>0</Paragraphs>
  <TotalTime>1</TotalTime>
  <ScaleCrop>false</ScaleCrop>
  <LinksUpToDate>false</LinksUpToDate>
  <CharactersWithSpaces>13025</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天一</cp:lastModifiedBy>
  <dcterms:modified xsi:type="dcterms:W3CDTF">2023-08-25T09:41:03Z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04AA9079B8E54CA08917484A653528D0</vt:lpwstr>
  </property>
</Properties>
</file>