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新疆维吾尔自治区政务资源综合服务中心2022年度部门决算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自治区政务资源综合服务中心（以下简称综合服务中心）成立于2020年7月，2021年1月办理事业单位法人登记，隶属于自治区政务服务和公共资源交易中心（以下简称政务中心）。根据《关于印发&lt;新疆维吾尔自治区政务服务和公共资源交易中心职能配置、内设机构和人员编制规定&gt;的通知》（新党编委〔2020〕7号）精神，综合服务中心为公益二类事业单位，经费实行差额预算管理。主要职能是：主要承担政务中心的场地、车辆、固定资产等后期保障服务工作；承担“12345”在线服务平台保障；承担一体化在线政务服务平台、政务数据和公共资源交易第三方服务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新疆维吾尔自治区政务资源综合服务中心</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6</w:t>
      </w:r>
      <w:r>
        <w:rPr>
          <w:rFonts w:hint="eastAsia" w:ascii="仿宋_GB2312" w:eastAsia="仿宋_GB2312"/>
          <w:sz w:val="32"/>
          <w:szCs w:val="32"/>
        </w:rPr>
        <w:t>人，其中：在职人员</w:t>
      </w:r>
      <w:r>
        <w:rPr>
          <w:rFonts w:ascii="仿宋_GB2312" w:eastAsia="仿宋_GB2312"/>
          <w:sz w:val="32"/>
          <w:szCs w:val="32"/>
        </w:rPr>
        <w:t>6</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从部门决算单位构成看，新疆维吾尔自治区政务资源综合服务中心部门决算包括：新疆维吾尔自治区政务资源综合服务中心决算。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个处室，分别是：综合部</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年度收入总计8,133.64万元，其中：本年收入合计</w:t>
      </w:r>
      <w:r>
        <w:rPr>
          <w:rFonts w:ascii="仿宋_GB2312" w:eastAsia="仿宋_GB2312"/>
          <w:sz w:val="32"/>
          <w:szCs w:val="32"/>
        </w:rPr>
        <w:t>5,342.58</w:t>
      </w:r>
      <w:r>
        <w:rPr>
          <w:rFonts w:hint="eastAsia" w:ascii="仿宋_GB2312" w:eastAsia="仿宋_GB2312"/>
          <w:sz w:val="32"/>
          <w:szCs w:val="32"/>
        </w:rPr>
        <w:t>万元，使用非财政拨款结余2,791.05万元，年初结转和结余0.00万元。收入总计与上年相比，增加3,389.29万元，</w:t>
      </w:r>
      <w:r>
        <w:rPr>
          <w:rFonts w:ascii="仿宋_GB2312" w:eastAsia="仿宋_GB2312"/>
          <w:sz w:val="32"/>
          <w:szCs w:val="32"/>
        </w:rPr>
        <w:t>增长71.44</w:t>
      </w:r>
      <w:r>
        <w:rPr>
          <w:rFonts w:hint="eastAsia" w:ascii="仿宋_GB2312" w:eastAsia="仿宋_GB2312"/>
          <w:sz w:val="32"/>
          <w:szCs w:val="32"/>
        </w:rPr>
        <w:t>%，主要原因是：存在非财政拨款结余2,791.05万元。</w:t>
      </w:r>
    </w:p>
    <w:p>
      <w:pPr>
        <w:ind w:firstLine="640" w:firstLineChars="200"/>
        <w:rPr>
          <w:rFonts w:hint="eastAsia" w:ascii="仿宋_GB2312" w:eastAsia="仿宋_GB2312"/>
          <w:sz w:val="32"/>
          <w:szCs w:val="32"/>
        </w:rPr>
      </w:pPr>
      <w:r>
        <w:rPr>
          <w:rFonts w:hint="eastAsia" w:ascii="仿宋_GB2312" w:eastAsia="仿宋_GB2312"/>
          <w:sz w:val="32"/>
          <w:szCs w:val="32"/>
        </w:rPr>
        <w:t>本年支出总计8,133.64万元，其中：本年支出合计</w:t>
      </w:r>
      <w:r>
        <w:rPr>
          <w:rFonts w:ascii="仿宋_GB2312" w:eastAsia="仿宋_GB2312"/>
          <w:sz w:val="32"/>
          <w:szCs w:val="32"/>
        </w:rPr>
        <w:t>8,133.64</w:t>
      </w:r>
      <w:r>
        <w:rPr>
          <w:rFonts w:hint="eastAsia" w:ascii="仿宋_GB2312" w:eastAsia="仿宋_GB2312"/>
          <w:sz w:val="32"/>
          <w:szCs w:val="32"/>
        </w:rPr>
        <w:t>万元，结余分配0.00万元，年末结转和结余0.00万元。支出总计与上年相比，增加3,389.29万元，增长71.44%，主要原因是：202</w:t>
      </w:r>
      <w:r>
        <w:rPr>
          <w:rFonts w:hint="eastAsia" w:ascii="仿宋_GB2312" w:eastAsia="仿宋_GB2312"/>
          <w:sz w:val="32"/>
          <w:szCs w:val="32"/>
          <w:lang w:val="en-US" w:eastAsia="zh-CN"/>
        </w:rPr>
        <w:t>1</w:t>
      </w:r>
      <w:r>
        <w:rPr>
          <w:rFonts w:hint="eastAsia" w:ascii="仿宋_GB2312" w:eastAsia="仿宋_GB2312"/>
          <w:sz w:val="32"/>
          <w:szCs w:val="32"/>
        </w:rPr>
        <w:t>年</w:t>
      </w:r>
      <w:r>
        <w:rPr>
          <w:rFonts w:hint="eastAsia" w:ascii="仿宋_GB2312" w:eastAsia="仿宋_GB2312"/>
          <w:sz w:val="32"/>
          <w:szCs w:val="32"/>
          <w:lang w:val="en-US" w:eastAsia="zh-CN"/>
        </w:rPr>
        <w:t>实施的项目</w:t>
      </w:r>
      <w:r>
        <w:rPr>
          <w:rFonts w:hint="eastAsia" w:ascii="仿宋_GB2312" w:eastAsia="仿宋_GB2312"/>
          <w:sz w:val="32"/>
          <w:szCs w:val="32"/>
        </w:rPr>
        <w:t>未支付项目于今年完成</w:t>
      </w:r>
      <w:r>
        <w:rPr>
          <w:rFonts w:hint="eastAsia" w:ascii="仿宋_GB2312" w:eastAsia="仿宋_GB2312"/>
          <w:sz w:val="32"/>
          <w:szCs w:val="32"/>
          <w:lang w:val="en-US" w:eastAsia="zh-CN"/>
        </w:rPr>
        <w:t>支付</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5,342.58</w:t>
      </w:r>
      <w:r>
        <w:rPr>
          <w:rFonts w:hint="eastAsia" w:ascii="仿宋_GB2312" w:eastAsia="仿宋_GB2312"/>
          <w:sz w:val="32"/>
          <w:szCs w:val="32"/>
        </w:rPr>
        <w:t>万元，其中：财政拨款收入</w:t>
      </w:r>
      <w:r>
        <w:rPr>
          <w:rFonts w:ascii="仿宋_GB2312" w:eastAsia="仿宋_GB2312"/>
          <w:sz w:val="32"/>
          <w:szCs w:val="32"/>
        </w:rPr>
        <w:t>37.90</w:t>
      </w:r>
      <w:r>
        <w:rPr>
          <w:rFonts w:hint="eastAsia" w:ascii="仿宋_GB2312" w:eastAsia="仿宋_GB2312"/>
          <w:sz w:val="32"/>
          <w:szCs w:val="32"/>
        </w:rPr>
        <w:t>万元，占0.71%；上级补助收入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5,304.68</w:t>
      </w:r>
      <w:r>
        <w:rPr>
          <w:rFonts w:hint="eastAsia" w:ascii="仿宋_GB2312" w:eastAsia="仿宋_GB2312"/>
          <w:sz w:val="32"/>
          <w:szCs w:val="32"/>
        </w:rPr>
        <w:t>万元，占99.29%；附属单位上缴收入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年度本年支出8,133.64万元，其中：基本支出</w:t>
      </w:r>
      <w:r>
        <w:rPr>
          <w:rFonts w:ascii="仿宋_GB2312" w:eastAsia="仿宋_GB2312"/>
          <w:sz w:val="32"/>
          <w:szCs w:val="32"/>
        </w:rPr>
        <w:t>2,828.95</w:t>
      </w:r>
      <w:r>
        <w:rPr>
          <w:rFonts w:hint="eastAsia" w:ascii="仿宋_GB2312" w:eastAsia="仿宋_GB2312"/>
          <w:sz w:val="32"/>
          <w:szCs w:val="32"/>
        </w:rPr>
        <w:t>万元，占34.78%；项目支出</w:t>
      </w:r>
      <w:r>
        <w:rPr>
          <w:rFonts w:ascii="仿宋_GB2312" w:eastAsia="仿宋_GB2312"/>
          <w:sz w:val="32"/>
          <w:szCs w:val="32"/>
        </w:rPr>
        <w:t>0.00</w:t>
      </w:r>
      <w:r>
        <w:rPr>
          <w:rFonts w:hint="eastAsia" w:ascii="仿宋_GB2312" w:eastAsia="仿宋_GB2312"/>
          <w:sz w:val="32"/>
          <w:szCs w:val="32"/>
        </w:rPr>
        <w:t>万元，占0.00%；上缴上级支出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5,304.68</w:t>
      </w:r>
      <w:r>
        <w:rPr>
          <w:rFonts w:hint="eastAsia" w:ascii="仿宋_GB2312" w:eastAsia="仿宋_GB2312"/>
          <w:sz w:val="32"/>
          <w:szCs w:val="32"/>
        </w:rPr>
        <w:t>万元，占</w:t>
      </w:r>
      <w:r>
        <w:rPr>
          <w:rFonts w:ascii="仿宋_GB2312" w:eastAsia="仿宋_GB2312"/>
          <w:sz w:val="32"/>
          <w:szCs w:val="32"/>
        </w:rPr>
        <w:t>65.22</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hint="eastAsia"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年度财政拨款收入总计37.90万元，其中：年初财政拨款结转和结余0.00万元，财政拨款本年收入37.90万元。财政拨款收入总计与上年相比，增加23.10万元，增长156.08%，主要原因是：</w:t>
      </w:r>
      <w:r>
        <w:rPr>
          <w:rFonts w:hint="eastAsia" w:ascii="仿宋_GB2312" w:eastAsia="仿宋_GB2312"/>
          <w:sz w:val="32"/>
          <w:szCs w:val="32"/>
          <w:lang w:val="en-US" w:eastAsia="zh-CN"/>
        </w:rPr>
        <w:t>人员增加，相关经费增加</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财政拨款支出总计37.90万元，其中：年末财政拨款结转和结余0.00万元，财政拨款本年支出37.90万元。财政拨款支出总计与上年相比，增加23.10万元，增长156.08%，主要原因是：</w:t>
      </w:r>
      <w:r>
        <w:rPr>
          <w:rFonts w:hint="eastAsia" w:ascii="仿宋_GB2312" w:eastAsia="仿宋_GB2312"/>
          <w:sz w:val="32"/>
          <w:szCs w:val="32"/>
          <w:lang w:val="en-US" w:eastAsia="zh-CN"/>
        </w:rPr>
        <w:t>人员增加，相关经费增加</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36.59万元，决算数37.90万元，预决算差异率3.58%，主要原因是：2022年工资调整。财政拨款支出总计年初预算数36.59万元，决算数37.90万元，预决算差异率3.58%，主要原因是：2022年工资调整。</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年度一般公共预算财政拨款支出37.90万元，占本年支出合计的</w:t>
      </w:r>
      <w:r>
        <w:rPr>
          <w:rFonts w:ascii="仿宋_GB2312" w:eastAsia="仿宋_GB2312"/>
          <w:sz w:val="32"/>
          <w:szCs w:val="32"/>
        </w:rPr>
        <w:t>0.47</w:t>
      </w:r>
      <w:r>
        <w:rPr>
          <w:rFonts w:hint="eastAsia" w:ascii="仿宋_GB2312" w:eastAsia="仿宋_GB2312"/>
          <w:sz w:val="32"/>
          <w:szCs w:val="32"/>
        </w:rPr>
        <w:t>%，与上年相比，</w:t>
      </w:r>
      <w:r>
        <w:rPr>
          <w:rFonts w:ascii="仿宋_GB2312" w:eastAsia="仿宋_GB2312"/>
          <w:sz w:val="32"/>
          <w:szCs w:val="32"/>
        </w:rPr>
        <w:t>增加23.10</w:t>
      </w:r>
      <w:r>
        <w:rPr>
          <w:rFonts w:hint="eastAsia" w:ascii="仿宋_GB2312" w:eastAsia="仿宋_GB2312"/>
          <w:sz w:val="32"/>
          <w:szCs w:val="32"/>
        </w:rPr>
        <w:t>万元，</w:t>
      </w:r>
      <w:r>
        <w:rPr>
          <w:rFonts w:ascii="仿宋_GB2312" w:eastAsia="仿宋_GB2312"/>
          <w:sz w:val="32"/>
          <w:szCs w:val="32"/>
        </w:rPr>
        <w:t>增长156.08</w:t>
      </w:r>
      <w:r>
        <w:rPr>
          <w:rFonts w:hint="eastAsia" w:ascii="仿宋_GB2312" w:eastAsia="仿宋_GB2312"/>
          <w:sz w:val="32"/>
          <w:szCs w:val="32"/>
        </w:rPr>
        <w:t>%，主要原因是：2022年工资调整。</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1.一般公共服务支出(类)29.88万元,占78.84%。</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2.社会保障和就业支出(类)5.33万元,占14.06%。</w:t>
      </w:r>
    </w:p>
    <w:p>
      <w:pPr>
        <w:ind w:firstLine="640" w:firstLineChars="200"/>
        <w:outlineLvl w:val="2"/>
        <w:rPr>
          <w:rFonts w:ascii="黑体" w:hAnsi="黑体" w:eastAsia="黑体"/>
          <w:sz w:val="32"/>
          <w:szCs w:val="32"/>
        </w:rPr>
      </w:pPr>
      <w:r>
        <w:rPr>
          <w:rFonts w:hint="eastAsia" w:ascii="仿宋_GB2312" w:eastAsia="仿宋_GB2312"/>
          <w:sz w:val="32"/>
          <w:szCs w:val="32"/>
        </w:rPr>
        <w:t>3.住房保障支出(类)2.70万元,占7.10%。</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1.一般公共服务支出(类)政协事务(款)事业运行(项):支出决算数为1.51万元，比上年决算增加1.51万元，增长100.00%</w:t>
      </w:r>
      <w:r>
        <w:rPr>
          <w:rFonts w:ascii="仿宋_GB2312" w:eastAsia="仿宋_GB2312"/>
          <w:sz w:val="32"/>
          <w:szCs w:val="32"/>
        </w:rPr>
        <w:t>,</w:t>
      </w:r>
      <w:r>
        <w:rPr>
          <w:rFonts w:hint="eastAsia" w:ascii="仿宋_GB2312" w:eastAsia="仿宋_GB2312"/>
          <w:sz w:val="32"/>
          <w:szCs w:val="32"/>
        </w:rPr>
        <w:t>主要原因是:办公用品购买。</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2.一般公共服务支出(类)政府办公厅（室）及相关机构事务(款)事业运行(项):支出决算数为28.37万元，比上年决算增加13.57万元，增长91.69%</w:t>
      </w:r>
      <w:r>
        <w:rPr>
          <w:rFonts w:ascii="仿宋_GB2312" w:eastAsia="仿宋_GB2312"/>
          <w:sz w:val="32"/>
          <w:szCs w:val="32"/>
        </w:rPr>
        <w:t>,</w:t>
      </w:r>
      <w:r>
        <w:rPr>
          <w:rFonts w:hint="eastAsia" w:ascii="仿宋_GB2312" w:eastAsia="仿宋_GB2312"/>
          <w:sz w:val="32"/>
          <w:szCs w:val="32"/>
        </w:rPr>
        <w:t>主要原因是:2022年工资调整。</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3.社会保障和就业支出(类)行政事业单位养老支出(款)机关事业单位基本养老保险缴费支出(项):支出决算数为3.60万元，比上年决算增加3.60万元，增长100.00%</w:t>
      </w:r>
      <w:r>
        <w:rPr>
          <w:rFonts w:ascii="仿宋_GB2312" w:eastAsia="仿宋_GB2312"/>
          <w:sz w:val="32"/>
          <w:szCs w:val="32"/>
        </w:rPr>
        <w:t>,</w:t>
      </w:r>
      <w:r>
        <w:rPr>
          <w:rFonts w:hint="eastAsia" w:ascii="仿宋_GB2312" w:eastAsia="仿宋_GB2312"/>
          <w:sz w:val="32"/>
          <w:szCs w:val="32"/>
        </w:rPr>
        <w:t>主要原因是:社保基数发生变化。</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4.社会保障和就业支出(类)行政事业单位养老支出(款)机关事业单位职业年金缴费支出(项):支出决算数为1.73万元，比上年决算增加1.73万元，增长100.00%</w:t>
      </w:r>
      <w:r>
        <w:rPr>
          <w:rFonts w:ascii="仿宋_GB2312" w:eastAsia="仿宋_GB2312"/>
          <w:sz w:val="32"/>
          <w:szCs w:val="32"/>
        </w:rPr>
        <w:t>,</w:t>
      </w:r>
      <w:r>
        <w:rPr>
          <w:rFonts w:hint="eastAsia" w:ascii="仿宋_GB2312" w:eastAsia="仿宋_GB2312"/>
          <w:sz w:val="32"/>
          <w:szCs w:val="32"/>
        </w:rPr>
        <w:t>主要原因是:社保基数发生变化。</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5.住房保障支出(类)住房改革支出(款)住房公积金(项):支出决算数为2.70万元，比上年决算增加2.70万元，增长100.00%</w:t>
      </w:r>
      <w:r>
        <w:rPr>
          <w:rFonts w:ascii="仿宋_GB2312" w:eastAsia="仿宋_GB2312"/>
          <w:sz w:val="32"/>
          <w:szCs w:val="32"/>
        </w:rPr>
        <w:t>,</w:t>
      </w:r>
      <w:r>
        <w:rPr>
          <w:rFonts w:hint="eastAsia" w:ascii="仿宋_GB2312" w:eastAsia="仿宋_GB2312"/>
          <w:sz w:val="32"/>
          <w:szCs w:val="32"/>
        </w:rPr>
        <w:t>主要原因是:社保基数发生变化。</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37.90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36.53</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公用经费1.37万元，包括：工会经费、福利费。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2022年度新疆维吾尔自治区政务资源综合服务中心（事业单位）公用经费1.37万元，比上年增加1.37万元，增长100.00%，主要原因是：办公用品购买。</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2,669.64</w:t>
      </w:r>
      <w:r>
        <w:rPr>
          <w:rFonts w:hint="eastAsia" w:ascii="仿宋_GB2312" w:eastAsia="仿宋_GB2312"/>
          <w:sz w:val="32"/>
          <w:szCs w:val="32"/>
        </w:rPr>
        <w:t>万元，其中：政府采购货物支出</w:t>
      </w:r>
      <w:r>
        <w:rPr>
          <w:rFonts w:ascii="仿宋_GB2312" w:eastAsia="仿宋_GB2312"/>
          <w:sz w:val="32"/>
          <w:szCs w:val="32"/>
        </w:rPr>
        <w:t>0.17</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2,669.47</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1,536.18</w:t>
      </w:r>
      <w:r>
        <w:rPr>
          <w:rFonts w:hint="eastAsia" w:ascii="仿宋_GB2312" w:eastAsia="仿宋_GB2312"/>
          <w:sz w:val="32"/>
          <w:szCs w:val="32"/>
        </w:rPr>
        <w:t>万元，占政府采购支出总额的</w:t>
      </w:r>
      <w:r>
        <w:rPr>
          <w:rFonts w:ascii="仿宋_GB2312" w:eastAsia="仿宋_GB2312"/>
          <w:sz w:val="32"/>
          <w:szCs w:val="32"/>
        </w:rPr>
        <w:t>57.54</w:t>
      </w:r>
      <w:r>
        <w:rPr>
          <w:rFonts w:hint="eastAsia" w:ascii="仿宋_GB2312" w:eastAsia="仿宋_GB2312"/>
          <w:sz w:val="32"/>
          <w:szCs w:val="32"/>
        </w:rPr>
        <w:t>%，其中：授予小微企业合同金额</w:t>
      </w:r>
      <w:r>
        <w:rPr>
          <w:rFonts w:ascii="仿宋_GB2312" w:eastAsia="仿宋_GB2312"/>
          <w:sz w:val="32"/>
          <w:szCs w:val="32"/>
        </w:rPr>
        <w:t>1,479.81</w:t>
      </w:r>
      <w:r>
        <w:rPr>
          <w:rFonts w:hint="eastAsia" w:ascii="仿宋_GB2312" w:eastAsia="仿宋_GB2312"/>
          <w:sz w:val="32"/>
          <w:szCs w:val="32"/>
        </w:rPr>
        <w:t>万元，占政府采购支出总额的</w:t>
      </w:r>
      <w:r>
        <w:rPr>
          <w:rFonts w:ascii="仿宋_GB2312" w:eastAsia="仿宋_GB2312"/>
          <w:sz w:val="32"/>
          <w:szCs w:val="32"/>
        </w:rPr>
        <w:t>55.43</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截止2022年12月31日，固定资产原值267.92万元，房屋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hint="eastAsia"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w:t>
      </w:r>
      <w:bookmarkStart w:id="50" w:name="_GoBack"/>
      <w:bookmarkEnd w:id="50"/>
      <w:r>
        <w:rPr>
          <w:rFonts w:hint="eastAsia" w:ascii="仿宋_GB2312" w:eastAsia="仿宋_GB2312"/>
          <w:sz w:val="32"/>
          <w:szCs w:val="32"/>
        </w:rPr>
        <w:t>预算绩效评价项目</w:t>
      </w:r>
      <w:r>
        <w:rPr>
          <w:rFonts w:ascii="仿宋_GB2312" w:eastAsia="仿宋_GB2312"/>
          <w:sz w:val="32"/>
          <w:szCs w:val="32"/>
        </w:rPr>
        <w:t>2</w:t>
      </w:r>
      <w:r>
        <w:rPr>
          <w:rFonts w:hint="eastAsia" w:ascii="仿宋_GB2312" w:eastAsia="仿宋_GB2312"/>
          <w:sz w:val="32"/>
          <w:szCs w:val="32"/>
        </w:rPr>
        <w:t>个，全年预算数</w:t>
      </w:r>
      <w:r>
        <w:rPr>
          <w:rFonts w:hint="eastAsia" w:ascii="仿宋_GB2312" w:eastAsia="仿宋_GB2312"/>
          <w:sz w:val="32"/>
          <w:szCs w:val="32"/>
          <w:lang w:val="en-US" w:eastAsia="zh-CN"/>
        </w:rPr>
        <w:t>4340.86</w:t>
      </w:r>
      <w:r>
        <w:rPr>
          <w:rFonts w:hint="eastAsia" w:ascii="仿宋_GB2312" w:eastAsia="仿宋_GB2312"/>
          <w:sz w:val="32"/>
          <w:szCs w:val="32"/>
        </w:rPr>
        <w:t>万元，全年执行数</w:t>
      </w:r>
      <w:r>
        <w:rPr>
          <w:rFonts w:hint="eastAsia" w:ascii="仿宋_GB2312" w:eastAsia="仿宋_GB2312"/>
          <w:color w:val="auto"/>
          <w:sz w:val="32"/>
          <w:szCs w:val="32"/>
          <w:lang w:val="en-US" w:eastAsia="zh-CN"/>
        </w:rPr>
        <w:t>4340.86</w:t>
      </w:r>
      <w:r>
        <w:rPr>
          <w:rFonts w:hint="eastAsia" w:ascii="仿宋_GB2312" w:eastAsia="仿宋_GB2312"/>
          <w:sz w:val="32"/>
          <w:szCs w:val="32"/>
        </w:rPr>
        <w:t>万元。</w:t>
      </w:r>
    </w:p>
    <w:p>
      <w:pPr>
        <w:numPr>
          <w:ilvl w:val="0"/>
          <w:numId w:val="1"/>
        </w:numPr>
        <w:ind w:firstLine="640" w:firstLineChars="200"/>
        <w:rPr>
          <w:rFonts w:hint="eastAsia" w:ascii="仿宋_GB2312" w:eastAsia="仿宋_GB2312"/>
          <w:sz w:val="32"/>
          <w:szCs w:val="32"/>
        </w:rPr>
      </w:pPr>
      <w:r>
        <w:rPr>
          <w:rFonts w:hint="eastAsia" w:ascii="仿宋_GB2312" w:eastAsia="仿宋_GB2312"/>
          <w:sz w:val="32"/>
          <w:szCs w:val="32"/>
        </w:rPr>
        <w:t>预算绩效管理取得的成效</w:t>
      </w:r>
    </w:p>
    <w:p>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我中心资金运行维护决策正确，资金管理规范，项目管理到位，政策执行有力，有效发挥了财政资金的使用效率。</w:t>
      </w:r>
    </w:p>
    <w:p>
      <w:pPr>
        <w:ind w:firstLine="640" w:firstLineChars="200"/>
        <w:rPr>
          <w:rFonts w:hint="eastAsia" w:ascii="仿宋_GB2312" w:eastAsia="仿宋_GB2312"/>
          <w:sz w:val="32"/>
          <w:szCs w:val="32"/>
          <w:lang w:eastAsia="zh-CN"/>
        </w:rPr>
      </w:pPr>
      <w:r>
        <w:rPr>
          <w:rFonts w:ascii="仿宋_GB2312" w:eastAsia="仿宋_GB2312"/>
          <w:sz w:val="32"/>
          <w:szCs w:val="32"/>
        </w:rPr>
        <w:t>1.预算执行方面：支出总额控制在预算总额以内；2022年度“三公”经费财政拨款支出预算为0万元，支出决算为0万元，完成预算的0%；</w:t>
      </w:r>
    </w:p>
    <w:p>
      <w:pPr>
        <w:ind w:firstLine="640" w:firstLineChars="200"/>
        <w:rPr>
          <w:rFonts w:hint="eastAsia" w:ascii="仿宋_GB2312" w:eastAsia="仿宋_GB2312"/>
          <w:sz w:val="32"/>
          <w:szCs w:val="32"/>
          <w:lang w:eastAsia="zh-CN"/>
        </w:rPr>
      </w:pPr>
      <w:r>
        <w:rPr>
          <w:rFonts w:ascii="仿宋_GB2312" w:eastAsia="仿宋_GB2312"/>
          <w:sz w:val="32"/>
          <w:szCs w:val="32"/>
        </w:rPr>
        <w:t>2.预算管理方面：制度执行总体较为有效。</w:t>
      </w:r>
    </w:p>
    <w:p>
      <w:pPr>
        <w:ind w:firstLine="640" w:firstLineChars="200"/>
        <w:rPr>
          <w:rFonts w:hint="eastAsia" w:ascii="仿宋_GB2312" w:eastAsia="仿宋_GB2312"/>
          <w:sz w:val="32"/>
          <w:szCs w:val="32"/>
          <w:lang w:eastAsia="zh-CN"/>
        </w:rPr>
      </w:pPr>
      <w:r>
        <w:rPr>
          <w:rFonts w:ascii="仿宋_GB2312" w:eastAsia="仿宋_GB2312"/>
          <w:sz w:val="32"/>
          <w:szCs w:val="32"/>
        </w:rPr>
        <w:t>3.资产管理方面：建立了相应的资产管理制度，定期进行了盘点和资产清理，总体执行较好。</w:t>
      </w:r>
    </w:p>
    <w:p>
      <w:pPr>
        <w:ind w:firstLine="640" w:firstLineChars="200"/>
        <w:rPr>
          <w:rFonts w:hint="eastAsia" w:ascii="仿宋_GB2312" w:eastAsia="仿宋_GB2312"/>
          <w:sz w:val="32"/>
          <w:szCs w:val="32"/>
          <w:lang w:eastAsia="zh-CN"/>
        </w:rPr>
      </w:pPr>
      <w:r>
        <w:rPr>
          <w:rFonts w:ascii="仿宋_GB2312" w:eastAsia="仿宋_GB2312"/>
          <w:sz w:val="32"/>
          <w:szCs w:val="32"/>
        </w:rPr>
        <w:t>我中心各项工作实施及资金使用情况均在绩效目标设定时限完成。预算安排的基本支出保障了正常的工作运转，预算安排的项目支出非常必要，在执行上是严格遵守各项财经纪律，在项目资金的使用上也是放的心的，严守法律底线、纪律底线、道德底线。</w:t>
      </w:r>
    </w:p>
    <w:p>
      <w:pPr>
        <w:ind w:firstLine="640" w:firstLineChars="200"/>
        <w:rPr>
          <w:rFonts w:hint="eastAsia" w:ascii="仿宋_GB2312" w:eastAsia="仿宋_GB2312"/>
          <w:sz w:val="32"/>
          <w:szCs w:val="32"/>
        </w:rPr>
      </w:pPr>
      <w:r>
        <w:rPr>
          <w:rFonts w:ascii="仿宋_GB2312" w:eastAsia="仿宋_GB2312"/>
          <w:sz w:val="32"/>
          <w:szCs w:val="32"/>
        </w:rPr>
        <w:t>我中心基本经费中人员经费支出、公用支出严格执行政府的各项制度，保障全中心工作正常运转，三公经费的使用严格控制在预算申报的范围内；在项目经费的使用上，在保证各项任务顺利完成的同时，严格落实厉行节约的原则</w:t>
      </w:r>
      <w:r>
        <w:rPr>
          <w:rFonts w:hint="eastAsia" w:ascii="仿宋_GB2312" w:eastAsia="仿宋_GB2312"/>
          <w:sz w:val="32"/>
          <w:szCs w:val="32"/>
        </w:rPr>
        <w:t>。</w:t>
      </w:r>
    </w:p>
    <w:p>
      <w:pPr>
        <w:numPr>
          <w:ilvl w:val="0"/>
          <w:numId w:val="1"/>
        </w:numPr>
        <w:ind w:left="0" w:leftChars="0" w:firstLine="640" w:firstLineChars="200"/>
        <w:rPr>
          <w:rFonts w:hint="eastAsia" w:ascii="仿宋_GB2312" w:eastAsia="仿宋_GB2312"/>
          <w:sz w:val="32"/>
          <w:szCs w:val="32"/>
        </w:rPr>
      </w:pPr>
      <w:r>
        <w:rPr>
          <w:rFonts w:hint="eastAsia" w:ascii="仿宋_GB2312" w:eastAsia="仿宋_GB2312"/>
          <w:sz w:val="32"/>
          <w:szCs w:val="32"/>
        </w:rPr>
        <w:t>发现的问题及原因</w:t>
      </w:r>
    </w:p>
    <w:p>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一是项目细化管理工作不足。运转类项目包含小类项目较多，在执行过程中，资金使用范围并不能把握到位，造成项目遇到各种不确定因素，专项资金无法发挥最大使用效益。</w:t>
      </w:r>
    </w:p>
    <w:p>
      <w:pPr>
        <w:ind w:firstLine="640" w:firstLineChars="200"/>
        <w:rPr>
          <w:rFonts w:hint="eastAsia" w:ascii="仿宋_GB2312" w:eastAsia="仿宋_GB2312"/>
          <w:sz w:val="32"/>
          <w:szCs w:val="32"/>
          <w:lang w:eastAsia="zh-CN"/>
        </w:rPr>
      </w:pPr>
      <w:r>
        <w:rPr>
          <w:rFonts w:ascii="仿宋_GB2312" w:eastAsia="仿宋_GB2312"/>
          <w:sz w:val="32"/>
          <w:szCs w:val="32"/>
        </w:rPr>
        <w:t>二是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pPr>
        <w:ind w:firstLine="640" w:firstLineChars="200"/>
        <w:rPr>
          <w:rFonts w:hint="eastAsia" w:ascii="仿宋_GB2312" w:eastAsia="仿宋_GB2312"/>
          <w:sz w:val="32"/>
          <w:szCs w:val="32"/>
        </w:rPr>
      </w:pPr>
      <w:r>
        <w:rPr>
          <w:rFonts w:ascii="仿宋_GB2312" w:eastAsia="仿宋_GB2312"/>
          <w:sz w:val="32"/>
          <w:szCs w:val="32"/>
        </w:rPr>
        <w:t>三是固定资产管理水平有待提高，固定资产台账未及时与账面资产金额进行核对，固定资产账与实物清点不够及时，导致资产台账与账面资产金额存在差异,固定资产管理还需进一步加强</w:t>
      </w:r>
      <w:r>
        <w:rPr>
          <w:rFonts w:hint="eastAsia" w:ascii="仿宋_GB2312" w:eastAsia="仿宋_GB2312"/>
          <w:sz w:val="32"/>
          <w:szCs w:val="32"/>
        </w:rPr>
        <w:t>。</w:t>
      </w:r>
    </w:p>
    <w:p>
      <w:pPr>
        <w:numPr>
          <w:ilvl w:val="0"/>
          <w:numId w:val="1"/>
        </w:numPr>
        <w:ind w:left="0" w:leftChars="0" w:firstLine="640" w:firstLineChars="200"/>
        <w:rPr>
          <w:rFonts w:hint="eastAsia" w:ascii="仿宋_GB2312" w:eastAsia="仿宋_GB2312"/>
          <w:sz w:val="32"/>
          <w:szCs w:val="32"/>
        </w:rPr>
      </w:pPr>
      <w:r>
        <w:rPr>
          <w:rFonts w:hint="eastAsia" w:ascii="仿宋_GB2312" w:eastAsia="仿宋_GB2312"/>
          <w:sz w:val="32"/>
          <w:szCs w:val="32"/>
        </w:rPr>
        <w:t>下一步改进措施</w:t>
      </w:r>
    </w:p>
    <w:p>
      <w:pPr>
        <w:numPr>
          <w:ilvl w:val="0"/>
          <w:numId w:val="0"/>
        </w:num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rPr>
        <w:t>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ascii="仿宋_GB2312" w:eastAsia="仿宋_GB2312"/>
          <w:sz w:val="32"/>
          <w:szCs w:val="32"/>
        </w:rPr>
        <w:t>完善管理制度,进-步加强资产管理。严格按照《自治区政务服务和公共资源交易中心固定资产管理暂行办法》规定，加强固定资产管理,及时登记、更新台账，加强资产卡片管理,对各类实物资产进行全面盘点,确保账账、账实相符。</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ascii="仿宋_GB2312" w:eastAsia="仿宋_GB2312"/>
          <w:sz w:val="32"/>
          <w:szCs w:val="32"/>
        </w:rPr>
        <w:t>加强学习。进一步明确如何参照考核体系，科学合理设定绩效目标，充分发挥预算绩效管理工作效用。</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ascii="仿宋_GB2312" w:eastAsia="仿宋_GB2312"/>
          <w:sz w:val="32"/>
          <w:szCs w:val="32"/>
        </w:rPr>
        <w:t>财务上，会计核算要更加详细，为本单位各项工作的开展、总结、评估提供有效数据资料支撑,为各项业务工作更好的开展提供帮助。</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ascii="仿宋_GB2312" w:eastAsia="仿宋_GB2312"/>
          <w:sz w:val="32"/>
          <w:szCs w:val="32"/>
        </w:rPr>
        <w:t>从源头上强化对专项资金预算管理。实行专项资金预算管理，结合单位实际, 按轻重缓急统筹安排编制预算,提高预算编制科学性和合理性,优化资金结构。</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6.</w:t>
      </w:r>
      <w:r>
        <w:rPr>
          <w:rFonts w:ascii="仿宋_GB2312" w:eastAsia="仿宋_GB2312"/>
          <w:sz w:val="32"/>
          <w:szCs w:val="32"/>
        </w:rPr>
        <w:t>按时间进度分解资金使用计划。专项资金的使用，要事前做计划，事中进行控制，事后总结提高。合理安排资金使用,充分体现资金投向的目标和效益。</w:t>
      </w:r>
    </w:p>
    <w:p>
      <w:pPr>
        <w:ind w:firstLine="640" w:firstLineChars="200"/>
        <w:rPr>
          <w:rFonts w:ascii="仿宋_GB2312" w:eastAsia="仿宋_GB2312"/>
          <w:sz w:val="32"/>
          <w:szCs w:val="32"/>
        </w:rPr>
      </w:pPr>
      <w:r>
        <w:rPr>
          <w:rFonts w:hint="eastAsia" w:ascii="仿宋_GB2312" w:eastAsia="仿宋_GB2312"/>
          <w:sz w:val="32"/>
          <w:szCs w:val="32"/>
          <w:lang w:val="en-US" w:eastAsia="zh-CN"/>
        </w:rPr>
        <w:t>7.</w:t>
      </w:r>
      <w:r>
        <w:rPr>
          <w:rFonts w:ascii="仿宋_GB2312" w:eastAsia="仿宋_GB2312"/>
          <w:sz w:val="32"/>
          <w:szCs w:val="32"/>
        </w:rPr>
        <w:t>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w:t>
      </w:r>
      <w:r>
        <w:rPr>
          <w:rFonts w:hint="eastAsia" w:ascii="仿宋_GB2312" w:eastAsia="仿宋_GB2312"/>
          <w:sz w:val="32"/>
          <w:szCs w:val="32"/>
        </w:rPr>
        <w:t>。具体项目自评情况见附件。</w:t>
      </w:r>
    </w:p>
    <w:p>
      <w:pPr>
        <w:widowControl/>
        <w:jc w:val="left"/>
        <w:rPr>
          <w:rFonts w:ascii="黑体" w:hAnsi="黑体" w:eastAsia="黑体"/>
          <w:sz w:val="32"/>
          <w:szCs w:val="32"/>
        </w:rPr>
      </w:pPr>
      <w:bookmarkStart w:id="30" w:name="_Toc24143"/>
      <w:bookmarkStart w:id="31" w:name="_Toc3250"/>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30364"/>
      <w:bookmarkStart w:id="37" w:name="_Toc24532"/>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68E982"/>
    <w:multiLevelType w:val="singleLevel"/>
    <w:tmpl w:val="6768E9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ZDM1MWZkNDJjMjBhMzFkZGY3NTNlOTkyNmNjMTIifQ=="/>
  </w:docVars>
  <w:rsids>
    <w:rsidRoot w:val="00312C27"/>
    <w:rsid w:val="00012F23"/>
    <w:rsid w:val="00021E76"/>
    <w:rsid w:val="000229DC"/>
    <w:rsid w:val="0002765D"/>
    <w:rsid w:val="0003297B"/>
    <w:rsid w:val="000379B3"/>
    <w:rsid w:val="0005626F"/>
    <w:rsid w:val="000724E7"/>
    <w:rsid w:val="0008509D"/>
    <w:rsid w:val="00090520"/>
    <w:rsid w:val="000A0B31"/>
    <w:rsid w:val="000D2344"/>
    <w:rsid w:val="000D267C"/>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A22AE4"/>
    <w:rsid w:val="00A347A6"/>
    <w:rsid w:val="00A3556A"/>
    <w:rsid w:val="00A636E4"/>
    <w:rsid w:val="00A87103"/>
    <w:rsid w:val="00AB776D"/>
    <w:rsid w:val="00B03B50"/>
    <w:rsid w:val="00B33BF0"/>
    <w:rsid w:val="00B35A42"/>
    <w:rsid w:val="00B4517D"/>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2285"/>
    <w:rsid w:val="00C77B7E"/>
    <w:rsid w:val="00C90C12"/>
    <w:rsid w:val="00CA6634"/>
    <w:rsid w:val="00CB036E"/>
    <w:rsid w:val="00CD3225"/>
    <w:rsid w:val="00CF5B51"/>
    <w:rsid w:val="00CF7E34"/>
    <w:rsid w:val="00D020FB"/>
    <w:rsid w:val="00D41FF8"/>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95054"/>
    <w:rsid w:val="00FF6A37"/>
    <w:rsid w:val="034D4FEF"/>
    <w:rsid w:val="043E5B56"/>
    <w:rsid w:val="06792773"/>
    <w:rsid w:val="0A7B4867"/>
    <w:rsid w:val="0AE83DE6"/>
    <w:rsid w:val="0B1E5E06"/>
    <w:rsid w:val="0B8C3ECC"/>
    <w:rsid w:val="0BBA0A81"/>
    <w:rsid w:val="0C7227A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976406"/>
    <w:rsid w:val="31C63837"/>
    <w:rsid w:val="35FB19DD"/>
    <w:rsid w:val="37507F24"/>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E9E7F91"/>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A3A8B-760C-44B8-A160-C6454B62F5EE}">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16</Pages>
  <Words>5985</Words>
  <Characters>6653</Characters>
  <Lines>79</Lines>
  <Paragraphs>22</Paragraphs>
  <TotalTime>15</TotalTime>
  <ScaleCrop>false</ScaleCrop>
  <LinksUpToDate>false</LinksUpToDate>
  <CharactersWithSpaces>6670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李琳</cp:lastModifiedBy>
  <dcterms:modified xsi:type="dcterms:W3CDTF">2024-01-09T08:06:56Z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DF02C268430C44C8BB0B4A62E10D6DD1_13</vt:lpwstr>
  </property>
</Properties>
</file>