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48" w:name="_GoBack"/>
      <w:bookmarkEnd w:id="48"/>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新疆维吾尔自治区政务服务和公共资源交易中心2022年度部门决算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hint="eastAsia" w:ascii="仿宋_GB2312" w:eastAsia="仿宋_GB2312"/>
          <w:sz w:val="32"/>
          <w:szCs w:val="32"/>
          <w:lang w:eastAsia="zh-CN"/>
        </w:rPr>
      </w:pPr>
      <w:bookmarkStart w:id="4" w:name="_Toc31238"/>
      <w:bookmarkStart w:id="5" w:name="_Toc2151"/>
      <w:r>
        <w:rPr>
          <w:rFonts w:ascii="仿宋_GB2312" w:eastAsia="仿宋_GB2312"/>
          <w:sz w:val="32"/>
          <w:szCs w:val="32"/>
        </w:rPr>
        <w:t>　　自治区政务服务和公共资源交易中心（以下简称政务中心）于2020年7月成立，属自治区人民政府直属正厅级事业单位，归口政府办公厅管理。根据《关于印发&lt;新疆维吾尔自治区政务服务和公共资源交易中心职能配置、内设机构和人员编制规定&gt;的通知》（新党编委〔2020〕7号）精神，由原自治区政府采购中心、医疗机构药品采购中心，国土资源交易中心、建设工程交易中心、新疆产权交易中心等5个厅局的5个事业单位职能、人员划入组建。事业编制101名，经费实行全额预算管理。核定5名厅级领导职数，共设13个内设机构、1个下属县（处）级公益二类事业单位。2021年1月完成人员转隶等工作，目前，实有在编干部77人；政务服务大厅进驻26个区直部门，进驻人员77名。</w:t>
      </w:r>
    </w:p>
    <w:p>
      <w:pPr>
        <w:rPr>
          <w:rFonts w:hint="eastAsia" w:ascii="仿宋_GB2312" w:eastAsia="仿宋_GB2312"/>
          <w:sz w:val="32"/>
          <w:szCs w:val="32"/>
          <w:lang w:eastAsia="zh-CN"/>
        </w:rPr>
      </w:pPr>
      <w:r>
        <w:rPr>
          <w:rFonts w:ascii="仿宋_GB2312" w:eastAsia="仿宋_GB2312"/>
          <w:sz w:val="32"/>
          <w:szCs w:val="32"/>
        </w:rPr>
        <w:t>　　主要职能：</w:t>
      </w:r>
    </w:p>
    <w:p>
      <w:pPr>
        <w:rPr>
          <w:rFonts w:ascii="黑体" w:hAnsi="黑体" w:eastAsia="黑体" w:cs="宋体"/>
          <w:bCs/>
          <w:kern w:val="0"/>
          <w:sz w:val="32"/>
          <w:szCs w:val="32"/>
        </w:rPr>
      </w:pPr>
      <w:r>
        <w:rPr>
          <w:rFonts w:ascii="仿宋_GB2312" w:eastAsia="仿宋_GB2312"/>
          <w:sz w:val="32"/>
          <w:szCs w:val="32"/>
        </w:rPr>
        <w:t>　　一是，贯彻执行党和国家政务服务和公共资源交易的法律法规和方针政策；二是，承担自治区政务服务规范化、标准化工作，以及各地、各部门政务服务能力评估工作，为“放管服”改革落地提供支撑；三是，负责对自治区本级工程建设项目招标投标、矿业权出让、国有产权交易、政府采购、及以市场化方式配置的自然资源、资产股权、环境权等各类公共资源交易，提供见证、场所、信息、档案、专家抽取等管理和服务；四是，承担全区政务数据汇聚整合、共享开放、应用融合等数据管理工作。五是，对地（州、市）、县（市、区）政务服务和公共资源交易中心工作进行业务指导；六是，承担全区一体化在线政务服务平台和公共资源交易平台建设、运行维护等工作，承担“12345”在线服务平台相关工作；七是，承担自治区政务服务大厅和公共资源交易大厅的日常管理及规范化建设工作；八是，完成自治区党委、自治区人民政府交办的其他事项</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新疆维吾尔自治区政务服务和公共资源交易中心</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80</w:t>
      </w:r>
      <w:r>
        <w:rPr>
          <w:rFonts w:hint="eastAsia" w:ascii="仿宋_GB2312" w:eastAsia="仿宋_GB2312"/>
          <w:sz w:val="32"/>
          <w:szCs w:val="32"/>
        </w:rPr>
        <w:t>人，其中：在职人员</w:t>
      </w:r>
      <w:r>
        <w:rPr>
          <w:rFonts w:ascii="仿宋_GB2312" w:eastAsia="仿宋_GB2312"/>
          <w:sz w:val="32"/>
          <w:szCs w:val="32"/>
        </w:rPr>
        <w:t>80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从部门决算单位构成看，新疆维吾尔自治区政务服务和公共资源交易中心部门决算包括：新疆维吾尔自治区政务服务和公共资源交易中心部门本级</w:t>
      </w:r>
      <w:r>
        <w:rPr>
          <w:rFonts w:hint="eastAsia" w:ascii="仿宋_GB2312" w:eastAsia="仿宋_GB2312"/>
          <w:sz w:val="32"/>
          <w:szCs w:val="32"/>
          <w:lang w:val="en-US" w:eastAsia="zh-CN"/>
        </w:rPr>
        <w:t>单位</w:t>
      </w:r>
      <w:r>
        <w:rPr>
          <w:rFonts w:hint="eastAsia" w:ascii="仿宋_GB2312" w:eastAsia="仿宋_GB2312"/>
          <w:sz w:val="32"/>
          <w:szCs w:val="32"/>
        </w:rPr>
        <w:t>决算及所属</w:t>
      </w:r>
      <w:r>
        <w:rPr>
          <w:rFonts w:hint="eastAsia" w:ascii="仿宋_GB2312" w:eastAsia="仿宋_GB2312"/>
          <w:sz w:val="32"/>
          <w:szCs w:val="32"/>
          <w:lang w:val="en-US" w:eastAsia="zh-CN"/>
        </w:rPr>
        <w:t>二级单位</w:t>
      </w:r>
      <w:r>
        <w:rPr>
          <w:rFonts w:hint="eastAsia" w:ascii="仿宋_GB2312" w:eastAsia="仿宋_GB2312"/>
          <w:sz w:val="32"/>
          <w:szCs w:val="32"/>
        </w:rPr>
        <w:t>新疆维吾尔自治区政务资源综合服务中心单位决算。</w:t>
      </w:r>
    </w:p>
    <w:p>
      <w:pPr>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新疆维吾尔自治区政务服务和公共资源交易中心</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w:t>
      </w:r>
      <w:r>
        <w:rPr>
          <w:rFonts w:hint="eastAsia" w:ascii="仿宋_GB2312" w:eastAsia="仿宋_GB2312"/>
          <w:sz w:val="32"/>
          <w:szCs w:val="32"/>
        </w:rPr>
        <w:t>1</w:t>
      </w:r>
      <w:r>
        <w:rPr>
          <w:rFonts w:hint="eastAsia" w:ascii="仿宋_GB2312" w:eastAsia="仿宋_GB2312"/>
          <w:sz w:val="32"/>
          <w:szCs w:val="32"/>
          <w:lang w:val="en-US" w:eastAsia="zh-CN"/>
        </w:rPr>
        <w:t>3</w:t>
      </w:r>
      <w:r>
        <w:rPr>
          <w:rFonts w:hint="eastAsia" w:ascii="仿宋_GB2312" w:hAnsi="黑体" w:eastAsia="仿宋_GB2312" w:cs="宋体"/>
          <w:bCs/>
          <w:kern w:val="0"/>
          <w:sz w:val="32"/>
          <w:szCs w:val="32"/>
        </w:rPr>
        <w:t>个处室，分别是：综合部、政务服务部、公共资源交易部、</w:t>
      </w:r>
      <w:r>
        <w:rPr>
          <w:rFonts w:hint="eastAsia" w:ascii="仿宋_GB2312" w:hAnsi="黑体" w:eastAsia="仿宋_GB2312" w:cs="宋体"/>
          <w:bCs/>
          <w:kern w:val="0"/>
          <w:sz w:val="32"/>
          <w:szCs w:val="32"/>
          <w:lang w:val="en-US" w:eastAsia="zh-CN"/>
        </w:rPr>
        <w:t>大厅管理部、</w:t>
      </w:r>
      <w:r>
        <w:rPr>
          <w:rFonts w:hint="eastAsia" w:ascii="仿宋_GB2312" w:hAnsi="黑体" w:eastAsia="仿宋_GB2312" w:cs="宋体"/>
          <w:bCs/>
          <w:kern w:val="0"/>
          <w:sz w:val="32"/>
          <w:szCs w:val="32"/>
        </w:rPr>
        <w:t>大数据部、工程交易部、自然资源交易部、政府采购部、医疗药品采购部、建设管理部、现场监督部、财务审计部、组织人事部（机关党委）</w:t>
      </w:r>
      <w:r>
        <w:rPr>
          <w:rFonts w:hint="eastAsia" w:ascii="仿宋_GB2312" w:hAnsi="宋体" w:eastAsia="仿宋_GB2312" w:cs="宋体"/>
          <w:kern w:val="0"/>
          <w:sz w:val="32"/>
          <w:szCs w:val="32"/>
        </w:rPr>
        <w:t>。</w:t>
      </w:r>
    </w:p>
    <w:p>
      <w:pPr>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新疆维吾尔自治区政务资源综合服务中心</w:t>
      </w:r>
      <w:r>
        <w:rPr>
          <w:rFonts w:hint="eastAsia" w:ascii="仿宋_GB2312" w:hAnsi="黑体" w:eastAsia="仿宋_GB2312" w:cs="宋体"/>
          <w:bCs/>
          <w:kern w:val="0"/>
          <w:sz w:val="32"/>
          <w:szCs w:val="32"/>
        </w:rPr>
        <w:t>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个处室，分别是：综合部</w:t>
      </w:r>
      <w:r>
        <w:rPr>
          <w:rFonts w:hint="eastAsia" w:ascii="仿宋_GB2312" w:hAnsi="宋体" w:eastAsia="仿宋_GB2312" w:cs="宋体"/>
          <w:kern w:val="0"/>
          <w:sz w:val="32"/>
          <w:szCs w:val="32"/>
        </w:rPr>
        <w:t>。</w:t>
      </w:r>
    </w:p>
    <w:p>
      <w:pPr>
        <w:ind w:firstLine="640" w:firstLineChars="200"/>
        <w:rPr>
          <w:rFonts w:ascii="仿宋_GB2312" w:eastAsia="仿宋_GB2312"/>
          <w:spacing w:val="-6"/>
          <w:sz w:val="32"/>
          <w:szCs w:val="32"/>
        </w:rPr>
      </w:pPr>
      <w:r>
        <w:rPr>
          <w:rFonts w:hint="eastAsia" w:ascii="仿宋_GB2312" w:eastAsia="仿宋_GB2312"/>
          <w:sz w:val="32"/>
          <w:szCs w:val="32"/>
        </w:rPr>
        <w:t>纳入新疆维吾尔自治区政务服务和公共资源交易中心</w:t>
      </w:r>
      <w:r>
        <w:rPr>
          <w:rFonts w:ascii="仿宋_GB2312" w:eastAsia="仿宋_GB2312"/>
          <w:sz w:val="32"/>
          <w:szCs w:val="32"/>
        </w:rPr>
        <w:t>2022</w:t>
      </w:r>
      <w:r>
        <w:rPr>
          <w:rFonts w:hint="eastAsia" w:ascii="仿宋_GB2312" w:eastAsia="仿宋_GB2312"/>
          <w:sz w:val="32"/>
          <w:szCs w:val="32"/>
        </w:rPr>
        <w:t>年度部门决算编制范围的单位名单见下表：</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4935"/>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08" w:type="dxa"/>
            <w:vAlign w:val="center"/>
          </w:tcPr>
          <w:p>
            <w:pPr>
              <w:jc w:val="center"/>
              <w:rPr>
                <w:rFonts w:ascii="仿宋_GB2312" w:eastAsia="仿宋_GB2312"/>
                <w:sz w:val="32"/>
                <w:szCs w:val="32"/>
              </w:rPr>
            </w:pPr>
            <w:r>
              <w:rPr>
                <w:rFonts w:hint="eastAsia" w:ascii="仿宋_GB2312" w:eastAsia="仿宋_GB2312"/>
                <w:sz w:val="32"/>
                <w:szCs w:val="32"/>
              </w:rPr>
              <w:t>序号</w:t>
            </w:r>
          </w:p>
        </w:tc>
        <w:tc>
          <w:tcPr>
            <w:tcW w:w="4935" w:type="dxa"/>
            <w:vAlign w:val="center"/>
          </w:tcPr>
          <w:p>
            <w:pPr>
              <w:jc w:val="center"/>
              <w:rPr>
                <w:rFonts w:ascii="仿宋_GB2312" w:eastAsia="仿宋_GB2312"/>
                <w:sz w:val="32"/>
                <w:szCs w:val="32"/>
              </w:rPr>
            </w:pPr>
            <w:r>
              <w:rPr>
                <w:rFonts w:hint="eastAsia" w:ascii="仿宋_GB2312" w:eastAsia="仿宋_GB2312"/>
                <w:sz w:val="32"/>
                <w:szCs w:val="32"/>
              </w:rPr>
              <w:t>单位名称</w:t>
            </w:r>
          </w:p>
        </w:tc>
        <w:tc>
          <w:tcPr>
            <w:tcW w:w="2276" w:type="dxa"/>
            <w:vAlign w:val="center"/>
          </w:tcPr>
          <w:p>
            <w:pPr>
              <w:jc w:val="center"/>
              <w:rPr>
                <w:rFonts w:ascii="仿宋_GB2312" w:eastAsia="仿宋_GB2312"/>
                <w:sz w:val="32"/>
                <w:szCs w:val="32"/>
              </w:rPr>
            </w:pPr>
            <w:r>
              <w:rPr>
                <w:rFonts w:hint="eastAsia" w:ascii="仿宋_GB2312" w:eastAsia="仿宋_GB2312"/>
                <w:sz w:val="32"/>
                <w:szCs w:val="32"/>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exact"/>
          <w:jc w:val="center"/>
        </w:trPr>
        <w:tc>
          <w:tcPr>
            <w:tcW w:w="1308" w:type="dxa"/>
            <w:vAlign w:val="center"/>
          </w:tcPr>
          <w:p>
            <w:pPr>
              <w:jc w:val="center"/>
              <w:rPr>
                <w:rFonts w:ascii="仿宋_GB2312" w:eastAsia="仿宋_GB2312"/>
                <w:sz w:val="32"/>
                <w:szCs w:val="32"/>
              </w:rPr>
            </w:pPr>
            <w:r>
              <w:rPr>
                <w:rFonts w:ascii="Arial" w:hAnsi="Arial" w:cs="Arial"/>
                <w:color w:val="4D4D4D"/>
                <w:shd w:val="clear" w:color="auto" w:fill="FFFFFF"/>
              </w:rPr>
              <w:t>1</w:t>
            </w:r>
          </w:p>
        </w:tc>
        <w:tc>
          <w:tcPr>
            <w:tcW w:w="4935" w:type="dxa"/>
            <w:vAlign w:val="center"/>
          </w:tcPr>
          <w:p>
            <w:pPr>
              <w:jc w:val="center"/>
              <w:rPr>
                <w:rFonts w:ascii="仿宋_GB2312" w:eastAsia="仿宋_GB2312"/>
                <w:sz w:val="32"/>
                <w:szCs w:val="32"/>
              </w:rPr>
            </w:pPr>
            <w:r>
              <w:rPr>
                <w:rFonts w:ascii="Arial" w:hAnsi="Arial" w:cs="Arial"/>
                <w:color w:val="4D4D4D"/>
                <w:shd w:val="clear" w:color="auto" w:fill="FFFFFF"/>
              </w:rPr>
              <w:t>新疆维吾尔自治区政务</w:t>
            </w:r>
            <w:r>
              <w:rPr>
                <w:rFonts w:hint="eastAsia" w:ascii="Arial" w:hAnsi="Arial" w:cs="Arial"/>
                <w:color w:val="4D4D4D"/>
                <w:shd w:val="clear" w:color="auto" w:fill="FFFFFF"/>
                <w:lang w:val="en-US" w:eastAsia="zh-CN"/>
              </w:rPr>
              <w:t>服务和公共资源交易</w:t>
            </w:r>
            <w:r>
              <w:rPr>
                <w:rFonts w:ascii="Arial" w:hAnsi="Arial" w:cs="Arial"/>
                <w:color w:val="4D4D4D"/>
                <w:shd w:val="clear" w:color="auto" w:fill="FFFFFF"/>
              </w:rPr>
              <w:t>中心</w:t>
            </w:r>
          </w:p>
        </w:tc>
        <w:tc>
          <w:tcPr>
            <w:tcW w:w="2276"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exact"/>
          <w:jc w:val="center"/>
        </w:trPr>
        <w:tc>
          <w:tcPr>
            <w:tcW w:w="1308" w:type="dxa"/>
            <w:vAlign w:val="center"/>
          </w:tcPr>
          <w:p>
            <w:pPr>
              <w:jc w:val="center"/>
              <w:rPr>
                <w:rFonts w:hint="eastAsia" w:ascii="Arial" w:hAnsi="Arial" w:eastAsia="宋体" w:cs="Arial"/>
                <w:color w:val="4D4D4D"/>
                <w:shd w:val="clear" w:color="auto" w:fill="FFFFFF"/>
                <w:lang w:val="en-US" w:eastAsia="zh-CN"/>
              </w:rPr>
            </w:pPr>
            <w:r>
              <w:rPr>
                <w:rFonts w:hint="eastAsia" w:ascii="Arial" w:hAnsi="Arial" w:cs="Arial"/>
                <w:color w:val="4D4D4D"/>
                <w:shd w:val="clear" w:color="auto" w:fill="FFFFFF"/>
                <w:lang w:val="en-US" w:eastAsia="zh-CN"/>
              </w:rPr>
              <w:t>2</w:t>
            </w:r>
          </w:p>
        </w:tc>
        <w:tc>
          <w:tcPr>
            <w:tcW w:w="4935" w:type="dxa"/>
            <w:vAlign w:val="center"/>
          </w:tcPr>
          <w:p>
            <w:pPr>
              <w:jc w:val="center"/>
              <w:rPr>
                <w:rFonts w:ascii="Arial" w:hAnsi="Arial" w:cs="Arial"/>
                <w:color w:val="4D4D4D"/>
                <w:shd w:val="clear" w:color="auto" w:fill="FFFFFF"/>
              </w:rPr>
            </w:pPr>
            <w:r>
              <w:rPr>
                <w:rFonts w:hint="eastAsia" w:ascii="Arial" w:hAnsi="Arial" w:cs="Arial"/>
                <w:color w:val="4D4D4D"/>
                <w:shd w:val="clear" w:color="auto" w:fill="FFFFFF"/>
              </w:rPr>
              <w:t>新疆维吾尔自治区政务资源综合服务中心</w:t>
            </w:r>
          </w:p>
        </w:tc>
        <w:tc>
          <w:tcPr>
            <w:tcW w:w="2276" w:type="dxa"/>
            <w:vAlign w:val="center"/>
          </w:tcPr>
          <w:p>
            <w:pPr>
              <w:jc w:val="center"/>
              <w:rPr>
                <w:rFonts w:ascii="Arial" w:hAnsi="Arial" w:cs="Arial"/>
                <w:color w:val="4D4D4D"/>
                <w:shd w:val="clear" w:color="auto" w:fill="FFFFFF"/>
              </w:rPr>
            </w:pPr>
            <w:r>
              <w:rPr>
                <w:rFonts w:ascii="Arial" w:hAnsi="Arial" w:cs="Arial"/>
                <w:color w:val="4D4D4D"/>
                <w:shd w:val="clear" w:color="auto" w:fill="FFFFFF"/>
              </w:rPr>
              <w:t>财政补助事业单位</w:t>
            </w:r>
          </w:p>
        </w:tc>
      </w:tr>
    </w:tbl>
    <w:p>
      <w:pPr>
        <w:ind w:firstLine="640" w:firstLineChars="200"/>
        <w:rPr>
          <w:rFonts w:ascii="仿宋_GB2312" w:hAnsi="宋体" w:eastAsia="仿宋_GB2312" w:cs="宋体"/>
          <w:kern w:val="0"/>
          <w:sz w:val="32"/>
          <w:szCs w:val="32"/>
        </w:rPr>
      </w:pP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年度收入总计10,449.42万元，其中：本年收入合计</w:t>
      </w:r>
      <w:r>
        <w:rPr>
          <w:rFonts w:ascii="仿宋_GB2312" w:eastAsia="仿宋_GB2312"/>
          <w:sz w:val="32"/>
          <w:szCs w:val="32"/>
        </w:rPr>
        <w:t>7,658.36</w:t>
      </w:r>
      <w:r>
        <w:rPr>
          <w:rFonts w:hint="eastAsia" w:ascii="仿宋_GB2312" w:eastAsia="仿宋_GB2312"/>
          <w:sz w:val="32"/>
          <w:szCs w:val="32"/>
        </w:rPr>
        <w:t>万元，使用非财政拨款结余2,791.05万元，年初结转和结余0.00万元。收入总计与上年相比，增加3,165.66万元，</w:t>
      </w:r>
      <w:r>
        <w:rPr>
          <w:rFonts w:ascii="仿宋_GB2312" w:eastAsia="仿宋_GB2312"/>
          <w:sz w:val="32"/>
          <w:szCs w:val="32"/>
        </w:rPr>
        <w:t>增长43.46</w:t>
      </w:r>
      <w:r>
        <w:rPr>
          <w:rFonts w:hint="eastAsia" w:ascii="仿宋_GB2312" w:eastAsia="仿宋_GB2312"/>
          <w:sz w:val="32"/>
          <w:szCs w:val="32"/>
        </w:rPr>
        <w:t>%，主要原因是：包括2021年结余、2022年追加预算。</w:t>
      </w:r>
    </w:p>
    <w:p>
      <w:pPr>
        <w:ind w:firstLine="640" w:firstLineChars="200"/>
        <w:rPr>
          <w:rFonts w:ascii="仿宋_GB2312" w:eastAsia="仿宋_GB2312"/>
          <w:sz w:val="32"/>
          <w:szCs w:val="32"/>
        </w:rPr>
      </w:pPr>
      <w:r>
        <w:rPr>
          <w:rFonts w:hint="eastAsia" w:ascii="仿宋_GB2312" w:eastAsia="仿宋_GB2312"/>
          <w:sz w:val="32"/>
          <w:szCs w:val="32"/>
        </w:rPr>
        <w:t>本年支出总计10,449.42万元，其中：本年支出合计</w:t>
      </w:r>
      <w:r>
        <w:rPr>
          <w:rFonts w:ascii="仿宋_GB2312" w:eastAsia="仿宋_GB2312"/>
          <w:sz w:val="32"/>
          <w:szCs w:val="32"/>
        </w:rPr>
        <w:t>10,296.81</w:t>
      </w:r>
      <w:r>
        <w:rPr>
          <w:rFonts w:hint="eastAsia" w:ascii="仿宋_GB2312" w:eastAsia="仿宋_GB2312"/>
          <w:sz w:val="32"/>
          <w:szCs w:val="32"/>
        </w:rPr>
        <w:t>万元，结余分配152.61万元，年末结转和结余0.00万元。支出总计与上年相比，</w:t>
      </w:r>
      <w:r>
        <w:rPr>
          <w:rFonts w:ascii="仿宋_GB2312" w:eastAsia="仿宋_GB2312"/>
          <w:sz w:val="32"/>
          <w:szCs w:val="32"/>
        </w:rPr>
        <w:t>增加3,165.66</w:t>
      </w:r>
      <w:r>
        <w:rPr>
          <w:rFonts w:hint="eastAsia" w:ascii="仿宋_GB2312" w:eastAsia="仿宋_GB2312"/>
          <w:sz w:val="32"/>
          <w:szCs w:val="32"/>
        </w:rPr>
        <w:t>万元，</w:t>
      </w:r>
      <w:r>
        <w:rPr>
          <w:rFonts w:ascii="仿宋_GB2312" w:eastAsia="仿宋_GB2312"/>
          <w:sz w:val="32"/>
          <w:szCs w:val="32"/>
        </w:rPr>
        <w:t>增长43.46</w:t>
      </w:r>
      <w:r>
        <w:rPr>
          <w:rFonts w:hint="eastAsia" w:ascii="仿宋_GB2312" w:eastAsia="仿宋_GB2312"/>
          <w:sz w:val="32"/>
          <w:szCs w:val="32"/>
        </w:rPr>
        <w:t>%，主要原因是：21年项目22年支付。</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7,658.36</w:t>
      </w:r>
      <w:r>
        <w:rPr>
          <w:rFonts w:hint="eastAsia" w:ascii="仿宋_GB2312" w:eastAsia="仿宋_GB2312"/>
          <w:sz w:val="32"/>
          <w:szCs w:val="32"/>
        </w:rPr>
        <w:t>万元，其中：财政拨款收入</w:t>
      </w:r>
      <w:r>
        <w:rPr>
          <w:rFonts w:ascii="仿宋_GB2312" w:eastAsia="仿宋_GB2312"/>
          <w:sz w:val="32"/>
          <w:szCs w:val="32"/>
        </w:rPr>
        <w:t>2,129.11</w:t>
      </w:r>
      <w:r>
        <w:rPr>
          <w:rFonts w:hint="eastAsia" w:ascii="仿宋_GB2312" w:eastAsia="仿宋_GB2312"/>
          <w:sz w:val="32"/>
          <w:szCs w:val="32"/>
        </w:rPr>
        <w:t>万元，占27.80%；上级补助收入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5,304.68</w:t>
      </w:r>
      <w:r>
        <w:rPr>
          <w:rFonts w:hint="eastAsia" w:ascii="仿宋_GB2312" w:eastAsia="仿宋_GB2312"/>
          <w:sz w:val="32"/>
          <w:szCs w:val="32"/>
        </w:rPr>
        <w:t>万元，占69.27%；附属单位上缴收入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224.58</w:t>
      </w:r>
      <w:r>
        <w:rPr>
          <w:rFonts w:hint="eastAsia" w:ascii="仿宋_GB2312" w:eastAsia="仿宋_GB2312"/>
          <w:sz w:val="32"/>
          <w:szCs w:val="32"/>
        </w:rPr>
        <w:t>万元，占2.93%。</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年度本年支出10,296.81万元，其中：基本支出</w:t>
      </w:r>
      <w:r>
        <w:rPr>
          <w:rFonts w:ascii="仿宋_GB2312" w:eastAsia="仿宋_GB2312"/>
          <w:sz w:val="32"/>
          <w:szCs w:val="32"/>
        </w:rPr>
        <w:t>4,314.23</w:t>
      </w:r>
      <w:r>
        <w:rPr>
          <w:rFonts w:hint="eastAsia" w:ascii="仿宋_GB2312" w:eastAsia="仿宋_GB2312"/>
          <w:sz w:val="32"/>
          <w:szCs w:val="32"/>
        </w:rPr>
        <w:t>万元，占41.90%；项目支出</w:t>
      </w:r>
      <w:r>
        <w:rPr>
          <w:rFonts w:ascii="仿宋_GB2312" w:eastAsia="仿宋_GB2312"/>
          <w:sz w:val="32"/>
          <w:szCs w:val="32"/>
        </w:rPr>
        <w:t>677.90</w:t>
      </w:r>
      <w:r>
        <w:rPr>
          <w:rFonts w:hint="eastAsia" w:ascii="仿宋_GB2312" w:eastAsia="仿宋_GB2312"/>
          <w:sz w:val="32"/>
          <w:szCs w:val="32"/>
        </w:rPr>
        <w:t>万元，占6.58%；上缴上级支出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5,304.68</w:t>
      </w:r>
      <w:r>
        <w:rPr>
          <w:rFonts w:hint="eastAsia" w:ascii="仿宋_GB2312" w:eastAsia="仿宋_GB2312"/>
          <w:sz w:val="32"/>
          <w:szCs w:val="32"/>
        </w:rPr>
        <w:t>万元，占</w:t>
      </w:r>
      <w:r>
        <w:rPr>
          <w:rFonts w:ascii="仿宋_GB2312" w:eastAsia="仿宋_GB2312"/>
          <w:sz w:val="32"/>
          <w:szCs w:val="32"/>
        </w:rPr>
        <w:t>51.52</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color w:val="auto"/>
          <w:sz w:val="32"/>
          <w:szCs w:val="32"/>
        </w:rPr>
      </w:pPr>
      <w:r>
        <w:rPr>
          <w:rFonts w:ascii="仿宋_GB2312" w:eastAsia="仿宋_GB2312"/>
          <w:sz w:val="32"/>
          <w:szCs w:val="32"/>
        </w:rPr>
        <w:t>2022</w:t>
      </w:r>
      <w:r>
        <w:rPr>
          <w:rFonts w:hint="eastAsia" w:ascii="仿宋_GB2312" w:eastAsia="仿宋_GB2312"/>
          <w:sz w:val="32"/>
          <w:szCs w:val="32"/>
        </w:rPr>
        <w:t>年度财政拨款收入总计2,129.11万元，其中：年初财政拨款结转和结余0.00万元，财政拨款本年收入2,129.11万元。财政拨款收入总计与上年相比，增加1,483.49万元，增长229.78%，主要原因是：</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年为追加预算。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财政拨款支出总计2,129.11万元，其中：年末财政拨款结转和结余0.00万元，财政拨款本年支出2,129.11万元。财政拨款支出总计与上年相比，增加1,483.49万元，增长229.78%，主要原因是：</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年为追加预算。</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与年初预算数相比情况：财政拨款收入总计年初预算数</w:t>
      </w:r>
      <w:r>
        <w:rPr>
          <w:rFonts w:ascii="仿宋_GB2312" w:eastAsia="仿宋_GB2312"/>
          <w:color w:val="auto"/>
          <w:sz w:val="32"/>
          <w:szCs w:val="32"/>
        </w:rPr>
        <w:t>1,140.05</w:t>
      </w:r>
      <w:r>
        <w:rPr>
          <w:rFonts w:hint="eastAsia" w:ascii="仿宋_GB2312" w:eastAsia="仿宋_GB2312"/>
          <w:color w:val="auto"/>
          <w:sz w:val="32"/>
          <w:szCs w:val="32"/>
        </w:rPr>
        <w:t>万元，决算数</w:t>
      </w:r>
      <w:r>
        <w:rPr>
          <w:rFonts w:ascii="仿宋_GB2312" w:eastAsia="仿宋_GB2312"/>
          <w:color w:val="auto"/>
          <w:sz w:val="32"/>
          <w:szCs w:val="32"/>
        </w:rPr>
        <w:t>2,129.11</w:t>
      </w:r>
      <w:r>
        <w:rPr>
          <w:rFonts w:hint="eastAsia" w:ascii="仿宋_GB2312" w:eastAsia="仿宋_GB2312"/>
          <w:color w:val="auto"/>
          <w:sz w:val="32"/>
          <w:szCs w:val="32"/>
        </w:rPr>
        <w:t>万元，预决算差异率</w:t>
      </w:r>
      <w:r>
        <w:rPr>
          <w:rFonts w:ascii="仿宋_GB2312" w:eastAsia="仿宋_GB2312"/>
          <w:color w:val="auto"/>
          <w:sz w:val="32"/>
          <w:szCs w:val="32"/>
        </w:rPr>
        <w:t>86.76</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年为追加预算。财政拨款支出总计年初预算数</w:t>
      </w:r>
      <w:r>
        <w:rPr>
          <w:rFonts w:ascii="仿宋_GB2312" w:eastAsia="仿宋_GB2312"/>
          <w:color w:val="auto"/>
          <w:sz w:val="32"/>
          <w:szCs w:val="32"/>
        </w:rPr>
        <w:t>1,140.05</w:t>
      </w:r>
      <w:r>
        <w:rPr>
          <w:rFonts w:hint="eastAsia" w:ascii="仿宋_GB2312" w:eastAsia="仿宋_GB2312"/>
          <w:color w:val="auto"/>
          <w:sz w:val="32"/>
          <w:szCs w:val="32"/>
        </w:rPr>
        <w:t>万元，决算数</w:t>
      </w:r>
      <w:r>
        <w:rPr>
          <w:rFonts w:ascii="仿宋_GB2312" w:eastAsia="仿宋_GB2312"/>
          <w:color w:val="auto"/>
          <w:sz w:val="32"/>
          <w:szCs w:val="32"/>
        </w:rPr>
        <w:t>2,129.11</w:t>
      </w:r>
      <w:r>
        <w:rPr>
          <w:rFonts w:hint="eastAsia" w:ascii="仿宋_GB2312" w:eastAsia="仿宋_GB2312"/>
          <w:color w:val="auto"/>
          <w:sz w:val="32"/>
          <w:szCs w:val="32"/>
        </w:rPr>
        <w:t>万元，预决算差异率86.76%，主要原因是</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年为追加预算。</w:t>
      </w:r>
    </w:p>
    <w:p>
      <w:pPr>
        <w:ind w:firstLine="640" w:firstLineChars="200"/>
        <w:outlineLvl w:val="1"/>
        <w:rPr>
          <w:rFonts w:ascii="黑体" w:hAnsi="黑体" w:eastAsia="黑体" w:cs="宋体"/>
          <w:bCs/>
          <w:color w:val="auto"/>
          <w:kern w:val="0"/>
          <w:sz w:val="32"/>
          <w:szCs w:val="32"/>
        </w:rPr>
      </w:pPr>
      <w:bookmarkStart w:id="16" w:name="_Toc20360"/>
      <w:bookmarkStart w:id="17" w:name="_Toc13833"/>
      <w:r>
        <w:rPr>
          <w:rFonts w:hint="eastAsia" w:ascii="黑体" w:hAnsi="黑体" w:eastAsia="黑体" w:cs="宋体"/>
          <w:bCs/>
          <w:color w:val="auto"/>
          <w:kern w:val="0"/>
          <w:sz w:val="32"/>
          <w:szCs w:val="32"/>
        </w:rPr>
        <w:t>五、一般公共预算财政拨款支出决算情况说明</w:t>
      </w:r>
      <w:bookmarkEnd w:id="16"/>
      <w:bookmarkEnd w:id="17"/>
    </w:p>
    <w:p>
      <w:pPr>
        <w:ind w:firstLine="640" w:firstLineChars="200"/>
        <w:outlineLvl w:val="2"/>
        <w:rPr>
          <w:rFonts w:ascii="黑体" w:hAnsi="黑体" w:eastAsia="黑体"/>
          <w:color w:val="auto"/>
          <w:sz w:val="32"/>
          <w:szCs w:val="32"/>
        </w:rPr>
      </w:pPr>
      <w:r>
        <w:rPr>
          <w:rFonts w:hint="eastAsia" w:ascii="黑体" w:hAnsi="黑体" w:eastAsia="黑体"/>
          <w:color w:val="auto"/>
          <w:sz w:val="32"/>
          <w:szCs w:val="32"/>
        </w:rPr>
        <w:t>（一）一般公共预算财政拨款支出决算总体情况</w:t>
      </w:r>
    </w:p>
    <w:p>
      <w:pPr>
        <w:spacing w:line="600" w:lineRule="exact"/>
        <w:ind w:firstLine="640" w:firstLineChars="20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年度一般公共预算财政拨款支出2,129.11万元，占本年支出合计的</w:t>
      </w:r>
      <w:r>
        <w:rPr>
          <w:rFonts w:ascii="仿宋_GB2312" w:eastAsia="仿宋_GB2312"/>
          <w:color w:val="auto"/>
          <w:sz w:val="32"/>
          <w:szCs w:val="32"/>
        </w:rPr>
        <w:t>20.68</w:t>
      </w:r>
      <w:r>
        <w:rPr>
          <w:rFonts w:hint="eastAsia" w:ascii="仿宋_GB2312" w:eastAsia="仿宋_GB2312"/>
          <w:color w:val="auto"/>
          <w:sz w:val="32"/>
          <w:szCs w:val="32"/>
        </w:rPr>
        <w:t>%，与上年相比，</w:t>
      </w:r>
      <w:r>
        <w:rPr>
          <w:rFonts w:ascii="仿宋_GB2312" w:eastAsia="仿宋_GB2312"/>
          <w:color w:val="auto"/>
          <w:sz w:val="32"/>
          <w:szCs w:val="32"/>
        </w:rPr>
        <w:t>增加1,483.49</w:t>
      </w:r>
      <w:r>
        <w:rPr>
          <w:rFonts w:hint="eastAsia" w:ascii="仿宋_GB2312" w:eastAsia="仿宋_GB2312"/>
          <w:color w:val="auto"/>
          <w:sz w:val="32"/>
          <w:szCs w:val="32"/>
        </w:rPr>
        <w:t>万元，</w:t>
      </w:r>
      <w:r>
        <w:rPr>
          <w:rFonts w:ascii="仿宋_GB2312" w:eastAsia="仿宋_GB2312"/>
          <w:color w:val="auto"/>
          <w:sz w:val="32"/>
          <w:szCs w:val="32"/>
        </w:rPr>
        <w:t>增长229.78</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2"/>
        <w:rPr>
          <w:rFonts w:ascii="黑体" w:hAnsi="黑体" w:eastAsia="黑体"/>
          <w:color w:val="auto"/>
          <w:sz w:val="32"/>
          <w:szCs w:val="32"/>
        </w:rPr>
      </w:pPr>
      <w:r>
        <w:rPr>
          <w:rFonts w:hint="eastAsia" w:ascii="黑体" w:hAnsi="黑体" w:eastAsia="黑体"/>
          <w:color w:val="auto"/>
          <w:sz w:val="32"/>
          <w:szCs w:val="32"/>
        </w:rPr>
        <w:t>（二）一般公共预算财政拨款支出决算结构情况</w:t>
      </w:r>
    </w:p>
    <w:p>
      <w:pPr>
        <w:ind w:firstLine="640" w:firstLineChars="200"/>
        <w:rPr>
          <w:rFonts w:ascii="黑体" w:hAnsi="黑体" w:eastAsia="黑体"/>
          <w:color w:val="auto"/>
          <w:sz w:val="32"/>
          <w:szCs w:val="32"/>
        </w:rPr>
      </w:pPr>
      <w:r>
        <w:rPr>
          <w:rFonts w:hint="eastAsia" w:ascii="仿宋_GB2312" w:eastAsia="仿宋_GB2312"/>
          <w:color w:val="auto"/>
          <w:sz w:val="32"/>
          <w:szCs w:val="32"/>
        </w:rPr>
        <w:t>1.一般公共服务支出(类)1,837.55万元,占86.31%。</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2.社会保障和就业支出(类)109.91万元,占5.16%。</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3.卫生健康支出(类)100.50万元,占4.72%。</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4.住房保障支出(类)81.14万元,占3.81%。</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1.一般公共服务支出(类)政协事务(款)事业运行(项):支出决算数为1.51万元，比上年决算增加1.51万元，增长100.00%</w:t>
      </w:r>
      <w:r>
        <w:rPr>
          <w:rFonts w:ascii="仿宋_GB2312" w:eastAsia="仿宋_GB2312"/>
          <w:sz w:val="32"/>
          <w:szCs w:val="32"/>
        </w:rPr>
        <w:t>,</w:t>
      </w:r>
      <w:r>
        <w:rPr>
          <w:rFonts w:hint="eastAsia" w:ascii="仿宋_GB2312" w:eastAsia="仿宋_GB2312"/>
          <w:sz w:val="32"/>
          <w:szCs w:val="32"/>
        </w:rPr>
        <w:t>主要原因是:办公用品购置。</w:t>
      </w:r>
    </w:p>
    <w:p>
      <w:pPr>
        <w:ind w:firstLine="640" w:firstLineChars="200"/>
        <w:outlineLvl w:val="1"/>
        <w:rPr>
          <w:rFonts w:hint="eastAsia" w:ascii="仿宋_GB2312" w:eastAsia="仿宋_GB2312"/>
          <w:color w:val="auto"/>
          <w:sz w:val="32"/>
          <w:szCs w:val="32"/>
          <w:lang w:val="en-US" w:eastAsia="zh-CN"/>
        </w:rPr>
      </w:pPr>
      <w:bookmarkStart w:id="18" w:name="_Toc30870"/>
      <w:bookmarkStart w:id="19" w:name="_Toc11146"/>
      <w:r>
        <w:rPr>
          <w:rFonts w:hint="eastAsia" w:ascii="仿宋_GB2312" w:eastAsia="仿宋_GB2312"/>
          <w:sz w:val="32"/>
          <w:szCs w:val="32"/>
        </w:rPr>
        <w:t>2.一般公共服务支出(类)政府办公厅（室）及相关机构事务(款)事业运行(项):支出决算数为1,158.14万元，比上年决算增加1,048.76万元，增长958.82%</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p>
    <w:p>
      <w:pPr>
        <w:ind w:firstLine="640" w:firstLineChars="200"/>
        <w:outlineLvl w:val="1"/>
        <w:rPr>
          <w:rFonts w:ascii="黑体" w:hAnsi="黑体" w:eastAsia="黑体" w:cs="宋体"/>
          <w:bCs/>
          <w:color w:val="auto"/>
          <w:kern w:val="0"/>
          <w:sz w:val="32"/>
          <w:szCs w:val="32"/>
        </w:rPr>
      </w:pPr>
      <w:r>
        <w:rPr>
          <w:rFonts w:hint="eastAsia" w:ascii="仿宋_GB2312" w:eastAsia="仿宋_GB2312"/>
          <w:sz w:val="32"/>
          <w:szCs w:val="32"/>
        </w:rPr>
        <w:t>3.一般公共服务支出(类)政府办公厅（室）及相关机构事务(款)其他政府办公厅（室）及相关机构事务支出(项):支出决算数为677.90万元，比上年决算增加477.90万元，增长238.95%</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4.社会保障和就业支出(类)行政事业单位养老支出(款)机关事业单位基本养老保险缴费支出(项):支出决算数为108.18万元，比上年决算增加108.18万元，增长100.00%</w:t>
      </w:r>
      <w:r>
        <w:rPr>
          <w:rFonts w:ascii="仿宋_GB2312" w:eastAsia="仿宋_GB2312"/>
          <w:sz w:val="32"/>
          <w:szCs w:val="32"/>
        </w:rPr>
        <w:t>,</w:t>
      </w:r>
      <w:r>
        <w:rPr>
          <w:rFonts w:hint="eastAsia" w:ascii="仿宋_GB2312" w:eastAsia="仿宋_GB2312"/>
          <w:sz w:val="32"/>
          <w:szCs w:val="32"/>
        </w:rPr>
        <w:t>主要原因是:人员陆续到位，缴纳基数增加。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5.社会保障和就业支出(类)行政事业单位养老支出(款)机关事业单位职业年金缴费支出(项):支出决算数为1.73万元，比上年决算增加1.73万元，增长100.00%</w:t>
      </w:r>
      <w:r>
        <w:rPr>
          <w:rFonts w:ascii="仿宋_GB2312" w:eastAsia="仿宋_GB2312"/>
          <w:sz w:val="32"/>
          <w:szCs w:val="32"/>
        </w:rPr>
        <w:t>,</w:t>
      </w:r>
      <w:r>
        <w:rPr>
          <w:rFonts w:hint="eastAsia" w:ascii="仿宋_GB2312" w:eastAsia="仿宋_GB2312"/>
          <w:sz w:val="32"/>
          <w:szCs w:val="32"/>
        </w:rPr>
        <w:t>主要原因是:人员陆续到位，缴纳基数增加。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6.卫生健康支出(类)行政事业单位医疗(款)事业单位医疗(项):支出决算数为56.53万元，比上年决算增加56.53万元，增长100.00%</w:t>
      </w:r>
      <w:r>
        <w:rPr>
          <w:rFonts w:ascii="仿宋_GB2312" w:eastAsia="仿宋_GB2312"/>
          <w:sz w:val="32"/>
          <w:szCs w:val="32"/>
        </w:rPr>
        <w:t>,</w:t>
      </w:r>
      <w:r>
        <w:rPr>
          <w:rFonts w:hint="eastAsia" w:ascii="仿宋_GB2312" w:eastAsia="仿宋_GB2312"/>
          <w:sz w:val="32"/>
          <w:szCs w:val="32"/>
        </w:rPr>
        <w:t>主要原因是:人员陆续到位，缴纳基数增加。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7.卫生健康支出(类)行政事业单位医疗(款)公务员医疗补助(项):支出决算数为43.97万元，比上年决算增加43.97万元，增长100.00%</w:t>
      </w:r>
      <w:r>
        <w:rPr>
          <w:rFonts w:ascii="仿宋_GB2312" w:eastAsia="仿宋_GB2312"/>
          <w:sz w:val="32"/>
          <w:szCs w:val="32"/>
        </w:rPr>
        <w:t>,</w:t>
      </w:r>
      <w:r>
        <w:rPr>
          <w:rFonts w:hint="eastAsia" w:ascii="仿宋_GB2312" w:eastAsia="仿宋_GB2312"/>
          <w:sz w:val="32"/>
          <w:szCs w:val="32"/>
        </w:rPr>
        <w:t>主要原因是:人员陆续到位，缴纳基数增加。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8.住房保障支出(类)住房改革支出(款)住房公积金(项):支出决算数为81.14万元，比上年决算增加81.14万元，增长100.00%</w:t>
      </w:r>
      <w:r>
        <w:rPr>
          <w:rFonts w:ascii="仿宋_GB2312" w:eastAsia="仿宋_GB2312"/>
          <w:sz w:val="32"/>
          <w:szCs w:val="32"/>
        </w:rPr>
        <w:t>,</w:t>
      </w:r>
      <w:r>
        <w:rPr>
          <w:rFonts w:hint="eastAsia" w:ascii="仿宋_GB2312" w:eastAsia="仿宋_GB2312"/>
          <w:sz w:val="32"/>
          <w:szCs w:val="32"/>
        </w:rPr>
        <w:t>主要原因是:人员陆续到位，缴纳基数增加。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9.一般公共服务支出(类)政府办公厅（室）及相关机构事务(款)一般行政管理事务(项):支出决算数为0.00万元，比上年决算减少336.24万元，下降100.00%</w:t>
      </w:r>
      <w:r>
        <w:rPr>
          <w:rFonts w:ascii="仿宋_GB2312" w:eastAsia="仿宋_GB2312"/>
          <w:sz w:val="32"/>
          <w:szCs w:val="32"/>
        </w:rPr>
        <w:t>,</w:t>
      </w:r>
      <w:r>
        <w:rPr>
          <w:rFonts w:hint="eastAsia" w:ascii="仿宋_GB2312" w:eastAsia="仿宋_GB2312"/>
          <w:sz w:val="32"/>
          <w:szCs w:val="32"/>
        </w:rPr>
        <w:t>主要原因是:转隶人员工资支出。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1,451.21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1,319.36</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万元，包括：基本工资、津贴补贴、奖金、绩效工资、机关事业单位基本养老保险缴费、职业年金缴费、职工基本医疗保险缴费、公务员医疗补助缴费、其他社会保障缴费、住房公积金、其他工资福利支出。</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公用经费131.84万元，包括：办公费、邮电费、物业管理费、差旅费、维修（护）费、培训费、劳务费、委托业务费、工会经费、福利费、其他交通费用、其他商品和服务支出。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2022年度新疆维吾尔自治区政务服务和公共资源交易中心（行政单位和参照公务员法管理事业单位）机关运行经费支出</w:t>
      </w:r>
      <w:r>
        <w:rPr>
          <w:rFonts w:ascii="仿宋_GB2312" w:eastAsia="仿宋_GB2312"/>
          <w:sz w:val="32"/>
          <w:szCs w:val="32"/>
        </w:rPr>
        <w:t>0.00</w:t>
      </w:r>
      <w:r>
        <w:rPr>
          <w:rFonts w:hint="eastAsia" w:ascii="仿宋_GB2312" w:eastAsia="仿宋_GB2312"/>
          <w:sz w:val="32"/>
          <w:szCs w:val="32"/>
        </w:rPr>
        <w:t>万元，比上年增加0.00万元，增长0.00%，主要原因是：无该项经费支出。</w:t>
      </w:r>
    </w:p>
    <w:p>
      <w:pPr>
        <w:ind w:firstLine="640" w:firstLineChars="200"/>
        <w:rPr>
          <w:rFonts w:ascii="仿宋_GB2312" w:eastAsia="仿宋_GB2312"/>
          <w:color w:val="auto"/>
          <w:sz w:val="32"/>
          <w:szCs w:val="32"/>
        </w:rPr>
      </w:pPr>
      <w:r>
        <w:rPr>
          <w:rFonts w:hint="eastAsia" w:ascii="仿宋_GB2312" w:eastAsia="仿宋_GB2312"/>
          <w:sz w:val="32"/>
          <w:szCs w:val="32"/>
        </w:rPr>
        <w:t>2022年度新疆维吾尔自治区政务服务和公共资源交易中心（事业单位）公用经费</w:t>
      </w:r>
      <w:r>
        <w:rPr>
          <w:rFonts w:ascii="仿宋_GB2312" w:eastAsia="仿宋_GB2312"/>
          <w:sz w:val="32"/>
          <w:szCs w:val="32"/>
        </w:rPr>
        <w:t>131.84</w:t>
      </w:r>
      <w:r>
        <w:rPr>
          <w:rFonts w:hint="eastAsia" w:ascii="仿宋_GB2312" w:eastAsia="仿宋_GB2312"/>
          <w:sz w:val="32"/>
          <w:szCs w:val="32"/>
        </w:rPr>
        <w:t>万元，比上年</w:t>
      </w:r>
      <w:r>
        <w:rPr>
          <w:rFonts w:ascii="仿宋_GB2312" w:eastAsia="仿宋_GB2312"/>
          <w:sz w:val="32"/>
          <w:szCs w:val="32"/>
        </w:rPr>
        <w:t>增加83.53</w:t>
      </w:r>
      <w:r>
        <w:rPr>
          <w:rFonts w:hint="eastAsia" w:ascii="仿宋_GB2312" w:eastAsia="仿宋_GB2312"/>
          <w:sz w:val="32"/>
          <w:szCs w:val="32"/>
        </w:rPr>
        <w:t>万元，</w:t>
      </w:r>
      <w:r>
        <w:rPr>
          <w:rFonts w:ascii="仿宋_GB2312" w:eastAsia="仿宋_GB2312"/>
          <w:sz w:val="32"/>
          <w:szCs w:val="32"/>
        </w:rPr>
        <w:t>增长172.90</w:t>
      </w:r>
      <w:r>
        <w:rPr>
          <w:rFonts w:hint="eastAsia" w:ascii="仿宋_GB2312" w:eastAsia="仿宋_GB2312"/>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人员增加，公用经费增加。</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3,348.91</w:t>
      </w:r>
      <w:r>
        <w:rPr>
          <w:rFonts w:hint="eastAsia" w:ascii="仿宋_GB2312" w:eastAsia="仿宋_GB2312"/>
          <w:sz w:val="32"/>
          <w:szCs w:val="32"/>
        </w:rPr>
        <w:t>万元，其中：政府采购货物支出</w:t>
      </w:r>
      <w:r>
        <w:rPr>
          <w:rFonts w:ascii="仿宋_GB2312" w:eastAsia="仿宋_GB2312"/>
          <w:sz w:val="32"/>
          <w:szCs w:val="32"/>
        </w:rPr>
        <w:t>1.55</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3,347.36</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1,537.56</w:t>
      </w:r>
      <w:r>
        <w:rPr>
          <w:rFonts w:hint="eastAsia" w:ascii="仿宋_GB2312" w:eastAsia="仿宋_GB2312"/>
          <w:sz w:val="32"/>
          <w:szCs w:val="32"/>
        </w:rPr>
        <w:t>万元，占政府采购支出总额的</w:t>
      </w:r>
      <w:r>
        <w:rPr>
          <w:rFonts w:ascii="仿宋_GB2312" w:eastAsia="仿宋_GB2312"/>
          <w:sz w:val="32"/>
          <w:szCs w:val="32"/>
        </w:rPr>
        <w:t>45.91</w:t>
      </w:r>
      <w:r>
        <w:rPr>
          <w:rFonts w:hint="eastAsia" w:ascii="仿宋_GB2312" w:eastAsia="仿宋_GB2312"/>
          <w:sz w:val="32"/>
          <w:szCs w:val="32"/>
        </w:rPr>
        <w:t>%，其中：授予小微企业合同金额</w:t>
      </w:r>
      <w:r>
        <w:rPr>
          <w:rFonts w:ascii="仿宋_GB2312" w:eastAsia="仿宋_GB2312"/>
          <w:sz w:val="32"/>
          <w:szCs w:val="32"/>
        </w:rPr>
        <w:t>1,481.19</w:t>
      </w:r>
      <w:r>
        <w:rPr>
          <w:rFonts w:hint="eastAsia" w:ascii="仿宋_GB2312" w:eastAsia="仿宋_GB2312"/>
          <w:sz w:val="32"/>
          <w:szCs w:val="32"/>
        </w:rPr>
        <w:t>万元，占政府采购支出总额的</w:t>
      </w:r>
      <w:r>
        <w:rPr>
          <w:rFonts w:ascii="仿宋_GB2312" w:eastAsia="仿宋_GB2312"/>
          <w:sz w:val="32"/>
          <w:szCs w:val="32"/>
        </w:rPr>
        <w:t>44.23</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8391"/>
      <w:bookmarkStart w:id="25" w:name="_Toc45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截止2022年12月31日，固定资产原值2,892.69万元，房屋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7</w:t>
      </w:r>
      <w:r>
        <w:rPr>
          <w:rFonts w:hint="eastAsia" w:ascii="仿宋_GB2312" w:eastAsia="仿宋_GB2312"/>
          <w:sz w:val="32"/>
          <w:szCs w:val="32"/>
        </w:rPr>
        <w:t>辆，价值</w:t>
      </w:r>
      <w:r>
        <w:rPr>
          <w:rFonts w:ascii="仿宋_GB2312" w:eastAsia="仿宋_GB2312"/>
          <w:sz w:val="32"/>
          <w:szCs w:val="32"/>
        </w:rPr>
        <w:t>229.01</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7</w:t>
      </w:r>
      <w:r>
        <w:rPr>
          <w:rFonts w:hint="eastAsia" w:ascii="仿宋_GB2312" w:eastAsia="仿宋_GB2312"/>
          <w:sz w:val="32"/>
          <w:szCs w:val="32"/>
        </w:rPr>
        <w:t>辆，其他用车主要</w:t>
      </w:r>
      <w:r>
        <w:rPr>
          <w:rFonts w:hint="eastAsia" w:ascii="仿宋_GB2312" w:eastAsia="仿宋_GB2312"/>
          <w:color w:val="auto"/>
          <w:sz w:val="32"/>
          <w:szCs w:val="32"/>
        </w:rPr>
        <w:t>是：</w:t>
      </w:r>
      <w:r>
        <w:rPr>
          <w:rFonts w:hint="eastAsia" w:ascii="仿宋_GB2312" w:eastAsia="仿宋_GB2312"/>
          <w:color w:val="auto"/>
          <w:sz w:val="32"/>
          <w:szCs w:val="32"/>
          <w:lang w:val="en-US" w:eastAsia="zh-CN"/>
        </w:rPr>
        <w:t>一般业务用车</w:t>
      </w:r>
      <w:r>
        <w:rPr>
          <w:rFonts w:hint="eastAsia" w:ascii="仿宋_GB2312" w:eastAsia="仿宋_GB2312"/>
          <w:sz w:val="32"/>
          <w:szCs w:val="32"/>
        </w:rPr>
        <w:t>；单价100万元（含）以上设备（不含车辆）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435"/>
      <w:bookmarkStart w:id="27" w:name="_Toc11283"/>
      <w:r>
        <w:rPr>
          <w:rFonts w:hint="eastAsia" w:ascii="黑体" w:hAnsi="黑体" w:eastAsia="黑体" w:cs="宋体"/>
          <w:bCs/>
          <w:kern w:val="0"/>
          <w:sz w:val="32"/>
          <w:szCs w:val="32"/>
        </w:rPr>
        <w:t>十一、预算绩效的情况说明</w:t>
      </w:r>
      <w:bookmarkEnd w:id="26"/>
      <w:bookmarkEnd w:id="27"/>
    </w:p>
    <w:p>
      <w:pPr>
        <w:ind w:firstLine="640" w:firstLineChars="200"/>
        <w:rPr>
          <w:rFonts w:hint="eastAsia"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hint="eastAsia" w:ascii="仿宋_GB2312" w:eastAsia="仿宋_GB2312"/>
          <w:sz w:val="32"/>
          <w:szCs w:val="32"/>
          <w:lang w:val="en-US" w:eastAsia="zh-CN"/>
        </w:rPr>
        <w:t>3</w:t>
      </w:r>
      <w:r>
        <w:rPr>
          <w:rFonts w:hint="eastAsia" w:ascii="仿宋_GB2312" w:eastAsia="仿宋_GB2312"/>
          <w:sz w:val="32"/>
          <w:szCs w:val="32"/>
        </w:rPr>
        <w:t>个，全年预算数</w:t>
      </w:r>
      <w:r>
        <w:rPr>
          <w:rFonts w:hint="eastAsia" w:ascii="仿宋_GB2312" w:eastAsia="仿宋_GB2312"/>
          <w:color w:val="auto"/>
          <w:sz w:val="32"/>
          <w:szCs w:val="32"/>
          <w:lang w:val="en-US" w:eastAsia="zh-CN"/>
        </w:rPr>
        <w:t>8053.37</w:t>
      </w:r>
      <w:r>
        <w:rPr>
          <w:rFonts w:hint="eastAsia" w:ascii="仿宋_GB2312" w:eastAsia="仿宋_GB2312"/>
          <w:color w:val="auto"/>
          <w:sz w:val="32"/>
          <w:szCs w:val="32"/>
        </w:rPr>
        <w:t>万元，全年执行数</w:t>
      </w:r>
      <w:r>
        <w:rPr>
          <w:rFonts w:hint="eastAsia" w:ascii="仿宋_GB2312" w:eastAsia="仿宋_GB2312"/>
          <w:color w:val="auto"/>
          <w:sz w:val="32"/>
          <w:szCs w:val="32"/>
          <w:lang w:val="en-US" w:eastAsia="zh-CN"/>
        </w:rPr>
        <w:t>8053.37</w:t>
      </w:r>
      <w:r>
        <w:rPr>
          <w:rFonts w:hint="eastAsia" w:ascii="仿宋_GB2312" w:eastAsia="仿宋_GB2312"/>
          <w:color w:val="auto"/>
          <w:sz w:val="32"/>
          <w:szCs w:val="32"/>
        </w:rPr>
        <w:t>万元。</w:t>
      </w:r>
      <w:r>
        <w:rPr>
          <w:rFonts w:hint="eastAsia" w:ascii="仿宋_GB2312" w:eastAsia="仿宋_GB2312"/>
          <w:sz w:val="32"/>
          <w:szCs w:val="32"/>
        </w:rPr>
        <w:t>预算绩效管理取得的成效：</w:t>
      </w:r>
      <w:r>
        <w:rPr>
          <w:rFonts w:ascii="仿宋_GB2312" w:eastAsia="仿宋_GB2312"/>
          <w:sz w:val="32"/>
          <w:szCs w:val="32"/>
        </w:rPr>
        <w:t>一是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r>
        <w:rPr>
          <w:rFonts w:hint="eastAsia" w:ascii="仿宋_GB2312" w:eastAsia="仿宋_GB2312"/>
          <w:sz w:val="32"/>
          <w:szCs w:val="32"/>
        </w:rPr>
        <w:t>。发现的问题及原因：</w:t>
      </w:r>
      <w:r>
        <w:rPr>
          <w:rFonts w:ascii="仿宋_GB2312" w:eastAsia="仿宋_GB2312"/>
          <w:sz w:val="32"/>
          <w:szCs w:val="32"/>
        </w:rPr>
        <w:t>一是资金支付进度有待进一步提升。二是完善管理制度，确保专项资金安全，进一步细化专项资金的使用管理制度建立健全审核制度，内控制度，确保资金安全</w:t>
      </w:r>
      <w:r>
        <w:rPr>
          <w:rFonts w:hint="eastAsia" w:ascii="仿宋_GB2312" w:eastAsia="仿宋_GB2312"/>
          <w:sz w:val="32"/>
          <w:szCs w:val="32"/>
        </w:rPr>
        <w:t>。</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下一步改进措施：</w:t>
      </w:r>
      <w:r>
        <w:rPr>
          <w:rFonts w:ascii="仿宋_GB2312" w:eastAsia="仿宋_GB2312"/>
          <w:sz w:val="32"/>
          <w:szCs w:val="32"/>
        </w:rPr>
        <w:t>一是进一步加强对绩效管理工作的组织领导，提高对预算绩效管理工作重要性的认识，总结经验查找问题，抓紧研究制定更全面更完善的绩效评价管理办法。</w:t>
      </w:r>
    </w:p>
    <w:p>
      <w:pPr>
        <w:ind w:firstLine="640" w:firstLineChars="200"/>
        <w:rPr>
          <w:rFonts w:ascii="仿宋_GB2312" w:eastAsia="仿宋_GB2312"/>
          <w:sz w:val="32"/>
          <w:szCs w:val="32"/>
        </w:rPr>
      </w:pPr>
      <w:r>
        <w:rPr>
          <w:rFonts w:ascii="仿宋_GB2312" w:eastAsia="仿宋_GB2312"/>
          <w:sz w:val="32"/>
          <w:szCs w:val="32"/>
        </w:rPr>
        <w:t>二是结合安全考核建立绩效工作考核制度，加大全局对全面实施预算绩效管理和绩效管理工作的学习力度，让“花钱必问效，无效必问责”的理念深入工作每个环节</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28" w:name="_Toc3250"/>
      <w:bookmarkStart w:id="29" w:name="_Toc24143"/>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8903"/>
      <w:bookmarkStart w:id="31"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2183"/>
      <w:bookmarkStart w:id="33" w:name="_Toc6062"/>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24532"/>
      <w:bookmarkStart w:id="35" w:name="_Toc30364"/>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21304"/>
      <w:bookmarkStart w:id="37" w:name="_Toc3243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28786"/>
      <w:bookmarkStart w:id="39" w:name="_Toc14238"/>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4869"/>
      <w:bookmarkStart w:id="41" w:name="_Toc10347"/>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29106"/>
      <w:bookmarkStart w:id="45" w:name="_Toc32663"/>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7643"/>
      <w:bookmarkStart w:id="47" w:name="_Toc545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ZDM1MWZkNDJjMjBhMzFkZGY3NTNlOTkyNmNjMTIifQ=="/>
  </w:docVars>
  <w:rsids>
    <w:rsidRoot w:val="00312C27"/>
    <w:rsid w:val="00012F23"/>
    <w:rsid w:val="00021E76"/>
    <w:rsid w:val="000229DC"/>
    <w:rsid w:val="0002765D"/>
    <w:rsid w:val="0003297B"/>
    <w:rsid w:val="000379B3"/>
    <w:rsid w:val="0005626F"/>
    <w:rsid w:val="000724E7"/>
    <w:rsid w:val="0008509D"/>
    <w:rsid w:val="00090520"/>
    <w:rsid w:val="000A0B31"/>
    <w:rsid w:val="000D2344"/>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AB776D"/>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5054"/>
    <w:rsid w:val="00FF6A37"/>
    <w:rsid w:val="034D4FEF"/>
    <w:rsid w:val="043E5B56"/>
    <w:rsid w:val="06792773"/>
    <w:rsid w:val="0A7B4867"/>
    <w:rsid w:val="0AE83DE6"/>
    <w:rsid w:val="0B8C3ECC"/>
    <w:rsid w:val="0BBA0A81"/>
    <w:rsid w:val="0C7227A7"/>
    <w:rsid w:val="0F3317C1"/>
    <w:rsid w:val="12386E6F"/>
    <w:rsid w:val="14155180"/>
    <w:rsid w:val="15F06E99"/>
    <w:rsid w:val="1C7A04C1"/>
    <w:rsid w:val="1DAF458D"/>
    <w:rsid w:val="20DD6197"/>
    <w:rsid w:val="21A91B81"/>
    <w:rsid w:val="222A65E3"/>
    <w:rsid w:val="233A70A0"/>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4D3B496E"/>
    <w:rsid w:val="50DB5F45"/>
    <w:rsid w:val="52F92565"/>
    <w:rsid w:val="55CE6BE9"/>
    <w:rsid w:val="56474AC0"/>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51E70B6"/>
    <w:rsid w:val="76681274"/>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A3A8B-760C-44B8-A160-C6454B62F5EE}">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1669</Words>
  <Characters>9517</Characters>
  <Lines>79</Lines>
  <Paragraphs>22</Paragraphs>
  <TotalTime>191</TotalTime>
  <ScaleCrop>false</ScaleCrop>
  <LinksUpToDate>false</LinksUpToDate>
  <CharactersWithSpaces>11164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李琳</cp:lastModifiedBy>
  <dcterms:modified xsi:type="dcterms:W3CDTF">2024-01-09T08:00:56Z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2E2C2B96A67349258753A5A4671D64F8_13</vt:lpwstr>
  </property>
</Properties>
</file>