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60" w:lineRule="exact"/>
        <w:contextualSpacing/>
        <w:jc w:val="center"/>
        <w:rPr>
          <w:rFonts w:hint="eastAsia" w:ascii="方正小标宋简体" w:hAnsi="方正小标宋简体" w:eastAsia="方正小标宋简体" w:cs="方正小标宋简体"/>
          <w:b w:val="0"/>
          <w:bCs w:val="0"/>
          <w:color w:val="auto"/>
          <w:sz w:val="44"/>
          <w:szCs w:val="44"/>
          <w:highlight w:val="none"/>
          <w:lang w:val="en-US" w:eastAsia="zh-CN"/>
        </w:rPr>
      </w:pPr>
      <w:r>
        <w:rPr>
          <w:rFonts w:hint="eastAsia" w:ascii="方正小标宋简体" w:hAnsi="方正小标宋简体" w:eastAsia="方正小标宋简体" w:cs="方正小标宋简体"/>
          <w:b w:val="0"/>
          <w:bCs w:val="0"/>
          <w:color w:val="auto"/>
          <w:sz w:val="44"/>
          <w:szCs w:val="44"/>
          <w:highlight w:val="none"/>
          <w:lang w:val="en-US" w:eastAsia="zh-CN"/>
        </w:rPr>
        <w:t>新疆维吾尔自治区邮政业安全中心</w:t>
      </w:r>
    </w:p>
    <w:p>
      <w:pPr>
        <w:keepNext w:val="0"/>
        <w:keepLines w:val="0"/>
        <w:pageBreakBefore w:val="0"/>
        <w:kinsoku/>
        <w:wordWrap/>
        <w:overflowPunct/>
        <w:topLinePunct w:val="0"/>
        <w:bidi w:val="0"/>
        <w:spacing w:line="560" w:lineRule="exact"/>
        <w:contextualSpacing/>
        <w:jc w:val="center"/>
        <w:rPr>
          <w:rFonts w:hint="eastAsia" w:ascii="方正小标宋简体" w:hAnsi="方正小标宋简体" w:eastAsia="方正小标宋简体" w:cs="方正小标宋简体"/>
          <w:b w:val="0"/>
          <w:bCs w:val="0"/>
          <w:color w:val="auto"/>
          <w:sz w:val="44"/>
          <w:szCs w:val="44"/>
          <w:highlight w:val="none"/>
          <w:lang w:val="en-US" w:eastAsia="zh-CN"/>
        </w:rPr>
      </w:pPr>
      <w:r>
        <w:rPr>
          <w:rFonts w:hint="eastAsia" w:ascii="方正小标宋简体" w:hAnsi="方正小标宋简体" w:eastAsia="方正小标宋简体" w:cs="方正小标宋简体"/>
          <w:b w:val="0"/>
          <w:bCs w:val="0"/>
          <w:color w:val="auto"/>
          <w:sz w:val="44"/>
          <w:szCs w:val="44"/>
          <w:highlight w:val="none"/>
          <w:lang w:val="en-US" w:eastAsia="zh-CN"/>
        </w:rPr>
        <w:t>2022年度邮政快递业安全支撑</w:t>
      </w:r>
    </w:p>
    <w:p>
      <w:pPr>
        <w:keepNext w:val="0"/>
        <w:keepLines w:val="0"/>
        <w:pageBreakBefore w:val="0"/>
        <w:kinsoku/>
        <w:wordWrap/>
        <w:overflowPunct/>
        <w:topLinePunct w:val="0"/>
        <w:bidi w:val="0"/>
        <w:spacing w:line="560" w:lineRule="exact"/>
        <w:contextualSpacing/>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与保障</w:t>
      </w:r>
      <w:r>
        <w:rPr>
          <w:rFonts w:hint="eastAsia" w:ascii="方正小标宋简体" w:hAnsi="方正小标宋简体" w:eastAsia="方正小标宋简体" w:cs="方正小标宋简体"/>
          <w:b w:val="0"/>
          <w:bCs w:val="0"/>
          <w:color w:val="auto"/>
          <w:sz w:val="44"/>
          <w:szCs w:val="44"/>
          <w:highlight w:val="none"/>
        </w:rPr>
        <w:t>项目支出绩效评价报告</w:t>
      </w:r>
    </w:p>
    <w:p>
      <w:pPr>
        <w:keepNext w:val="0"/>
        <w:keepLines w:val="0"/>
        <w:pageBreakBefore w:val="0"/>
        <w:kinsoku/>
        <w:wordWrap/>
        <w:overflowPunct/>
        <w:topLinePunct w:val="0"/>
        <w:bidi w:val="0"/>
        <w:spacing w:line="560" w:lineRule="exact"/>
        <w:contextualSpacing/>
        <w:jc w:val="center"/>
        <w:rPr>
          <w:rFonts w:hint="eastAsia" w:ascii="方正小标宋简体" w:hAnsi="方正小标宋简体" w:eastAsia="方正小标宋简体" w:cs="方正小标宋简体"/>
          <w:color w:val="auto"/>
          <w:sz w:val="44"/>
          <w:szCs w:val="44"/>
          <w:highlight w:val="none"/>
        </w:rPr>
      </w:pPr>
    </w:p>
    <w:p>
      <w:pPr>
        <w:keepNext w:val="0"/>
        <w:keepLines w:val="0"/>
        <w:pageBreakBefore w:val="0"/>
        <w:kinsoku/>
        <w:wordWrap/>
        <w:overflowPunct/>
        <w:topLinePunct w:val="0"/>
        <w:bidi w:val="0"/>
        <w:spacing w:line="560" w:lineRule="exact"/>
        <w:ind w:firstLine="640" w:firstLineChars="200"/>
        <w:contextualSpacing/>
        <w:rPr>
          <w:rFonts w:hint="eastAsia" w:ascii="方正黑体_GBK" w:hAnsi="黑体" w:eastAsia="方正黑体_GBK"/>
          <w:color w:val="auto"/>
          <w:sz w:val="32"/>
          <w:szCs w:val="32"/>
          <w:highlight w:val="none"/>
        </w:rPr>
      </w:pPr>
      <w:r>
        <w:rPr>
          <w:rFonts w:hint="eastAsia" w:ascii="方正黑体_GBK" w:hAnsi="黑体" w:eastAsia="方正黑体_GBK"/>
          <w:color w:val="auto"/>
          <w:sz w:val="32"/>
          <w:szCs w:val="32"/>
          <w:highlight w:val="none"/>
        </w:rPr>
        <w:t>一、基本情况</w:t>
      </w:r>
    </w:p>
    <w:p>
      <w:pPr>
        <w:keepNext w:val="0"/>
        <w:keepLines w:val="0"/>
        <w:pageBreakBefore w:val="0"/>
        <w:kinsoku/>
        <w:wordWrap/>
        <w:overflowPunct/>
        <w:topLinePunct w:val="0"/>
        <w:bidi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（一）项目概况</w:t>
      </w:r>
    </w:p>
    <w:p>
      <w:pPr>
        <w:keepNext w:val="0"/>
        <w:keepLines w:val="0"/>
        <w:pageBreakBefore w:val="0"/>
        <w:kinsoku/>
        <w:wordWrap/>
        <w:overflowPunct/>
        <w:topLinePunct w:val="0"/>
        <w:bidi w:val="0"/>
        <w:spacing w:line="560" w:lineRule="exact"/>
        <w:ind w:firstLine="640" w:firstLineChars="200"/>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val="en-US" w:eastAsia="zh-CN"/>
        </w:rPr>
        <w:t>1.</w:t>
      </w:r>
      <w:r>
        <w:rPr>
          <w:rFonts w:hint="eastAsia" w:ascii="仿宋" w:hAnsi="仿宋" w:eastAsia="仿宋" w:cs="仿宋"/>
          <w:b w:val="0"/>
          <w:bCs w:val="0"/>
          <w:color w:val="auto"/>
          <w:sz w:val="32"/>
          <w:szCs w:val="32"/>
          <w:highlight w:val="none"/>
        </w:rPr>
        <w:t>项目背景</w:t>
      </w:r>
      <w:r>
        <w:rPr>
          <w:rFonts w:hint="eastAsia" w:ascii="仿宋" w:hAnsi="仿宋" w:eastAsia="仿宋" w:cs="仿宋"/>
          <w:b w:val="0"/>
          <w:bCs w:val="0"/>
          <w:color w:val="auto"/>
          <w:sz w:val="32"/>
          <w:szCs w:val="32"/>
          <w:highlight w:val="none"/>
          <w:lang w:eastAsia="zh-CN"/>
        </w:rPr>
        <w:t>及目的</w:t>
      </w:r>
    </w:p>
    <w:p>
      <w:pPr>
        <w:keepNext w:val="0"/>
        <w:keepLines w:val="0"/>
        <w:pageBreakBefore w:val="0"/>
        <w:kinsoku/>
        <w:wordWrap/>
        <w:overflowPunct/>
        <w:topLinePunct w:val="0"/>
        <w:autoSpaceDE w:val="0"/>
        <w:autoSpaceDN w:val="0"/>
        <w:bidi w:val="0"/>
        <w:adjustRightInd w:val="0"/>
        <w:spacing w:line="560" w:lineRule="exact"/>
        <w:ind w:firstLine="709"/>
        <w:rPr>
          <w:rFonts w:hint="eastAsia" w:ascii="仿宋" w:hAnsi="仿宋" w:eastAsia="仿宋" w:cs="宋体"/>
          <w:color w:val="auto"/>
          <w:sz w:val="32"/>
          <w:szCs w:val="32"/>
          <w:highlight w:val="none"/>
          <w:lang w:eastAsia="zh-CN"/>
        </w:rPr>
      </w:pPr>
      <w:r>
        <w:rPr>
          <w:rFonts w:ascii="仿宋" w:hAnsi="仿宋" w:eastAsia="仿宋" w:cs="Calibri"/>
          <w:color w:val="auto"/>
          <w:sz w:val="32"/>
          <w:szCs w:val="32"/>
          <w:highlight w:val="none"/>
        </w:rPr>
        <w:t>2015</w:t>
      </w:r>
      <w:r>
        <w:rPr>
          <w:rFonts w:hint="eastAsia" w:ascii="仿宋" w:hAnsi="仿宋" w:eastAsia="仿宋" w:cs="宋体"/>
          <w:color w:val="auto"/>
          <w:sz w:val="32"/>
          <w:szCs w:val="32"/>
          <w:highlight w:val="none"/>
        </w:rPr>
        <w:t>年《国务院关于促进快递业发展的若干意见》（国发〔</w:t>
      </w:r>
      <w:r>
        <w:rPr>
          <w:rFonts w:ascii="仿宋" w:hAnsi="仿宋" w:eastAsia="仿宋" w:cs="Calibri"/>
          <w:color w:val="auto"/>
          <w:sz w:val="32"/>
          <w:szCs w:val="32"/>
          <w:highlight w:val="none"/>
        </w:rPr>
        <w:t>2015</w:t>
      </w:r>
      <w:r>
        <w:rPr>
          <w:rFonts w:hint="eastAsia" w:ascii="仿宋" w:hAnsi="仿宋" w:eastAsia="仿宋" w:cs="宋体"/>
          <w:color w:val="auto"/>
          <w:sz w:val="32"/>
          <w:szCs w:val="32"/>
          <w:highlight w:val="none"/>
        </w:rPr>
        <w:t>〕</w:t>
      </w:r>
      <w:r>
        <w:rPr>
          <w:rFonts w:ascii="仿宋" w:hAnsi="仿宋" w:eastAsia="仿宋" w:cs="Calibri"/>
          <w:color w:val="auto"/>
          <w:sz w:val="32"/>
          <w:szCs w:val="32"/>
          <w:highlight w:val="none"/>
        </w:rPr>
        <w:t>61</w:t>
      </w:r>
      <w:r>
        <w:rPr>
          <w:rFonts w:hint="eastAsia" w:ascii="仿宋" w:hAnsi="仿宋" w:eastAsia="仿宋" w:cs="宋体"/>
          <w:color w:val="auto"/>
          <w:sz w:val="32"/>
          <w:szCs w:val="32"/>
          <w:highlight w:val="none"/>
        </w:rPr>
        <w:t>号）要求</w:t>
      </w:r>
      <w:r>
        <w:rPr>
          <w:rFonts w:hint="eastAsia" w:ascii="仿宋" w:hAnsi="仿宋" w:eastAsia="仿宋" w:cs="宋体"/>
          <w:color w:val="auto"/>
          <w:sz w:val="32"/>
          <w:szCs w:val="32"/>
          <w:highlight w:val="none"/>
          <w:lang w:eastAsia="zh-CN"/>
        </w:rPr>
        <w:t>：</w:t>
      </w:r>
      <w:r>
        <w:rPr>
          <w:rFonts w:ascii="仿宋" w:hAnsi="仿宋" w:eastAsia="仿宋" w:cs="宋体"/>
          <w:color w:val="auto"/>
          <w:sz w:val="32"/>
          <w:szCs w:val="32"/>
          <w:highlight w:val="none"/>
        </w:rPr>
        <w:t>“</w:t>
      </w:r>
      <w:r>
        <w:rPr>
          <w:rFonts w:hint="eastAsia" w:ascii="仿宋" w:hAnsi="仿宋" w:eastAsia="仿宋" w:cs="宋体"/>
          <w:color w:val="auto"/>
          <w:sz w:val="32"/>
          <w:szCs w:val="32"/>
          <w:highlight w:val="none"/>
        </w:rPr>
        <w:t>加强行业安全监管。积极利用信息技术提升安全监管能力，完善快递业安全监管信息平台，依法严格保护个人信息安全。</w:t>
      </w:r>
      <w:r>
        <w:rPr>
          <w:rFonts w:ascii="仿宋" w:hAnsi="仿宋" w:eastAsia="仿宋" w:cs="宋体"/>
          <w:color w:val="auto"/>
          <w:sz w:val="32"/>
          <w:szCs w:val="32"/>
          <w:highlight w:val="none"/>
        </w:rPr>
        <w:t>”</w:t>
      </w:r>
      <w:r>
        <w:rPr>
          <w:rFonts w:hint="eastAsia" w:ascii="仿宋" w:hAnsi="仿宋" w:eastAsia="仿宋" w:cs="宋体"/>
          <w:color w:val="auto"/>
          <w:sz w:val="32"/>
          <w:szCs w:val="32"/>
          <w:highlight w:val="none"/>
        </w:rPr>
        <w:t>。</w:t>
      </w:r>
      <w:r>
        <w:rPr>
          <w:rFonts w:ascii="仿宋" w:hAnsi="仿宋" w:eastAsia="仿宋" w:cs="Calibri"/>
          <w:color w:val="auto"/>
          <w:sz w:val="32"/>
          <w:szCs w:val="32"/>
          <w:highlight w:val="none"/>
        </w:rPr>
        <w:t>2016</w:t>
      </w:r>
      <w:r>
        <w:rPr>
          <w:rFonts w:hint="eastAsia" w:ascii="仿宋" w:hAnsi="仿宋" w:eastAsia="仿宋" w:cs="宋体"/>
          <w:color w:val="auto"/>
          <w:sz w:val="32"/>
          <w:szCs w:val="32"/>
          <w:highlight w:val="none"/>
        </w:rPr>
        <w:t>年</w:t>
      </w:r>
      <w:r>
        <w:rPr>
          <w:rFonts w:ascii="仿宋" w:hAnsi="仿宋" w:eastAsia="仿宋" w:cs="Calibri"/>
          <w:color w:val="auto"/>
          <w:sz w:val="32"/>
          <w:szCs w:val="32"/>
          <w:highlight w:val="none"/>
        </w:rPr>
        <w:t>7</w:t>
      </w:r>
      <w:r>
        <w:rPr>
          <w:rFonts w:hint="eastAsia" w:ascii="仿宋" w:hAnsi="仿宋" w:eastAsia="仿宋" w:cs="宋体"/>
          <w:color w:val="auto"/>
          <w:sz w:val="32"/>
          <w:szCs w:val="32"/>
          <w:highlight w:val="none"/>
        </w:rPr>
        <w:t>月</w:t>
      </w:r>
      <w:r>
        <w:rPr>
          <w:rFonts w:ascii="仿宋" w:hAnsi="仿宋" w:eastAsia="仿宋" w:cs="Calibri"/>
          <w:color w:val="auto"/>
          <w:sz w:val="32"/>
          <w:szCs w:val="32"/>
          <w:highlight w:val="none"/>
        </w:rPr>
        <w:t>20</w:t>
      </w:r>
      <w:r>
        <w:rPr>
          <w:rFonts w:hint="eastAsia" w:ascii="仿宋" w:hAnsi="仿宋" w:eastAsia="仿宋" w:cs="宋体"/>
          <w:color w:val="auto"/>
          <w:sz w:val="32"/>
          <w:szCs w:val="32"/>
          <w:highlight w:val="none"/>
        </w:rPr>
        <w:t>日，李克强总理在国务院常务会议上强调：</w:t>
      </w:r>
      <w:r>
        <w:rPr>
          <w:rFonts w:ascii="仿宋" w:hAnsi="仿宋" w:eastAsia="仿宋" w:cs="宋体"/>
          <w:color w:val="auto"/>
          <w:sz w:val="32"/>
          <w:szCs w:val="32"/>
          <w:highlight w:val="none"/>
        </w:rPr>
        <w:t>“</w:t>
      </w:r>
      <w:r>
        <w:rPr>
          <w:rFonts w:hint="eastAsia" w:ascii="仿宋" w:hAnsi="仿宋" w:eastAsia="仿宋" w:cs="宋体"/>
          <w:color w:val="auto"/>
          <w:sz w:val="32"/>
          <w:szCs w:val="32"/>
          <w:highlight w:val="none"/>
        </w:rPr>
        <w:t>推进互联网</w:t>
      </w:r>
      <w:r>
        <w:rPr>
          <w:rFonts w:ascii="仿宋" w:hAnsi="仿宋" w:eastAsia="仿宋" w:cs="Calibri"/>
          <w:color w:val="auto"/>
          <w:sz w:val="32"/>
          <w:szCs w:val="32"/>
          <w:highlight w:val="none"/>
        </w:rPr>
        <w:t>+</w:t>
      </w:r>
      <w:r>
        <w:rPr>
          <w:rFonts w:hint="eastAsia" w:ascii="仿宋" w:hAnsi="仿宋" w:eastAsia="仿宋" w:cs="宋体"/>
          <w:color w:val="auto"/>
          <w:sz w:val="32"/>
          <w:szCs w:val="32"/>
          <w:highlight w:val="none"/>
        </w:rPr>
        <w:t>物流，既是发展新经济，又能提升传统经济</w:t>
      </w:r>
      <w:r>
        <w:rPr>
          <w:rFonts w:ascii="仿宋" w:hAnsi="仿宋" w:eastAsia="仿宋" w:cs="宋体"/>
          <w:color w:val="auto"/>
          <w:sz w:val="32"/>
          <w:szCs w:val="32"/>
          <w:highlight w:val="none"/>
        </w:rPr>
        <w:t>”</w:t>
      </w:r>
      <w:r>
        <w:rPr>
          <w:rFonts w:hint="eastAsia" w:ascii="仿宋" w:hAnsi="仿宋" w:eastAsia="仿宋" w:cs="宋体"/>
          <w:color w:val="auto"/>
          <w:sz w:val="32"/>
          <w:szCs w:val="32"/>
          <w:highlight w:val="none"/>
          <w:lang w:eastAsia="zh-CN"/>
        </w:rPr>
        <w:t>，</w:t>
      </w:r>
      <w:r>
        <w:rPr>
          <w:rFonts w:ascii="仿宋" w:hAnsi="仿宋" w:eastAsia="仿宋" w:cs="宋体"/>
          <w:color w:val="auto"/>
          <w:sz w:val="32"/>
          <w:szCs w:val="32"/>
          <w:highlight w:val="none"/>
        </w:rPr>
        <w:t>“</w:t>
      </w:r>
      <w:r>
        <w:rPr>
          <w:rFonts w:hint="eastAsia" w:ascii="仿宋" w:hAnsi="仿宋" w:eastAsia="仿宋" w:cs="宋体"/>
          <w:color w:val="auto"/>
          <w:sz w:val="32"/>
          <w:szCs w:val="32"/>
          <w:highlight w:val="none"/>
        </w:rPr>
        <w:t>要推动互联网、大数据、云计算等信息技术与物流深度融合，推动物流业乃至中国经济的转型升级，这是物流业的</w:t>
      </w:r>
      <w:r>
        <w:rPr>
          <w:rFonts w:ascii="仿宋" w:hAnsi="仿宋" w:eastAsia="仿宋" w:cs="宋体"/>
          <w:color w:val="auto"/>
          <w:sz w:val="32"/>
          <w:szCs w:val="32"/>
          <w:highlight w:val="none"/>
        </w:rPr>
        <w:t>‘</w:t>
      </w:r>
      <w:r>
        <w:rPr>
          <w:rFonts w:hint="eastAsia" w:ascii="仿宋" w:hAnsi="仿宋" w:eastAsia="仿宋" w:cs="宋体"/>
          <w:color w:val="auto"/>
          <w:sz w:val="32"/>
          <w:szCs w:val="32"/>
          <w:highlight w:val="none"/>
        </w:rPr>
        <w:t>供给侧改革</w:t>
      </w:r>
      <w:r>
        <w:rPr>
          <w:rFonts w:ascii="仿宋" w:hAnsi="仿宋" w:eastAsia="仿宋" w:cs="宋体"/>
          <w:color w:val="auto"/>
          <w:sz w:val="32"/>
          <w:szCs w:val="32"/>
          <w:highlight w:val="none"/>
        </w:rPr>
        <w:t>’”</w:t>
      </w:r>
      <w:r>
        <w:rPr>
          <w:rFonts w:hint="eastAsia" w:ascii="仿宋" w:hAnsi="仿宋" w:eastAsia="仿宋" w:cs="宋体"/>
          <w:color w:val="auto"/>
          <w:sz w:val="32"/>
          <w:szCs w:val="32"/>
          <w:highlight w:val="none"/>
        </w:rPr>
        <w:t>。</w:t>
      </w:r>
      <w:r>
        <w:rPr>
          <w:rFonts w:hint="eastAsia" w:ascii="仿宋" w:hAnsi="仿宋" w:eastAsia="仿宋" w:cs="宋体"/>
          <w:color w:val="auto"/>
          <w:sz w:val="32"/>
          <w:szCs w:val="32"/>
          <w:highlight w:val="none"/>
          <w:lang w:eastAsia="zh-CN"/>
        </w:rPr>
        <w:t>同时，</w:t>
      </w:r>
      <w:r>
        <w:rPr>
          <w:rFonts w:hint="eastAsia" w:ascii="仿宋" w:hAnsi="仿宋" w:eastAsia="仿宋" w:cs="宋体"/>
          <w:color w:val="auto"/>
          <w:sz w:val="32"/>
          <w:szCs w:val="32"/>
          <w:highlight w:val="none"/>
        </w:rPr>
        <w:t>十九大报告指出</w:t>
      </w:r>
      <w:r>
        <w:rPr>
          <w:rFonts w:ascii="仿宋" w:hAnsi="仿宋" w:eastAsia="仿宋" w:cs="宋体"/>
          <w:color w:val="auto"/>
          <w:sz w:val="32"/>
          <w:szCs w:val="32"/>
          <w:highlight w:val="none"/>
        </w:rPr>
        <w:t>“</w:t>
      </w:r>
      <w:r>
        <w:rPr>
          <w:rFonts w:hint="eastAsia" w:ascii="仿宋" w:hAnsi="仿宋" w:eastAsia="仿宋" w:cs="宋体"/>
          <w:color w:val="auto"/>
          <w:sz w:val="32"/>
          <w:szCs w:val="32"/>
          <w:highlight w:val="none"/>
        </w:rPr>
        <w:t>加强水利、铁路、公路、水运、航空、管道、电网、信息、物流等基础设施网络建设。</w:t>
      </w:r>
      <w:r>
        <w:rPr>
          <w:rFonts w:ascii="仿宋" w:hAnsi="仿宋" w:eastAsia="仿宋" w:cs="宋体"/>
          <w:color w:val="auto"/>
          <w:sz w:val="32"/>
          <w:szCs w:val="32"/>
          <w:highlight w:val="none"/>
        </w:rPr>
        <w:t>”</w:t>
      </w:r>
      <w:r>
        <w:rPr>
          <w:rFonts w:ascii="仿宋" w:hAnsi="仿宋" w:eastAsia="仿宋" w:cs="Calibri"/>
          <w:color w:val="auto"/>
          <w:sz w:val="32"/>
          <w:szCs w:val="32"/>
          <w:highlight w:val="none"/>
        </w:rPr>
        <w:t>2018</w:t>
      </w:r>
      <w:r>
        <w:rPr>
          <w:rFonts w:hint="eastAsia" w:ascii="仿宋" w:hAnsi="仿宋" w:eastAsia="仿宋" w:cs="宋体"/>
          <w:color w:val="auto"/>
          <w:sz w:val="32"/>
          <w:szCs w:val="32"/>
          <w:highlight w:val="none"/>
        </w:rPr>
        <w:t>年《国务院办公厅关于推进电子商务与快递物流协同发展的意见》（国办发〔</w:t>
      </w:r>
      <w:r>
        <w:rPr>
          <w:rFonts w:ascii="仿宋" w:hAnsi="仿宋" w:eastAsia="仿宋" w:cs="Calibri"/>
          <w:color w:val="auto"/>
          <w:sz w:val="32"/>
          <w:szCs w:val="32"/>
          <w:highlight w:val="none"/>
        </w:rPr>
        <w:t>2018</w:t>
      </w:r>
      <w:r>
        <w:rPr>
          <w:rFonts w:hint="eastAsia" w:ascii="仿宋" w:hAnsi="仿宋" w:eastAsia="仿宋" w:cs="宋体"/>
          <w:color w:val="auto"/>
          <w:sz w:val="32"/>
          <w:szCs w:val="32"/>
          <w:highlight w:val="none"/>
        </w:rPr>
        <w:t>〕</w:t>
      </w:r>
      <w:r>
        <w:rPr>
          <w:rFonts w:ascii="仿宋" w:hAnsi="仿宋" w:eastAsia="仿宋" w:cs="Calibri"/>
          <w:color w:val="auto"/>
          <w:sz w:val="32"/>
          <w:szCs w:val="32"/>
          <w:highlight w:val="none"/>
        </w:rPr>
        <w:t>1</w:t>
      </w:r>
      <w:r>
        <w:rPr>
          <w:rFonts w:hint="eastAsia" w:ascii="仿宋" w:hAnsi="仿宋" w:eastAsia="仿宋" w:cs="宋体"/>
          <w:color w:val="auto"/>
          <w:sz w:val="32"/>
          <w:szCs w:val="32"/>
          <w:highlight w:val="none"/>
        </w:rPr>
        <w:t>号）提出</w:t>
      </w:r>
      <w:r>
        <w:rPr>
          <w:rFonts w:ascii="仿宋" w:hAnsi="仿宋" w:eastAsia="仿宋" w:cs="宋体"/>
          <w:color w:val="auto"/>
          <w:sz w:val="32"/>
          <w:szCs w:val="32"/>
          <w:highlight w:val="none"/>
        </w:rPr>
        <w:t>“</w:t>
      </w:r>
      <w:r>
        <w:rPr>
          <w:rFonts w:hint="eastAsia" w:ascii="仿宋" w:hAnsi="仿宋" w:eastAsia="仿宋" w:cs="宋体"/>
          <w:color w:val="auto"/>
          <w:sz w:val="32"/>
          <w:szCs w:val="32"/>
          <w:highlight w:val="none"/>
        </w:rPr>
        <w:t>引导电子商务、物流和快递等平台型企业健全平台服务协议、交易规则和信用评价制度，切实维护公平竞争秩序，保护消费者权益。</w:t>
      </w:r>
      <w:r>
        <w:rPr>
          <w:rFonts w:ascii="仿宋" w:hAnsi="仿宋" w:eastAsia="仿宋" w:cs="宋体"/>
          <w:color w:val="auto"/>
          <w:sz w:val="32"/>
          <w:szCs w:val="32"/>
          <w:highlight w:val="none"/>
        </w:rPr>
        <w:t>”</w:t>
      </w:r>
    </w:p>
    <w:p>
      <w:pPr>
        <w:keepNext w:val="0"/>
        <w:keepLines w:val="0"/>
        <w:pageBreakBefore w:val="0"/>
        <w:kinsoku/>
        <w:wordWrap/>
        <w:overflowPunct/>
        <w:topLinePunct w:val="0"/>
        <w:autoSpaceDE w:val="0"/>
        <w:autoSpaceDN w:val="0"/>
        <w:bidi w:val="0"/>
        <w:adjustRightInd w:val="0"/>
        <w:spacing w:line="560" w:lineRule="exact"/>
        <w:ind w:firstLine="709"/>
        <w:rPr>
          <w:rFonts w:hint="default" w:ascii="仿宋" w:hAnsi="仿宋" w:eastAsia="仿宋" w:cs="宋体"/>
          <w:color w:val="auto"/>
          <w:sz w:val="32"/>
          <w:szCs w:val="32"/>
          <w:highlight w:val="none"/>
          <w:lang w:val="en-US" w:eastAsia="zh-CN"/>
        </w:rPr>
      </w:pPr>
      <w:r>
        <w:rPr>
          <w:rFonts w:hint="eastAsia" w:ascii="仿宋" w:hAnsi="仿宋" w:eastAsia="仿宋" w:cs="宋体"/>
          <w:color w:val="auto"/>
          <w:sz w:val="32"/>
          <w:szCs w:val="32"/>
          <w:highlight w:val="none"/>
          <w:lang w:val="en-US" w:eastAsia="zh-CN"/>
        </w:rPr>
        <w:t>2.项目立项依据</w:t>
      </w:r>
    </w:p>
    <w:p>
      <w:pPr>
        <w:keepNext w:val="0"/>
        <w:keepLines w:val="0"/>
        <w:pageBreakBefore w:val="0"/>
        <w:kinsoku/>
        <w:wordWrap/>
        <w:overflowPunct/>
        <w:topLinePunct w:val="0"/>
        <w:autoSpaceDE w:val="0"/>
        <w:autoSpaceDN w:val="0"/>
        <w:bidi w:val="0"/>
        <w:adjustRightInd w:val="0"/>
        <w:spacing w:line="560" w:lineRule="exact"/>
        <w:ind w:firstLine="709"/>
        <w:rPr>
          <w:rFonts w:hint="eastAsia" w:ascii="仿宋" w:hAnsi="仿宋" w:eastAsia="仿宋" w:cs="宋体"/>
          <w:color w:val="auto"/>
          <w:sz w:val="32"/>
          <w:szCs w:val="32"/>
          <w:highlight w:val="none"/>
          <w:lang w:eastAsia="zh-CN"/>
        </w:rPr>
      </w:pPr>
      <w:r>
        <w:rPr>
          <w:rFonts w:hint="eastAsia" w:ascii="仿宋" w:hAnsi="仿宋" w:eastAsia="仿宋" w:cs="宋体"/>
          <w:color w:val="auto"/>
          <w:sz w:val="32"/>
          <w:szCs w:val="32"/>
          <w:highlight w:val="none"/>
        </w:rPr>
        <w:t>《中华人民共和国邮政法》第六十五条：</w:t>
      </w:r>
      <w:r>
        <w:rPr>
          <w:rFonts w:hint="eastAsia" w:ascii="仿宋" w:hAnsi="仿宋" w:eastAsia="仿宋" w:cs="宋体"/>
          <w:color w:val="auto"/>
          <w:sz w:val="32"/>
          <w:szCs w:val="32"/>
          <w:highlight w:val="none"/>
          <w:lang w:eastAsia="zh-CN"/>
        </w:rPr>
        <w:t>“</w:t>
      </w:r>
      <w:r>
        <w:rPr>
          <w:rFonts w:hint="eastAsia" w:ascii="仿宋" w:hAnsi="仿宋" w:eastAsia="仿宋" w:cs="宋体"/>
          <w:color w:val="auto"/>
          <w:sz w:val="32"/>
          <w:szCs w:val="32"/>
          <w:highlight w:val="none"/>
        </w:rPr>
        <w:t>邮政企业和快递企业应当及时、妥善处理用户对服务质量提出的异议。用户对处理结果不满意的，可以向邮政管理部门申诉，邮政管理部门应当及时依法处理，并自接到申诉之日起三十日内作出答复。</w:t>
      </w:r>
      <w:r>
        <w:rPr>
          <w:rFonts w:hint="eastAsia" w:ascii="仿宋" w:hAnsi="仿宋" w:eastAsia="仿宋" w:cs="宋体"/>
          <w:color w:val="auto"/>
          <w:sz w:val="32"/>
          <w:szCs w:val="32"/>
          <w:highlight w:val="none"/>
          <w:lang w:eastAsia="zh-CN"/>
        </w:rPr>
        <w:t>”</w:t>
      </w:r>
      <w:r>
        <w:rPr>
          <w:rFonts w:hint="eastAsia" w:ascii="仿宋" w:hAnsi="仿宋" w:eastAsia="仿宋" w:cs="宋体"/>
          <w:color w:val="auto"/>
          <w:sz w:val="32"/>
          <w:szCs w:val="32"/>
          <w:highlight w:val="none"/>
        </w:rPr>
        <w:t>《快递市场管理办法》第二十一条</w:t>
      </w:r>
      <w:r>
        <w:rPr>
          <w:rFonts w:hint="eastAsia" w:ascii="仿宋" w:hAnsi="仿宋" w:eastAsia="仿宋" w:cs="宋体"/>
          <w:color w:val="auto"/>
          <w:sz w:val="32"/>
          <w:szCs w:val="32"/>
          <w:highlight w:val="none"/>
          <w:lang w:eastAsia="zh-CN"/>
        </w:rPr>
        <w:t>“</w:t>
      </w:r>
      <w:r>
        <w:rPr>
          <w:rFonts w:hint="eastAsia" w:ascii="仿宋" w:hAnsi="仿宋" w:eastAsia="仿宋" w:cs="宋体"/>
          <w:color w:val="auto"/>
          <w:sz w:val="32"/>
          <w:szCs w:val="32"/>
          <w:highlight w:val="none"/>
        </w:rPr>
        <w:t>经营快递业务的企业应当建立与用户沟通的渠道和制度，向用户提供业务咨询、查询等服务，并及时处理用户投诉。经营快递业务的企业对邮政管理部门转办的用户申诉，应当及时妥善处理，并按照国务院邮政管理部门的规定给予答复。</w:t>
      </w:r>
      <w:r>
        <w:rPr>
          <w:rFonts w:hint="eastAsia" w:ascii="仿宋" w:hAnsi="仿宋" w:eastAsia="仿宋" w:cs="宋体"/>
          <w:color w:val="auto"/>
          <w:sz w:val="32"/>
          <w:szCs w:val="32"/>
          <w:highlight w:val="none"/>
          <w:lang w:eastAsia="zh-CN"/>
        </w:rPr>
        <w:t>”</w:t>
      </w:r>
      <w:r>
        <w:rPr>
          <w:rFonts w:hint="eastAsia" w:ascii="仿宋" w:hAnsi="仿宋" w:eastAsia="仿宋" w:cs="宋体"/>
          <w:color w:val="auto"/>
          <w:sz w:val="32"/>
          <w:szCs w:val="32"/>
          <w:highlight w:val="none"/>
          <w:lang w:val="en-US" w:eastAsia="zh-CN"/>
        </w:rPr>
        <w:t>2020年10月，由国家邮政局修订颁布实施的</w:t>
      </w:r>
      <w:r>
        <w:rPr>
          <w:rFonts w:hint="eastAsia" w:ascii="仿宋" w:hAnsi="仿宋" w:eastAsia="仿宋" w:cs="宋体"/>
          <w:color w:val="auto"/>
          <w:sz w:val="32"/>
          <w:szCs w:val="32"/>
          <w:highlight w:val="none"/>
          <w:lang w:eastAsia="zh-CN"/>
        </w:rPr>
        <w:t>《邮政业用户申诉处理办法》，是邮政管理部门处理申诉工作的部门规章。</w:t>
      </w:r>
    </w:p>
    <w:p>
      <w:pPr>
        <w:keepNext w:val="0"/>
        <w:keepLines w:val="0"/>
        <w:pageBreakBefore w:val="0"/>
        <w:kinsoku/>
        <w:wordWrap/>
        <w:overflowPunct/>
        <w:topLinePunct w:val="0"/>
        <w:autoSpaceDE w:val="0"/>
        <w:autoSpaceDN w:val="0"/>
        <w:bidi w:val="0"/>
        <w:adjustRightInd w:val="0"/>
        <w:spacing w:line="560" w:lineRule="exact"/>
        <w:ind w:firstLine="709"/>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3.项目单位基本情况</w:t>
      </w:r>
    </w:p>
    <w:p>
      <w:pPr>
        <w:keepNext w:val="0"/>
        <w:keepLines w:val="0"/>
        <w:pageBreakBefore w:val="0"/>
        <w:kinsoku/>
        <w:wordWrap/>
        <w:overflowPunct/>
        <w:topLinePunct w:val="0"/>
        <w:autoSpaceDE w:val="0"/>
        <w:autoSpaceDN w:val="0"/>
        <w:bidi w:val="0"/>
        <w:adjustRightInd w:val="0"/>
        <w:spacing w:line="560" w:lineRule="exact"/>
        <w:ind w:firstLine="709"/>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新疆维吾尔自治区邮政业安全中心于2017年10月31日经自治区编办批复成立，委托自治区邮政管理局管理，为县（处）级财政全额拨款事业单位。部门编制数8名，领导职数２名（一正一副），2022年末实有在职数６人，其中实配领导职数2名。主要职责包括：负责自治区邮政行业</w:t>
      </w:r>
      <w:bookmarkStart w:id="0" w:name="_GoBack"/>
      <w:bookmarkEnd w:id="0"/>
      <w:r>
        <w:rPr>
          <w:rFonts w:hint="eastAsia" w:ascii="仿宋" w:hAnsi="仿宋" w:eastAsia="仿宋"/>
          <w:color w:val="auto"/>
          <w:sz w:val="32"/>
          <w:szCs w:val="32"/>
          <w:highlight w:val="none"/>
          <w:lang w:val="en-US" w:eastAsia="zh-CN"/>
        </w:rPr>
        <w:t>安全监管信息系统的建设、管理和维护；承担邮政行业安全监管相关技术性、辅助性工作；协助开展行业运行安全监测和应急处置；承担邮政业消费者申诉受理等工作。</w:t>
      </w:r>
    </w:p>
    <w:p>
      <w:pPr>
        <w:keepNext w:val="0"/>
        <w:keepLines w:val="0"/>
        <w:pageBreakBefore w:val="0"/>
        <w:kinsoku/>
        <w:wordWrap/>
        <w:overflowPunct/>
        <w:topLinePunct w:val="0"/>
        <w:autoSpaceDE w:val="0"/>
        <w:autoSpaceDN w:val="0"/>
        <w:bidi w:val="0"/>
        <w:adjustRightInd w:val="0"/>
        <w:spacing w:line="560" w:lineRule="exact"/>
        <w:ind w:firstLine="709"/>
        <w:rPr>
          <w:rFonts w:hint="eastAsia"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2022年，</w:t>
      </w:r>
      <w:r>
        <w:rPr>
          <w:rFonts w:hint="eastAsia" w:ascii="仿宋" w:hAnsi="仿宋" w:eastAsia="仿宋"/>
          <w:color w:val="auto"/>
          <w:sz w:val="32"/>
          <w:szCs w:val="32"/>
          <w:highlight w:val="none"/>
          <w:lang w:eastAsia="zh-CN"/>
        </w:rPr>
        <w:t>新疆维吾尔自治区邮政业安全中心</w:t>
      </w:r>
      <w:r>
        <w:rPr>
          <w:rFonts w:hint="eastAsia" w:ascii="仿宋" w:hAnsi="仿宋" w:eastAsia="仿宋"/>
          <w:color w:val="auto"/>
          <w:sz w:val="32"/>
          <w:szCs w:val="32"/>
          <w:highlight w:val="none"/>
          <w:lang w:val="en-US" w:eastAsia="zh-CN"/>
        </w:rPr>
        <w:t>根据职责实施邮政快递业安全支撑与保障项目，切实履行</w:t>
      </w:r>
      <w:r>
        <w:rPr>
          <w:rFonts w:hint="eastAsia" w:ascii="仿宋" w:hAnsi="仿宋" w:eastAsia="仿宋"/>
          <w:color w:val="auto"/>
          <w:sz w:val="32"/>
          <w:szCs w:val="32"/>
          <w:highlight w:val="none"/>
          <w:lang w:eastAsia="zh-CN"/>
        </w:rPr>
        <w:t>支撑、服务、保障职能</w:t>
      </w:r>
      <w:r>
        <w:rPr>
          <w:rFonts w:hint="eastAsia" w:ascii="仿宋" w:hAnsi="仿宋" w:eastAsia="仿宋"/>
          <w:color w:val="auto"/>
          <w:sz w:val="32"/>
          <w:szCs w:val="32"/>
          <w:highlight w:val="none"/>
        </w:rPr>
        <w:t>。</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lang w:val="en-US" w:eastAsia="zh-CN"/>
        </w:rPr>
        <w:t>（二）项目</w:t>
      </w:r>
      <w:r>
        <w:rPr>
          <w:rFonts w:hint="eastAsia" w:ascii="楷体" w:hAnsi="楷体" w:eastAsia="楷体" w:cs="楷体"/>
          <w:color w:val="auto"/>
          <w:sz w:val="32"/>
          <w:szCs w:val="32"/>
          <w:highlight w:val="none"/>
        </w:rPr>
        <w:t>内容及实施</w:t>
      </w:r>
      <w:r>
        <w:rPr>
          <w:rFonts w:hint="eastAsia" w:ascii="楷体" w:hAnsi="楷体" w:eastAsia="楷体" w:cs="楷体"/>
          <w:color w:val="auto"/>
          <w:sz w:val="32"/>
          <w:szCs w:val="32"/>
          <w:highlight w:val="none"/>
          <w:lang w:eastAsia="zh-CN"/>
        </w:rPr>
        <w:t>进展</w:t>
      </w:r>
      <w:r>
        <w:rPr>
          <w:rFonts w:hint="eastAsia" w:ascii="楷体" w:hAnsi="楷体" w:eastAsia="楷体" w:cs="楷体"/>
          <w:color w:val="auto"/>
          <w:sz w:val="32"/>
          <w:szCs w:val="32"/>
          <w:highlight w:val="none"/>
        </w:rPr>
        <w:t>情况</w:t>
      </w:r>
    </w:p>
    <w:p>
      <w:pPr>
        <w:keepNext w:val="0"/>
        <w:keepLines w:val="0"/>
        <w:pageBreakBefore w:val="0"/>
        <w:kinsoku/>
        <w:wordWrap/>
        <w:overflowPunct/>
        <w:topLinePunct w:val="0"/>
        <w:autoSpaceDE w:val="0"/>
        <w:autoSpaceDN w:val="0"/>
        <w:bidi w:val="0"/>
        <w:adjustRightInd w:val="0"/>
        <w:spacing w:line="560" w:lineRule="exact"/>
        <w:ind w:firstLine="70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lang w:eastAsia="zh-CN"/>
        </w:rPr>
        <w:t>升级安全监控平台，做好平台维护，</w:t>
      </w:r>
      <w:r>
        <w:rPr>
          <w:rFonts w:hint="eastAsia" w:ascii="仿宋" w:hAnsi="仿宋" w:eastAsia="仿宋"/>
          <w:color w:val="auto"/>
          <w:sz w:val="32"/>
          <w:szCs w:val="32"/>
          <w:highlight w:val="none"/>
        </w:rPr>
        <w:t>为提升行业治理能力和水平</w:t>
      </w:r>
      <w:r>
        <w:rPr>
          <w:rFonts w:hint="eastAsia" w:ascii="仿宋" w:hAnsi="仿宋" w:eastAsia="仿宋"/>
          <w:color w:val="auto"/>
          <w:sz w:val="32"/>
          <w:szCs w:val="32"/>
          <w:highlight w:val="none"/>
          <w:lang w:eastAsia="zh-CN"/>
        </w:rPr>
        <w:t>提供数据支撑和保障。</w:t>
      </w:r>
    </w:p>
    <w:p>
      <w:pPr>
        <w:keepNext w:val="0"/>
        <w:keepLines w:val="0"/>
        <w:pageBreakBefore w:val="0"/>
        <w:kinsoku/>
        <w:wordWrap/>
        <w:overflowPunct/>
        <w:topLinePunct w:val="0"/>
        <w:autoSpaceDE w:val="0"/>
        <w:autoSpaceDN w:val="0"/>
        <w:bidi w:val="0"/>
        <w:adjustRightInd w:val="0"/>
        <w:spacing w:line="560" w:lineRule="exact"/>
        <w:ind w:firstLine="70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指导地州市邮政管理局使用安全监管平台，做好技术指导及服务保障工作。</w:t>
      </w:r>
    </w:p>
    <w:p>
      <w:pPr>
        <w:keepNext w:val="0"/>
        <w:keepLines w:val="0"/>
        <w:pageBreakBefore w:val="0"/>
        <w:kinsoku/>
        <w:wordWrap/>
        <w:overflowPunct/>
        <w:topLinePunct w:val="0"/>
        <w:autoSpaceDE w:val="0"/>
        <w:autoSpaceDN w:val="0"/>
        <w:bidi w:val="0"/>
        <w:adjustRightInd w:val="0"/>
        <w:spacing w:line="560" w:lineRule="exact"/>
        <w:ind w:firstLine="70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lang w:eastAsia="zh-CN"/>
        </w:rPr>
        <w:t>组织开展应急管理知识和安全生产法律法规培训。</w:t>
      </w:r>
    </w:p>
    <w:p>
      <w:pPr>
        <w:keepNext w:val="0"/>
        <w:keepLines w:val="0"/>
        <w:pageBreakBefore w:val="0"/>
        <w:kinsoku/>
        <w:wordWrap/>
        <w:overflowPunct/>
        <w:topLinePunct w:val="0"/>
        <w:autoSpaceDE w:val="0"/>
        <w:autoSpaceDN w:val="0"/>
        <w:bidi w:val="0"/>
        <w:adjustRightInd w:val="0"/>
        <w:spacing w:line="560" w:lineRule="exact"/>
        <w:ind w:firstLine="70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lang w:eastAsia="zh-CN"/>
        </w:rPr>
        <w:t>夯实行业应急管理工作基础，指导地州市邮政管理局开展做好突发事件应急处置。</w:t>
      </w:r>
    </w:p>
    <w:p>
      <w:pPr>
        <w:keepNext w:val="0"/>
        <w:keepLines w:val="0"/>
        <w:pageBreakBefore w:val="0"/>
        <w:kinsoku/>
        <w:wordWrap/>
        <w:overflowPunct/>
        <w:topLinePunct w:val="0"/>
        <w:autoSpaceDE w:val="0"/>
        <w:autoSpaceDN w:val="0"/>
        <w:bidi w:val="0"/>
        <w:adjustRightInd w:val="0"/>
        <w:spacing w:line="560" w:lineRule="exact"/>
        <w:ind w:firstLine="709"/>
        <w:rPr>
          <w:rFonts w:hint="eastAsia" w:ascii="仿宋" w:hAnsi="仿宋" w:eastAsia="仿宋" w:cs="仿宋"/>
          <w:color w:val="auto"/>
          <w:sz w:val="32"/>
          <w:szCs w:val="32"/>
          <w:highlight w:val="none"/>
          <w:lang w:eastAsia="zh-CN"/>
        </w:rPr>
      </w:pPr>
      <w:r>
        <w:rPr>
          <w:rFonts w:hint="eastAsia" w:ascii="仿宋" w:hAnsi="仿宋" w:eastAsia="仿宋" w:cs="仿宋"/>
          <w:color w:val="auto"/>
          <w:kern w:val="2"/>
          <w:sz w:val="32"/>
          <w:szCs w:val="32"/>
          <w:highlight w:val="none"/>
          <w:lang w:val="en-US" w:eastAsia="zh-CN" w:bidi="ar-SA"/>
        </w:rPr>
        <w:t>5.做好“12305”邮政快递业用户申诉热线优化升级，顺利实现与自治区“12345”便民服务政务平台的归并融合</w:t>
      </w:r>
      <w:r>
        <w:rPr>
          <w:rFonts w:hint="eastAsia" w:ascii="仿宋" w:hAnsi="仿宋" w:eastAsia="仿宋" w:cs="仿宋"/>
          <w:color w:val="auto"/>
          <w:sz w:val="32"/>
          <w:szCs w:val="32"/>
          <w:highlight w:val="none"/>
          <w:lang w:eastAsia="zh-CN"/>
        </w:rPr>
        <w:t>。</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lang w:eastAsia="zh-CN"/>
        </w:rPr>
        <w:t>（三）项目</w:t>
      </w:r>
      <w:r>
        <w:rPr>
          <w:rFonts w:hint="eastAsia" w:ascii="楷体" w:hAnsi="楷体" w:eastAsia="楷体" w:cs="楷体"/>
          <w:color w:val="auto"/>
          <w:sz w:val="32"/>
          <w:szCs w:val="32"/>
          <w:highlight w:val="none"/>
        </w:rPr>
        <w:t>资金</w:t>
      </w:r>
      <w:r>
        <w:rPr>
          <w:rFonts w:hint="eastAsia" w:ascii="楷体" w:hAnsi="楷体" w:eastAsia="楷体" w:cs="楷体"/>
          <w:color w:val="auto"/>
          <w:sz w:val="32"/>
          <w:szCs w:val="32"/>
          <w:highlight w:val="none"/>
          <w:lang w:eastAsia="zh-CN"/>
        </w:rPr>
        <w:t>安排及</w:t>
      </w:r>
      <w:r>
        <w:rPr>
          <w:rFonts w:hint="eastAsia" w:ascii="楷体" w:hAnsi="楷体" w:eastAsia="楷体" w:cs="楷体"/>
          <w:color w:val="auto"/>
          <w:sz w:val="32"/>
          <w:szCs w:val="32"/>
          <w:highlight w:val="none"/>
        </w:rPr>
        <w:t>使用情况</w:t>
      </w:r>
    </w:p>
    <w:p>
      <w:pPr>
        <w:pStyle w:val="6"/>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exact"/>
        <w:ind w:right="0" w:rightChars="0"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1.项目资金安排情况</w:t>
      </w:r>
    </w:p>
    <w:p>
      <w:pPr>
        <w:pStyle w:val="6"/>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exact"/>
        <w:ind w:right="0" w:rightChars="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kern w:val="2"/>
          <w:sz w:val="32"/>
          <w:szCs w:val="32"/>
          <w:highlight w:val="none"/>
          <w:lang w:val="en-US" w:eastAsia="zh-CN" w:bidi="ar-SA"/>
        </w:rPr>
        <w:t xml:space="preserve">    2022年</w:t>
      </w:r>
      <w:r>
        <w:rPr>
          <w:rFonts w:hint="eastAsia" w:ascii="仿宋" w:hAnsi="仿宋" w:eastAsia="仿宋" w:cs="仿宋"/>
          <w:color w:val="auto"/>
          <w:sz w:val="32"/>
          <w:szCs w:val="32"/>
          <w:highlight w:val="none"/>
          <w:lang w:eastAsia="zh-CN"/>
        </w:rPr>
        <w:t>新疆维吾尔自治区邮政业安全中心邮政快递业安全支撑与保障项目</w:t>
      </w:r>
      <w:r>
        <w:rPr>
          <w:rFonts w:hint="eastAsia" w:ascii="仿宋" w:hAnsi="仿宋" w:eastAsia="仿宋" w:cs="仿宋"/>
          <w:color w:val="auto"/>
          <w:sz w:val="32"/>
          <w:szCs w:val="32"/>
          <w:highlight w:val="none"/>
        </w:rPr>
        <w:t>经费</w:t>
      </w:r>
      <w:r>
        <w:rPr>
          <w:rFonts w:hint="eastAsia" w:ascii="仿宋" w:hAnsi="仿宋" w:eastAsia="仿宋" w:cs="仿宋"/>
          <w:color w:val="auto"/>
          <w:sz w:val="32"/>
          <w:szCs w:val="32"/>
          <w:highlight w:val="none"/>
          <w:lang w:val="en-US" w:eastAsia="zh-CN"/>
        </w:rPr>
        <w:t>26.00</w:t>
      </w:r>
      <w:r>
        <w:rPr>
          <w:rFonts w:hint="eastAsia" w:ascii="仿宋" w:hAnsi="仿宋" w:eastAsia="仿宋" w:cs="仿宋"/>
          <w:color w:val="auto"/>
          <w:sz w:val="32"/>
          <w:szCs w:val="32"/>
          <w:highlight w:val="none"/>
        </w:rPr>
        <w:t>万。</w:t>
      </w:r>
    </w:p>
    <w:tbl>
      <w:tblPr>
        <w:tblStyle w:val="11"/>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2479"/>
        <w:gridCol w:w="1400"/>
        <w:gridCol w:w="4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85" w:type="dxa"/>
            <w:vAlign w:val="center"/>
          </w:tcPr>
          <w:p>
            <w:pPr>
              <w:keepNext w:val="0"/>
              <w:keepLines w:val="0"/>
              <w:pageBreakBefore w:val="0"/>
              <w:kinsoku/>
              <w:wordWrap/>
              <w:overflowPunct/>
              <w:topLinePunct w:val="0"/>
              <w:bidi w:val="0"/>
              <w:spacing w:line="560" w:lineRule="exact"/>
              <w:jc w:val="center"/>
              <w:outlineLvl w:val="0"/>
              <w:rPr>
                <w:rFonts w:ascii="仿宋" w:hAnsi="仿宋" w:eastAsia="仿宋"/>
                <w:b/>
                <w:color w:val="auto"/>
                <w:sz w:val="24"/>
                <w:highlight w:val="none"/>
              </w:rPr>
            </w:pPr>
            <w:r>
              <w:rPr>
                <w:rFonts w:hint="eastAsia" w:ascii="仿宋" w:hAnsi="仿宋" w:eastAsia="仿宋"/>
                <w:b/>
                <w:color w:val="auto"/>
                <w:sz w:val="24"/>
                <w:highlight w:val="none"/>
              </w:rPr>
              <w:t>序号</w:t>
            </w:r>
          </w:p>
        </w:tc>
        <w:tc>
          <w:tcPr>
            <w:tcW w:w="2479" w:type="dxa"/>
            <w:vAlign w:val="center"/>
          </w:tcPr>
          <w:p>
            <w:pPr>
              <w:keepNext w:val="0"/>
              <w:keepLines w:val="0"/>
              <w:pageBreakBefore w:val="0"/>
              <w:kinsoku/>
              <w:wordWrap/>
              <w:overflowPunct/>
              <w:topLinePunct w:val="0"/>
              <w:bidi w:val="0"/>
              <w:spacing w:line="560" w:lineRule="exact"/>
              <w:jc w:val="center"/>
              <w:outlineLvl w:val="0"/>
              <w:rPr>
                <w:rFonts w:ascii="仿宋" w:hAnsi="仿宋" w:eastAsia="仿宋"/>
                <w:b/>
                <w:color w:val="auto"/>
                <w:sz w:val="24"/>
                <w:highlight w:val="none"/>
              </w:rPr>
            </w:pPr>
            <w:r>
              <w:rPr>
                <w:rFonts w:hint="eastAsia" w:ascii="仿宋" w:hAnsi="仿宋" w:eastAsia="仿宋"/>
                <w:b/>
                <w:color w:val="auto"/>
                <w:sz w:val="24"/>
                <w:highlight w:val="none"/>
              </w:rPr>
              <w:t>项目名称</w:t>
            </w:r>
          </w:p>
        </w:tc>
        <w:tc>
          <w:tcPr>
            <w:tcW w:w="1400" w:type="dxa"/>
            <w:vAlign w:val="center"/>
          </w:tcPr>
          <w:p>
            <w:pPr>
              <w:keepNext w:val="0"/>
              <w:keepLines w:val="0"/>
              <w:pageBreakBefore w:val="0"/>
              <w:kinsoku/>
              <w:wordWrap/>
              <w:overflowPunct/>
              <w:topLinePunct w:val="0"/>
              <w:bidi w:val="0"/>
              <w:spacing w:line="560" w:lineRule="exact"/>
              <w:jc w:val="center"/>
              <w:outlineLvl w:val="0"/>
              <w:rPr>
                <w:rFonts w:ascii="仿宋" w:hAnsi="仿宋" w:eastAsia="仿宋"/>
                <w:b/>
                <w:color w:val="auto"/>
                <w:sz w:val="24"/>
                <w:highlight w:val="none"/>
              </w:rPr>
            </w:pPr>
            <w:r>
              <w:rPr>
                <w:rFonts w:hint="eastAsia" w:ascii="仿宋" w:hAnsi="仿宋" w:eastAsia="仿宋"/>
                <w:b/>
                <w:color w:val="auto"/>
                <w:sz w:val="24"/>
                <w:highlight w:val="none"/>
              </w:rPr>
              <w:t>预算</w:t>
            </w:r>
          </w:p>
          <w:p>
            <w:pPr>
              <w:keepNext w:val="0"/>
              <w:keepLines w:val="0"/>
              <w:pageBreakBefore w:val="0"/>
              <w:kinsoku/>
              <w:wordWrap/>
              <w:overflowPunct/>
              <w:topLinePunct w:val="0"/>
              <w:bidi w:val="0"/>
              <w:spacing w:line="560" w:lineRule="exact"/>
              <w:jc w:val="center"/>
              <w:outlineLvl w:val="0"/>
              <w:rPr>
                <w:rFonts w:ascii="仿宋" w:hAnsi="仿宋" w:eastAsia="仿宋"/>
                <w:b/>
                <w:color w:val="auto"/>
                <w:sz w:val="24"/>
                <w:highlight w:val="none"/>
              </w:rPr>
            </w:pPr>
            <w:r>
              <w:rPr>
                <w:rFonts w:hint="eastAsia" w:ascii="仿宋" w:hAnsi="仿宋" w:eastAsia="仿宋"/>
                <w:b/>
                <w:color w:val="auto"/>
                <w:sz w:val="24"/>
                <w:highlight w:val="none"/>
              </w:rPr>
              <w:t>（万元）</w:t>
            </w:r>
          </w:p>
        </w:tc>
        <w:tc>
          <w:tcPr>
            <w:tcW w:w="4420" w:type="dxa"/>
            <w:vAlign w:val="center"/>
          </w:tcPr>
          <w:p>
            <w:pPr>
              <w:keepNext w:val="0"/>
              <w:keepLines w:val="0"/>
              <w:pageBreakBefore w:val="0"/>
              <w:kinsoku/>
              <w:wordWrap/>
              <w:overflowPunct/>
              <w:topLinePunct w:val="0"/>
              <w:bidi w:val="0"/>
              <w:spacing w:line="560" w:lineRule="exact"/>
              <w:jc w:val="center"/>
              <w:outlineLvl w:val="0"/>
              <w:rPr>
                <w:rFonts w:ascii="仿宋" w:hAnsi="仿宋" w:eastAsia="仿宋"/>
                <w:b/>
                <w:color w:val="auto"/>
                <w:sz w:val="24"/>
                <w:highlight w:val="none"/>
              </w:rPr>
            </w:pPr>
            <w:r>
              <w:rPr>
                <w:rFonts w:hint="eastAsia" w:ascii="仿宋" w:hAnsi="仿宋" w:eastAsia="仿宋"/>
                <w:b/>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85" w:type="dxa"/>
            <w:vAlign w:val="center"/>
          </w:tcPr>
          <w:p>
            <w:pPr>
              <w:keepNext w:val="0"/>
              <w:keepLines w:val="0"/>
              <w:pageBreakBefore w:val="0"/>
              <w:kinsoku/>
              <w:wordWrap/>
              <w:overflowPunct/>
              <w:topLinePunct w:val="0"/>
              <w:bidi w:val="0"/>
              <w:spacing w:line="560" w:lineRule="exact"/>
              <w:jc w:val="center"/>
              <w:outlineLvl w:val="0"/>
              <w:rPr>
                <w:rFonts w:ascii="仿宋" w:hAnsi="仿宋" w:eastAsia="仿宋"/>
                <w:b/>
                <w:bCs/>
                <w:color w:val="auto"/>
                <w:sz w:val="24"/>
                <w:highlight w:val="none"/>
              </w:rPr>
            </w:pPr>
            <w:r>
              <w:rPr>
                <w:rFonts w:hint="eastAsia" w:ascii="仿宋" w:hAnsi="仿宋" w:eastAsia="仿宋"/>
                <w:b/>
                <w:bCs/>
                <w:color w:val="auto"/>
                <w:sz w:val="24"/>
                <w:highlight w:val="none"/>
              </w:rPr>
              <w:t>1</w:t>
            </w:r>
          </w:p>
        </w:tc>
        <w:tc>
          <w:tcPr>
            <w:tcW w:w="2479" w:type="dxa"/>
            <w:vAlign w:val="center"/>
          </w:tcPr>
          <w:p>
            <w:pPr>
              <w:keepNext w:val="0"/>
              <w:keepLines w:val="0"/>
              <w:pageBreakBefore w:val="0"/>
              <w:kinsoku/>
              <w:wordWrap/>
              <w:overflowPunct/>
              <w:topLinePunct w:val="0"/>
              <w:bidi w:val="0"/>
              <w:snapToGrid w:val="0"/>
              <w:spacing w:line="560" w:lineRule="exact"/>
              <w:rPr>
                <w:rFonts w:hint="eastAsia" w:ascii="仿宋" w:hAnsi="仿宋" w:eastAsia="仿宋"/>
                <w:b/>
                <w:bCs/>
                <w:color w:val="auto"/>
                <w:sz w:val="24"/>
                <w:highlight w:val="none"/>
              </w:rPr>
            </w:pPr>
            <w:r>
              <w:rPr>
                <w:rFonts w:hint="eastAsia" w:ascii="仿宋" w:hAnsi="仿宋" w:eastAsia="仿宋"/>
                <w:color w:val="auto"/>
                <w:sz w:val="30"/>
                <w:szCs w:val="30"/>
                <w:highlight w:val="none"/>
                <w:lang w:eastAsia="zh-CN"/>
              </w:rPr>
              <w:t>新疆维吾尔自治区邮政业安全中心邮政快递业安全支撑与保障项目</w:t>
            </w:r>
            <w:r>
              <w:rPr>
                <w:rFonts w:hint="eastAsia" w:ascii="仿宋" w:hAnsi="仿宋" w:eastAsia="仿宋"/>
                <w:b/>
                <w:bCs/>
                <w:color w:val="auto"/>
                <w:sz w:val="24"/>
                <w:highlight w:val="none"/>
              </w:rPr>
              <w:t>（单一来源）</w:t>
            </w:r>
          </w:p>
        </w:tc>
        <w:tc>
          <w:tcPr>
            <w:tcW w:w="1400" w:type="dxa"/>
            <w:vAlign w:val="center"/>
          </w:tcPr>
          <w:p>
            <w:pPr>
              <w:keepNext w:val="0"/>
              <w:keepLines w:val="0"/>
              <w:pageBreakBefore w:val="0"/>
              <w:kinsoku/>
              <w:wordWrap/>
              <w:overflowPunct/>
              <w:topLinePunct w:val="0"/>
              <w:bidi w:val="0"/>
              <w:spacing w:line="560" w:lineRule="exact"/>
              <w:jc w:val="center"/>
              <w:outlineLvl w:val="0"/>
              <w:rPr>
                <w:rFonts w:hint="default" w:ascii="仿宋" w:hAnsi="仿宋" w:eastAsia="仿宋"/>
                <w:b/>
                <w:bCs/>
                <w:color w:val="auto"/>
                <w:sz w:val="24"/>
                <w:highlight w:val="none"/>
                <w:lang w:val="en-US" w:eastAsia="zh-CN"/>
              </w:rPr>
            </w:pPr>
            <w:r>
              <w:rPr>
                <w:rFonts w:hint="eastAsia" w:ascii="仿宋" w:hAnsi="仿宋" w:eastAsia="仿宋"/>
                <w:b/>
                <w:bCs/>
                <w:color w:val="auto"/>
                <w:sz w:val="24"/>
                <w:highlight w:val="none"/>
                <w:lang w:val="en-US" w:eastAsia="zh-CN"/>
              </w:rPr>
              <w:t>26.00</w:t>
            </w:r>
          </w:p>
        </w:tc>
        <w:tc>
          <w:tcPr>
            <w:tcW w:w="4420" w:type="dxa"/>
            <w:vAlign w:val="center"/>
          </w:tcPr>
          <w:p>
            <w:pPr>
              <w:keepNext w:val="0"/>
              <w:keepLines w:val="0"/>
              <w:pageBreakBefore w:val="0"/>
              <w:kinsoku/>
              <w:wordWrap/>
              <w:overflowPunct/>
              <w:topLinePunct w:val="0"/>
              <w:bidi w:val="0"/>
              <w:adjustRightInd w:val="0"/>
              <w:spacing w:line="560" w:lineRule="exact"/>
              <w:textAlignment w:val="baseline"/>
              <w:outlineLvl w:val="0"/>
              <w:rPr>
                <w:rFonts w:ascii="仿宋" w:hAnsi="仿宋" w:eastAsia="仿宋"/>
                <w:color w:val="auto"/>
                <w:sz w:val="24"/>
                <w:highlight w:val="none"/>
              </w:rPr>
            </w:pPr>
            <w:r>
              <w:rPr>
                <w:rFonts w:hint="eastAsia" w:ascii="仿宋" w:hAnsi="仿宋" w:eastAsia="仿宋"/>
                <w:color w:val="auto"/>
                <w:sz w:val="24"/>
                <w:highlight w:val="none"/>
                <w:lang w:eastAsia="zh-CN"/>
              </w:rPr>
              <w:t>安全监控平台维护</w:t>
            </w:r>
          </w:p>
          <w:p>
            <w:pPr>
              <w:keepNext w:val="0"/>
              <w:keepLines w:val="0"/>
              <w:pageBreakBefore w:val="0"/>
              <w:kinsoku/>
              <w:wordWrap/>
              <w:overflowPunct/>
              <w:topLinePunct w:val="0"/>
              <w:bidi w:val="0"/>
              <w:adjustRightInd w:val="0"/>
              <w:spacing w:line="560" w:lineRule="exact"/>
              <w:textAlignment w:val="baseline"/>
              <w:outlineLvl w:val="0"/>
              <w:rPr>
                <w:rFonts w:hint="eastAsia" w:ascii="仿宋" w:hAnsi="仿宋" w:eastAsia="仿宋"/>
                <w:color w:val="auto"/>
                <w:sz w:val="24"/>
                <w:highlight w:val="none"/>
                <w:lang w:eastAsia="zh-CN"/>
              </w:rPr>
            </w:pPr>
            <w:r>
              <w:rPr>
                <w:rFonts w:hint="eastAsia" w:ascii="仿宋" w:hAnsi="仿宋" w:eastAsia="仿宋"/>
                <w:color w:val="auto"/>
                <w:sz w:val="24"/>
                <w:highlight w:val="none"/>
                <w:lang w:eastAsia="zh-CN"/>
              </w:rPr>
              <w:t>技术支撑</w:t>
            </w:r>
          </w:p>
          <w:p>
            <w:pPr>
              <w:keepNext w:val="0"/>
              <w:keepLines w:val="0"/>
              <w:pageBreakBefore w:val="0"/>
              <w:kinsoku/>
              <w:wordWrap/>
              <w:overflowPunct/>
              <w:topLinePunct w:val="0"/>
              <w:bidi w:val="0"/>
              <w:adjustRightInd w:val="0"/>
              <w:spacing w:line="560" w:lineRule="exact"/>
              <w:textAlignment w:val="baseline"/>
              <w:outlineLvl w:val="0"/>
              <w:rPr>
                <w:rFonts w:hint="eastAsia" w:ascii="仿宋" w:hAnsi="仿宋" w:eastAsia="仿宋"/>
                <w:color w:val="auto"/>
                <w:sz w:val="24"/>
                <w:highlight w:val="none"/>
                <w:lang w:eastAsia="zh-CN"/>
              </w:rPr>
            </w:pPr>
            <w:r>
              <w:rPr>
                <w:rFonts w:hint="eastAsia" w:ascii="仿宋" w:hAnsi="仿宋" w:eastAsia="仿宋"/>
                <w:color w:val="auto"/>
                <w:sz w:val="24"/>
                <w:highlight w:val="none"/>
                <w:lang w:eastAsia="zh-CN"/>
              </w:rPr>
              <w:t>培训</w:t>
            </w:r>
          </w:p>
          <w:p>
            <w:pPr>
              <w:keepNext w:val="0"/>
              <w:keepLines w:val="0"/>
              <w:pageBreakBefore w:val="0"/>
              <w:kinsoku/>
              <w:wordWrap/>
              <w:overflowPunct/>
              <w:topLinePunct w:val="0"/>
              <w:bidi w:val="0"/>
              <w:adjustRightInd w:val="0"/>
              <w:spacing w:line="560" w:lineRule="exact"/>
              <w:textAlignment w:val="baseline"/>
              <w:outlineLvl w:val="0"/>
              <w:rPr>
                <w:rFonts w:hint="eastAsia" w:ascii="仿宋" w:hAnsi="仿宋" w:eastAsia="仿宋"/>
                <w:color w:val="auto"/>
                <w:sz w:val="24"/>
                <w:highlight w:val="none"/>
                <w:lang w:eastAsia="zh-CN"/>
              </w:rPr>
            </w:pPr>
            <w:r>
              <w:rPr>
                <w:rFonts w:hint="eastAsia" w:ascii="仿宋" w:hAnsi="仿宋" w:eastAsia="仿宋"/>
                <w:color w:val="auto"/>
                <w:sz w:val="24"/>
                <w:highlight w:val="none"/>
                <w:lang w:eastAsia="zh-CN"/>
              </w:rPr>
              <w:t>应急</w:t>
            </w:r>
          </w:p>
          <w:p>
            <w:pPr>
              <w:keepNext w:val="0"/>
              <w:keepLines w:val="0"/>
              <w:pageBreakBefore w:val="0"/>
              <w:kinsoku/>
              <w:wordWrap/>
              <w:overflowPunct/>
              <w:topLinePunct w:val="0"/>
              <w:bidi w:val="0"/>
              <w:adjustRightInd w:val="0"/>
              <w:spacing w:line="560" w:lineRule="exact"/>
              <w:textAlignment w:val="baseline"/>
              <w:outlineLvl w:val="0"/>
              <w:rPr>
                <w:rFonts w:hint="eastAsia" w:ascii="仿宋" w:hAnsi="仿宋" w:eastAsia="仿宋"/>
                <w:color w:val="auto"/>
                <w:sz w:val="24"/>
                <w:highlight w:val="none"/>
                <w:lang w:eastAsia="zh-CN"/>
              </w:rPr>
            </w:pPr>
            <w:r>
              <w:rPr>
                <w:rFonts w:hint="eastAsia" w:ascii="仿宋" w:hAnsi="仿宋" w:eastAsia="仿宋"/>
                <w:color w:val="auto"/>
                <w:sz w:val="24"/>
                <w:highlight w:val="none"/>
                <w:lang w:eastAsia="zh-CN"/>
              </w:rPr>
              <w:t>申诉平台基础设备配备</w:t>
            </w:r>
          </w:p>
        </w:tc>
      </w:tr>
    </w:tbl>
    <w:p>
      <w:pPr>
        <w:pStyle w:val="9"/>
        <w:keepNext w:val="0"/>
        <w:keepLines w:val="0"/>
        <w:pageBreakBefore w:val="0"/>
        <w:kinsoku/>
        <w:wordWrap/>
        <w:overflowPunct/>
        <w:topLinePunct w:val="0"/>
        <w:bidi w:val="0"/>
        <w:spacing w:line="560" w:lineRule="exact"/>
        <w:rPr>
          <w:rFonts w:hint="eastAsia"/>
          <w:color w:val="auto"/>
          <w:highlight w:val="none"/>
        </w:rPr>
      </w:pPr>
    </w:p>
    <w:p>
      <w:pPr>
        <w:pStyle w:val="6"/>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exact"/>
        <w:ind w:leftChars="200" w:right="0" w:rightChars="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2.资金使用情况</w:t>
      </w:r>
    </w:p>
    <w:p>
      <w:pPr>
        <w:keepNext w:val="0"/>
        <w:keepLines w:val="0"/>
        <w:pageBreakBefore w:val="0"/>
        <w:kinsoku/>
        <w:wordWrap/>
        <w:overflowPunct/>
        <w:topLinePunct w:val="0"/>
        <w:bidi w:val="0"/>
        <w:spacing w:line="560" w:lineRule="exact"/>
        <w:ind w:firstLine="640" w:firstLineChars="200"/>
        <w:rPr>
          <w:rFonts w:hint="eastAsia" w:ascii="仿宋" w:hAnsi="仿宋" w:eastAsia="仿宋" w:cs="新宋体"/>
          <w:color w:val="auto"/>
          <w:sz w:val="32"/>
          <w:szCs w:val="32"/>
          <w:lang w:val="en-US" w:eastAsia="zh-CN"/>
        </w:rPr>
      </w:pPr>
      <w:r>
        <w:rPr>
          <w:rFonts w:hint="eastAsia" w:ascii="仿宋" w:hAnsi="仿宋" w:eastAsia="仿宋" w:cs="仿宋"/>
          <w:color w:val="auto"/>
          <w:sz w:val="32"/>
          <w:szCs w:val="32"/>
          <w:highlight w:val="none"/>
          <w:lang w:val="en-US" w:eastAsia="zh-CN"/>
        </w:rPr>
        <w:t>2022年，</w:t>
      </w:r>
      <w:r>
        <w:rPr>
          <w:rFonts w:hint="eastAsia" w:ascii="仿宋" w:hAnsi="仿宋" w:eastAsia="仿宋" w:cs="仿宋"/>
          <w:color w:val="auto"/>
          <w:sz w:val="32"/>
          <w:szCs w:val="32"/>
          <w:highlight w:val="none"/>
          <w:lang w:eastAsia="zh-CN"/>
        </w:rPr>
        <w:t>邮政快递业安全支撑与保障项目</w:t>
      </w:r>
      <w:r>
        <w:rPr>
          <w:rFonts w:hint="eastAsia" w:ascii="仿宋" w:hAnsi="仿宋" w:eastAsia="仿宋" w:cs="新宋体"/>
          <w:color w:val="auto"/>
          <w:sz w:val="32"/>
          <w:szCs w:val="32"/>
          <w:lang w:eastAsia="zh-CN"/>
        </w:rPr>
        <w:t>资金合计</w:t>
      </w:r>
      <w:r>
        <w:rPr>
          <w:rFonts w:hint="eastAsia" w:ascii="仿宋" w:hAnsi="仿宋" w:eastAsia="仿宋" w:cs="仿宋"/>
          <w:color w:val="auto"/>
          <w:sz w:val="32"/>
          <w:szCs w:val="32"/>
          <w:highlight w:val="none"/>
          <w:lang w:val="en-US" w:eastAsia="zh-CN"/>
        </w:rPr>
        <w:t>26.00万元，</w:t>
      </w:r>
      <w:r>
        <w:rPr>
          <w:rFonts w:hint="eastAsia" w:ascii="仿宋" w:hAnsi="仿宋" w:eastAsia="仿宋" w:cs="新宋体"/>
          <w:color w:val="auto"/>
          <w:sz w:val="32"/>
          <w:szCs w:val="32"/>
          <w:lang w:val="en-US" w:eastAsia="zh-CN"/>
        </w:rPr>
        <w:t>使用年初结转和结余资金0万元，财政拨款占资金来源100%。</w:t>
      </w:r>
    </w:p>
    <w:p>
      <w:pPr>
        <w:keepNext w:val="0"/>
        <w:keepLines w:val="0"/>
        <w:pageBreakBefore w:val="0"/>
        <w:kinsoku/>
        <w:wordWrap/>
        <w:overflowPunct/>
        <w:topLinePunct w:val="0"/>
        <w:bidi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截至12月底，该项目实际支出26.00万元，其中：</w:t>
      </w:r>
    </w:p>
    <w:p>
      <w:pPr>
        <w:keepNext w:val="0"/>
        <w:keepLines w:val="0"/>
        <w:pageBreakBefore w:val="0"/>
        <w:kinsoku/>
        <w:wordWrap/>
        <w:overflowPunct/>
        <w:topLinePunct w:val="0"/>
        <w:bidi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安全监管平台技术支撑：1.34万元，</w:t>
      </w:r>
    </w:p>
    <w:p>
      <w:pPr>
        <w:keepNext w:val="0"/>
        <w:keepLines w:val="0"/>
        <w:pageBreakBefore w:val="0"/>
        <w:kinsoku/>
        <w:wordWrap/>
        <w:overflowPunct/>
        <w:topLinePunct w:val="0"/>
        <w:bidi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安全监管平台系统运行维护：11.37万元，</w:t>
      </w:r>
    </w:p>
    <w:p>
      <w:pPr>
        <w:keepNext w:val="0"/>
        <w:keepLines w:val="0"/>
        <w:pageBreakBefore w:val="0"/>
        <w:kinsoku/>
        <w:wordWrap/>
        <w:overflowPunct/>
        <w:topLinePunct w:val="0"/>
        <w:bidi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应急管理、安全生产及申诉工作人员培训：3.33万元，</w:t>
      </w:r>
    </w:p>
    <w:p>
      <w:pPr>
        <w:keepNext w:val="0"/>
        <w:keepLines w:val="0"/>
        <w:pageBreakBefore w:val="0"/>
        <w:kinsoku/>
        <w:wordWrap/>
        <w:overflowPunct/>
        <w:topLinePunct w:val="0"/>
        <w:bidi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突发事件调查处置：1.15万元，</w:t>
      </w:r>
    </w:p>
    <w:p>
      <w:pPr>
        <w:keepNext w:val="0"/>
        <w:keepLines w:val="0"/>
        <w:pageBreakBefore w:val="0"/>
        <w:kinsoku/>
        <w:wordWrap/>
        <w:overflowPunct/>
        <w:topLinePunct w:val="0"/>
        <w:bidi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12305申诉平台数字专线设备及通信：7.31万元，</w:t>
      </w:r>
    </w:p>
    <w:p>
      <w:pPr>
        <w:keepNext w:val="0"/>
        <w:keepLines w:val="0"/>
        <w:pageBreakBefore w:val="0"/>
        <w:kinsoku/>
        <w:wordWrap/>
        <w:overflowPunct/>
        <w:topLinePunct w:val="0"/>
        <w:bidi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办公设备及软件购置：1.5万元。</w:t>
      </w:r>
    </w:p>
    <w:p>
      <w:pPr>
        <w:keepNext w:val="0"/>
        <w:keepLines w:val="0"/>
        <w:pageBreakBefore w:val="0"/>
        <w:kinsoku/>
        <w:wordWrap/>
        <w:overflowPunct/>
        <w:topLinePunct w:val="0"/>
        <w:bidi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预算执行进度100%。</w:t>
      </w:r>
    </w:p>
    <w:p>
      <w:pPr>
        <w:pStyle w:val="6"/>
        <w:keepNext w:val="0"/>
        <w:keepLines w:val="0"/>
        <w:pageBreakBefore w:val="0"/>
        <w:widowControl w:val="0"/>
        <w:numPr>
          <w:ilvl w:val="0"/>
          <w:numId w:val="1"/>
        </w:numPr>
        <w:tabs>
          <w:tab w:val="left" w:pos="6372"/>
        </w:tabs>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项目绩效目标</w:t>
      </w:r>
      <w:r>
        <w:rPr>
          <w:rFonts w:hint="eastAsia" w:ascii="楷体" w:hAnsi="楷体" w:eastAsia="楷体" w:cs="楷体"/>
          <w:color w:val="auto"/>
          <w:sz w:val="32"/>
          <w:szCs w:val="32"/>
          <w:highlight w:val="none"/>
          <w:lang w:eastAsia="zh-CN"/>
        </w:rPr>
        <w:t>情况</w:t>
      </w:r>
    </w:p>
    <w:p>
      <w:pPr>
        <w:pStyle w:val="6"/>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exact"/>
        <w:ind w:leftChars="300" w:right="0" w:rightChars="0"/>
        <w:jc w:val="both"/>
        <w:textAlignment w:val="auto"/>
        <w:rPr>
          <w:rFonts w:hint="eastAsia" w:ascii="仿宋" w:hAnsi="仿宋" w:eastAsia="仿宋" w:cs="仿宋"/>
          <w:b w:val="0"/>
          <w:bCs w:val="0"/>
          <w:color w:val="auto"/>
          <w:spacing w:val="0"/>
          <w:kern w:val="2"/>
          <w:sz w:val="32"/>
          <w:szCs w:val="32"/>
          <w:highlight w:val="none"/>
          <w:lang w:val="en-US" w:eastAsia="zh-CN" w:bidi="ar-SA"/>
        </w:rPr>
      </w:pPr>
      <w:r>
        <w:rPr>
          <w:rFonts w:hint="eastAsia" w:ascii="仿宋" w:hAnsi="仿宋" w:eastAsia="仿宋" w:cs="仿宋"/>
          <w:b w:val="0"/>
          <w:bCs w:val="0"/>
          <w:color w:val="auto"/>
          <w:spacing w:val="0"/>
          <w:kern w:val="2"/>
          <w:sz w:val="32"/>
          <w:szCs w:val="32"/>
          <w:highlight w:val="none"/>
          <w:lang w:val="en-US" w:eastAsia="zh-CN" w:bidi="ar-SA"/>
        </w:rPr>
        <w:t>1.总目标</w:t>
      </w:r>
    </w:p>
    <w:p>
      <w:pPr>
        <w:pStyle w:val="6"/>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exact"/>
        <w:ind w:right="0" w:rightChars="0"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rPr>
        <w:t>针对当前</w:t>
      </w:r>
      <w:r>
        <w:rPr>
          <w:rFonts w:hint="eastAsia" w:ascii="仿宋" w:hAnsi="仿宋" w:eastAsia="仿宋" w:cs="仿宋"/>
          <w:color w:val="auto"/>
          <w:sz w:val="32"/>
          <w:szCs w:val="32"/>
          <w:highlight w:val="none"/>
          <w:lang w:eastAsia="zh-CN"/>
        </w:rPr>
        <w:t>我区</w:t>
      </w:r>
      <w:r>
        <w:rPr>
          <w:rFonts w:hint="eastAsia" w:ascii="仿宋" w:hAnsi="仿宋" w:eastAsia="仿宋" w:cs="仿宋"/>
          <w:color w:val="auto"/>
          <w:sz w:val="32"/>
          <w:szCs w:val="32"/>
          <w:highlight w:val="none"/>
        </w:rPr>
        <w:t>维稳形势及行业安全监管实际，</w:t>
      </w:r>
      <w:r>
        <w:rPr>
          <w:rFonts w:hint="eastAsia" w:ascii="仿宋" w:hAnsi="仿宋" w:eastAsia="仿宋" w:cs="仿宋"/>
          <w:color w:val="auto"/>
          <w:sz w:val="32"/>
          <w:szCs w:val="32"/>
          <w:highlight w:val="none"/>
          <w:lang w:eastAsia="zh-CN"/>
        </w:rPr>
        <w:t>通过发挥安全中心技术、服务、保障、支撑作用，打牢行业安全基础，</w:t>
      </w:r>
      <w:r>
        <w:rPr>
          <w:rFonts w:hint="eastAsia" w:ascii="仿宋" w:hAnsi="仿宋" w:eastAsia="仿宋" w:cs="仿宋"/>
          <w:color w:val="auto"/>
          <w:sz w:val="32"/>
          <w:szCs w:val="32"/>
          <w:highlight w:val="none"/>
        </w:rPr>
        <w:t>切实加强寄递渠道安全监管工作，为实现新疆社会稳定和长治久安总目标贡献力量。</w:t>
      </w:r>
    </w:p>
    <w:p>
      <w:pPr>
        <w:pStyle w:val="6"/>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exact"/>
        <w:ind w:right="0" w:rightChars="0"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2.阶段性目标</w:t>
      </w:r>
    </w:p>
    <w:p>
      <w:pPr>
        <w:pStyle w:val="6"/>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exact"/>
        <w:ind w:right="0" w:rightChars="0"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2022年，新疆维吾尔自治区邮政业安全中心配合国家邮政局做好做好“绿盾”工程后续建设工作，对全区邮政、快递企业视频实时监控、数据智能分析。开展多种形式的安全教育和培训,普及行业安全知识，提高行业从业人员安全意识和预防事故能力。开展监控平台升级改造，及时赴地州市邮政管理局局开展监控平台维护技术支持和应急管理调研指导。做好“12305”邮政快递业用户申诉热线优化升级，顺利实现与自治区“12345”便民服务政务平台的归并融合，为实现全区邮政业消费者申诉渠道畅通提供保障。</w:t>
      </w:r>
    </w:p>
    <w:p>
      <w:pPr>
        <w:pStyle w:val="6"/>
        <w:keepNext w:val="0"/>
        <w:keepLines w:val="0"/>
        <w:pageBreakBefore w:val="0"/>
        <w:widowControl w:val="0"/>
        <w:numPr>
          <w:ilvl w:val="0"/>
          <w:numId w:val="2"/>
        </w:numPr>
        <w:tabs>
          <w:tab w:val="left" w:pos="6372"/>
        </w:tabs>
        <w:kinsoku/>
        <w:wordWrap/>
        <w:overflowPunct/>
        <w:topLinePunct w:val="0"/>
        <w:autoSpaceDE/>
        <w:autoSpaceDN/>
        <w:bidi w:val="0"/>
        <w:adjustRightInd w:val="0"/>
        <w:snapToGrid w:val="0"/>
        <w:spacing w:line="560" w:lineRule="exact"/>
        <w:ind w:right="0" w:rightChars="0" w:firstLine="640" w:firstLineChars="200"/>
        <w:jc w:val="both"/>
        <w:textAlignment w:val="auto"/>
        <w:rPr>
          <w:rFonts w:hint="eastAsia" w:ascii="楷体" w:hAnsi="楷体" w:eastAsia="楷体" w:cs="楷体"/>
          <w:color w:val="auto"/>
          <w:kern w:val="2"/>
          <w:sz w:val="32"/>
          <w:szCs w:val="32"/>
          <w:highlight w:val="none"/>
          <w:lang w:val="en-US" w:eastAsia="zh-CN" w:bidi="ar-SA"/>
        </w:rPr>
      </w:pPr>
      <w:r>
        <w:rPr>
          <w:rFonts w:hint="eastAsia" w:ascii="楷体" w:hAnsi="楷体" w:eastAsia="楷体" w:cs="楷体"/>
          <w:color w:val="auto"/>
          <w:kern w:val="2"/>
          <w:sz w:val="32"/>
          <w:szCs w:val="32"/>
          <w:highlight w:val="none"/>
          <w:lang w:val="en-US" w:eastAsia="zh-CN" w:bidi="ar-SA"/>
        </w:rPr>
        <w:t>绩效自评情况及结论</w:t>
      </w:r>
    </w:p>
    <w:p>
      <w:pPr>
        <w:keepNext w:val="0"/>
        <w:keepLines w:val="0"/>
        <w:pageBreakBefore w:val="0"/>
        <w:widowControl/>
        <w:suppressLineNumbers w:val="0"/>
        <w:kinsoku/>
        <w:wordWrap/>
        <w:overflowPunct/>
        <w:topLinePunct w:val="0"/>
        <w:bidi w:val="0"/>
        <w:spacing w:line="560" w:lineRule="exact"/>
        <w:ind w:firstLine="640" w:firstLineChars="200"/>
        <w:jc w:val="both"/>
        <w:rPr>
          <w:color w:val="auto"/>
          <w:sz w:val="32"/>
          <w:szCs w:val="32"/>
        </w:rPr>
      </w:pPr>
      <w:r>
        <w:rPr>
          <w:rFonts w:hint="eastAsia" w:ascii="仿宋" w:hAnsi="仿宋" w:eastAsia="仿宋" w:cs="仿宋"/>
          <w:color w:val="auto"/>
          <w:kern w:val="0"/>
          <w:sz w:val="32"/>
          <w:szCs w:val="32"/>
          <w:lang w:val="en-US" w:eastAsia="zh-CN" w:bidi="ar"/>
        </w:rPr>
        <w:t>我部门</w:t>
      </w:r>
      <w:r>
        <w:rPr>
          <w:rFonts w:ascii="仿宋" w:hAnsi="仿宋" w:eastAsia="仿宋" w:cs="仿宋"/>
          <w:color w:val="auto"/>
          <w:kern w:val="0"/>
          <w:sz w:val="32"/>
          <w:szCs w:val="32"/>
          <w:lang w:val="en-US" w:eastAsia="zh-CN" w:bidi="ar"/>
        </w:rPr>
        <w:t>组织评价组对</w:t>
      </w:r>
      <w:r>
        <w:rPr>
          <w:rFonts w:hint="eastAsia" w:ascii="仿宋" w:hAnsi="仿宋" w:eastAsia="仿宋" w:cs="仿宋"/>
          <w:color w:val="auto"/>
          <w:sz w:val="32"/>
          <w:szCs w:val="32"/>
          <w:highlight w:val="none"/>
          <w:lang w:eastAsia="zh-CN"/>
        </w:rPr>
        <w:t>邮政快递业安全支撑与保障项目</w:t>
      </w:r>
      <w:r>
        <w:rPr>
          <w:rFonts w:ascii="仿宋" w:hAnsi="仿宋" w:eastAsia="仿宋" w:cs="仿宋"/>
          <w:color w:val="auto"/>
          <w:kern w:val="0"/>
          <w:sz w:val="32"/>
          <w:szCs w:val="32"/>
          <w:lang w:val="en-US" w:eastAsia="zh-CN" w:bidi="ar"/>
        </w:rPr>
        <w:t>开展绩效评</w:t>
      </w:r>
      <w:r>
        <w:rPr>
          <w:rFonts w:hint="eastAsia" w:ascii="仿宋" w:hAnsi="仿宋" w:eastAsia="仿宋" w:cs="仿宋"/>
          <w:color w:val="auto"/>
          <w:kern w:val="0"/>
          <w:sz w:val="32"/>
          <w:szCs w:val="32"/>
          <w:lang w:val="en-US" w:eastAsia="zh-CN" w:bidi="ar"/>
        </w:rPr>
        <w:t>价工作，建立自评指标体系并撰写自评报告。自评指标体系包括项目完成具体情况、效益效果和满意度等方面定量与定性相结合对目标进行绩效考量。为达到总体目标，我部门从产出数量、产出质量、产出时效、产出成本、社会效益、经济效益、可持续影响和满意度等方面对产出、效果进行评价。同时，从总体目标、具体目标以及产出、效果等方面对项目进行定位和实施，目标设定明确、合理且较为细化，具有可衡量性，对</w:t>
      </w:r>
      <w:r>
        <w:rPr>
          <w:rFonts w:hint="eastAsia" w:ascii="仿宋" w:hAnsi="仿宋" w:eastAsia="仿宋" w:cs="仿宋"/>
          <w:color w:val="auto"/>
          <w:sz w:val="32"/>
          <w:szCs w:val="32"/>
          <w:highlight w:val="none"/>
          <w:lang w:eastAsia="zh-CN"/>
        </w:rPr>
        <w:t>邮政快递业安全支撑与保障项目</w:t>
      </w:r>
      <w:r>
        <w:rPr>
          <w:rFonts w:hint="eastAsia" w:ascii="仿宋" w:hAnsi="仿宋" w:eastAsia="仿宋" w:cs="仿宋"/>
          <w:color w:val="auto"/>
          <w:kern w:val="0"/>
          <w:sz w:val="32"/>
          <w:szCs w:val="32"/>
          <w:lang w:val="en-US" w:eastAsia="zh-CN" w:bidi="ar"/>
        </w:rPr>
        <w:t xml:space="preserve">的实施具有较大的推进作用。 </w:t>
      </w:r>
    </w:p>
    <w:p>
      <w:pPr>
        <w:keepNext w:val="0"/>
        <w:keepLines w:val="0"/>
        <w:pageBreakBefore w:val="0"/>
        <w:widowControl/>
        <w:suppressLineNumbers w:val="0"/>
        <w:kinsoku/>
        <w:wordWrap/>
        <w:overflowPunct/>
        <w:topLinePunct w:val="0"/>
        <w:bidi w:val="0"/>
        <w:spacing w:line="560" w:lineRule="exact"/>
        <w:ind w:firstLine="640" w:firstLineChars="200"/>
        <w:jc w:val="both"/>
        <w:rPr>
          <w:color w:val="auto"/>
          <w:sz w:val="32"/>
          <w:szCs w:val="32"/>
        </w:rPr>
      </w:pPr>
      <w:r>
        <w:rPr>
          <w:rFonts w:hint="eastAsia" w:ascii="仿宋" w:hAnsi="仿宋" w:eastAsia="仿宋" w:cs="仿宋"/>
          <w:color w:val="auto"/>
          <w:kern w:val="0"/>
          <w:sz w:val="32"/>
          <w:szCs w:val="32"/>
          <w:highlight w:val="none"/>
          <w:lang w:val="en-US" w:eastAsia="zh-CN" w:bidi="ar"/>
        </w:rPr>
        <w:t>经评价组自评，我部门对</w:t>
      </w:r>
      <w:r>
        <w:rPr>
          <w:rFonts w:hint="eastAsia" w:ascii="仿宋" w:hAnsi="仿宋" w:eastAsia="仿宋" w:cs="仿宋"/>
          <w:color w:val="auto"/>
          <w:sz w:val="32"/>
          <w:szCs w:val="32"/>
          <w:highlight w:val="none"/>
          <w:lang w:eastAsia="zh-CN"/>
        </w:rPr>
        <w:t>邮政快递业安全支撑与保障项目</w:t>
      </w:r>
      <w:r>
        <w:rPr>
          <w:rFonts w:hint="eastAsia" w:ascii="仿宋" w:hAnsi="仿宋" w:eastAsia="仿宋" w:cs="仿宋"/>
          <w:color w:val="auto"/>
          <w:kern w:val="0"/>
          <w:sz w:val="32"/>
          <w:szCs w:val="32"/>
          <w:highlight w:val="none"/>
          <w:lang w:val="en-US" w:eastAsia="zh-CN" w:bidi="ar"/>
        </w:rPr>
        <w:t>自评得分100分</w:t>
      </w:r>
      <w:r>
        <w:rPr>
          <w:rFonts w:hint="eastAsia" w:ascii="仿宋" w:hAnsi="仿宋" w:eastAsia="仿宋" w:cs="仿宋"/>
          <w:color w:val="auto"/>
          <w:kern w:val="0"/>
          <w:sz w:val="32"/>
          <w:szCs w:val="32"/>
          <w:lang w:val="en-US" w:eastAsia="zh-CN" w:bidi="ar"/>
        </w:rPr>
        <w:t>，评价等级为“优”。通过对自评报告进行研读，我部门评价指标体系建设基本符合要求，绩效自评结果基本科学、合理，客观反映了该项目建设情况，但在项目实施过程中，制度执行的有效性以及项目产出数量等方面还有待改进。</w:t>
      </w:r>
    </w:p>
    <w:p>
      <w:pPr>
        <w:keepNext w:val="0"/>
        <w:keepLines w:val="0"/>
        <w:pageBreakBefore w:val="0"/>
        <w:kinsoku/>
        <w:wordWrap/>
        <w:overflowPunct/>
        <w:topLinePunct w:val="0"/>
        <w:bidi w:val="0"/>
        <w:spacing w:line="560" w:lineRule="exact"/>
        <w:ind w:firstLine="640" w:firstLineChars="200"/>
        <w:contextualSpacing/>
        <w:rPr>
          <w:rFonts w:hint="eastAsia" w:ascii="方正黑体_GBK" w:hAnsi="黑体" w:eastAsia="方正黑体_GBK"/>
          <w:color w:val="auto"/>
          <w:sz w:val="32"/>
          <w:szCs w:val="32"/>
          <w:highlight w:val="none"/>
        </w:rPr>
      </w:pPr>
      <w:r>
        <w:rPr>
          <w:rFonts w:hint="eastAsia" w:ascii="方正黑体_GBK" w:hAnsi="黑体" w:eastAsia="方正黑体_GBK"/>
          <w:color w:val="auto"/>
          <w:sz w:val="32"/>
          <w:szCs w:val="32"/>
          <w:highlight w:val="none"/>
        </w:rPr>
        <w:t>二、绩效评价</w:t>
      </w:r>
      <w:r>
        <w:rPr>
          <w:rFonts w:hint="eastAsia" w:ascii="方正黑体_GBK" w:hAnsi="黑体" w:eastAsia="方正黑体_GBK"/>
          <w:color w:val="auto"/>
          <w:sz w:val="32"/>
          <w:szCs w:val="32"/>
          <w:highlight w:val="none"/>
          <w:lang w:eastAsia="zh-CN"/>
        </w:rPr>
        <w:t>组织</w:t>
      </w:r>
      <w:r>
        <w:rPr>
          <w:rFonts w:hint="eastAsia" w:ascii="方正黑体_GBK" w:hAnsi="黑体" w:eastAsia="方正黑体_GBK"/>
          <w:color w:val="auto"/>
          <w:sz w:val="32"/>
          <w:szCs w:val="32"/>
          <w:highlight w:val="none"/>
        </w:rPr>
        <w:t>情况</w:t>
      </w:r>
    </w:p>
    <w:p>
      <w:pPr>
        <w:keepNext w:val="0"/>
        <w:keepLines w:val="0"/>
        <w:pageBreakBefore w:val="0"/>
        <w:kinsoku/>
        <w:wordWrap/>
        <w:overflowPunct/>
        <w:topLinePunct w:val="0"/>
        <w:bidi w:val="0"/>
        <w:spacing w:line="560" w:lineRule="exact"/>
        <w:ind w:firstLine="640" w:firstLineChars="200"/>
        <w:contextualSpacing/>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（一）绩效评价目的、对象和范围</w:t>
      </w:r>
    </w:p>
    <w:p>
      <w:pPr>
        <w:keepNext w:val="0"/>
        <w:keepLines w:val="0"/>
        <w:pageBreakBefore w:val="0"/>
        <w:kinsoku/>
        <w:wordWrap/>
        <w:overflowPunct/>
        <w:topLinePunct w:val="0"/>
        <w:bidi w:val="0"/>
        <w:spacing w:line="560" w:lineRule="exact"/>
        <w:ind w:firstLine="640" w:firstLineChars="200"/>
        <w:contextualSpacing/>
        <w:rPr>
          <w:rFonts w:hint="default" w:ascii="仿宋" w:hAnsi="仿宋" w:eastAsia="仿宋" w:cs="仿宋"/>
          <w:b w:val="0"/>
          <w:bCs w:val="0"/>
          <w:color w:val="auto"/>
          <w:spacing w:val="0"/>
          <w:kern w:val="2"/>
          <w:sz w:val="32"/>
          <w:szCs w:val="32"/>
          <w:highlight w:val="none"/>
          <w:lang w:val="en-US" w:eastAsia="zh-CN" w:bidi="ar-SA"/>
        </w:rPr>
      </w:pPr>
      <w:r>
        <w:rPr>
          <w:rFonts w:hint="eastAsia" w:ascii="仿宋" w:hAnsi="仿宋" w:eastAsia="仿宋" w:cs="仿宋"/>
          <w:b w:val="0"/>
          <w:bCs w:val="0"/>
          <w:color w:val="auto"/>
          <w:spacing w:val="0"/>
          <w:kern w:val="2"/>
          <w:sz w:val="32"/>
          <w:szCs w:val="32"/>
          <w:highlight w:val="none"/>
          <w:lang w:val="en-US" w:eastAsia="zh-CN" w:bidi="ar-SA"/>
        </w:rPr>
        <w:t>1.绩效评价目的</w:t>
      </w:r>
    </w:p>
    <w:p>
      <w:pPr>
        <w:keepNext w:val="0"/>
        <w:keepLines w:val="0"/>
        <w:pageBreakBefore w:val="0"/>
        <w:kinsoku/>
        <w:wordWrap/>
        <w:overflowPunct/>
        <w:topLinePunct w:val="0"/>
        <w:bidi w:val="0"/>
        <w:spacing w:line="560" w:lineRule="exact"/>
        <w:ind w:firstLine="640" w:firstLineChars="200"/>
        <w:contextualSpacing/>
        <w:rPr>
          <w:rFonts w:hint="eastAsia" w:ascii="仿宋" w:hAnsi="仿宋" w:eastAsia="仿宋" w:cs="仿宋"/>
          <w:b w:val="0"/>
          <w:bCs w:val="0"/>
          <w:color w:val="auto"/>
          <w:spacing w:val="0"/>
          <w:kern w:val="2"/>
          <w:sz w:val="32"/>
          <w:szCs w:val="32"/>
          <w:highlight w:val="none"/>
          <w:lang w:val="en-US" w:eastAsia="zh-CN" w:bidi="ar-SA"/>
        </w:rPr>
      </w:pPr>
      <w:r>
        <w:rPr>
          <w:rFonts w:hint="eastAsia" w:ascii="仿宋" w:hAnsi="仿宋" w:eastAsia="仿宋" w:cs="仿宋"/>
          <w:b w:val="0"/>
          <w:bCs w:val="0"/>
          <w:color w:val="auto"/>
          <w:spacing w:val="0"/>
          <w:kern w:val="2"/>
          <w:sz w:val="32"/>
          <w:szCs w:val="32"/>
          <w:highlight w:val="none"/>
          <w:lang w:val="en-US" w:eastAsia="zh-CN" w:bidi="ar-SA"/>
        </w:rPr>
        <w:t>绩效评价旨在通过评价改善预算部门的财政支出管理，优化资源配置及提高公共服务水平。按照财政部《关于印发&lt;项目支出绩效评价管理办法&gt;的通知》、《关于印发&lt;自治区全面实施预算绩效管理的工作方案&gt;的通知》（新财预〔2018〕158号）要求，运用科学、规范的绩效评价方法，对</w:t>
      </w:r>
      <w:r>
        <w:rPr>
          <w:rFonts w:hint="eastAsia" w:ascii="仿宋" w:hAnsi="仿宋" w:eastAsia="仿宋" w:cs="仿宋"/>
          <w:color w:val="auto"/>
          <w:sz w:val="32"/>
          <w:szCs w:val="32"/>
          <w:highlight w:val="none"/>
          <w:lang w:eastAsia="zh-CN"/>
        </w:rPr>
        <w:t>邮政快递业安全支撑与保障项目</w:t>
      </w:r>
      <w:r>
        <w:rPr>
          <w:rFonts w:hint="eastAsia" w:ascii="仿宋" w:hAnsi="仿宋" w:eastAsia="仿宋" w:cs="仿宋"/>
          <w:b w:val="0"/>
          <w:bCs w:val="0"/>
          <w:color w:val="auto"/>
          <w:spacing w:val="0"/>
          <w:kern w:val="2"/>
          <w:sz w:val="32"/>
          <w:szCs w:val="32"/>
          <w:highlight w:val="none"/>
          <w:lang w:val="en-US" w:eastAsia="zh-CN" w:bidi="ar-SA"/>
        </w:rPr>
        <w:t>进行科学评价，以对项目预算编制合理性、资金使用合规性、项目管理的规范性、项目目标的实现情况、服务对象的满意度等进行全面评价，为今后类似项目的长效管理，提供可行性参考建议；同时从专项资金的角度提出有针对性的建议，提高对</w:t>
      </w:r>
      <w:r>
        <w:rPr>
          <w:rFonts w:hint="eastAsia" w:ascii="仿宋" w:hAnsi="仿宋" w:eastAsia="仿宋" w:cs="仿宋"/>
          <w:color w:val="auto"/>
          <w:sz w:val="32"/>
          <w:szCs w:val="32"/>
          <w:highlight w:val="none"/>
          <w:lang w:eastAsia="zh-CN"/>
        </w:rPr>
        <w:t>邮政快递业安全支撑与保障项目</w:t>
      </w:r>
      <w:r>
        <w:rPr>
          <w:rFonts w:hint="eastAsia" w:ascii="仿宋" w:hAnsi="仿宋" w:eastAsia="仿宋" w:cs="仿宋"/>
          <w:b w:val="0"/>
          <w:bCs w:val="0"/>
          <w:color w:val="auto"/>
          <w:spacing w:val="0"/>
          <w:kern w:val="2"/>
          <w:sz w:val="32"/>
          <w:szCs w:val="32"/>
          <w:highlight w:val="none"/>
          <w:lang w:val="en-US" w:eastAsia="zh-CN" w:bidi="ar-SA"/>
        </w:rPr>
        <w:t>的有效利用度。</w:t>
      </w:r>
    </w:p>
    <w:p>
      <w:pPr>
        <w:pStyle w:val="2"/>
        <w:keepNext w:val="0"/>
        <w:keepLines w:val="0"/>
        <w:pageBreakBefore w:val="0"/>
        <w:kinsoku/>
        <w:wordWrap/>
        <w:overflowPunct/>
        <w:topLinePunct w:val="0"/>
        <w:bidi w:val="0"/>
        <w:spacing w:line="560" w:lineRule="exact"/>
        <w:rPr>
          <w:rFonts w:hint="default"/>
          <w:color w:val="auto"/>
          <w:lang w:val="en-US" w:eastAsia="zh-CN"/>
        </w:rPr>
      </w:pPr>
      <w:r>
        <w:rPr>
          <w:rFonts w:hint="eastAsia" w:ascii="仿宋" w:hAnsi="仿宋" w:eastAsia="仿宋" w:cs="仿宋"/>
          <w:b w:val="0"/>
          <w:bCs w:val="0"/>
          <w:color w:val="auto"/>
          <w:spacing w:val="0"/>
          <w:kern w:val="2"/>
          <w:sz w:val="32"/>
          <w:szCs w:val="32"/>
          <w:highlight w:val="none"/>
          <w:lang w:val="en-US" w:eastAsia="zh-CN" w:bidi="ar-SA"/>
        </w:rPr>
        <w:t>2.绩效评价对象和范围</w:t>
      </w:r>
    </w:p>
    <w:p>
      <w:pPr>
        <w:keepNext w:val="0"/>
        <w:keepLines w:val="0"/>
        <w:pageBreakBefore w:val="0"/>
        <w:kinsoku/>
        <w:wordWrap/>
        <w:overflowPunct/>
        <w:topLinePunct w:val="0"/>
        <w:bidi w:val="0"/>
        <w:spacing w:line="560" w:lineRule="exact"/>
        <w:ind w:firstLine="640" w:firstLineChars="200"/>
        <w:contextualSpacing/>
        <w:rPr>
          <w:rFonts w:hint="eastAsia" w:ascii="Times New Roman" w:hAnsi="Times New Roman" w:eastAsia="仿宋_GB2312" w:cs="Times New Roman"/>
          <w:b w:val="0"/>
          <w:bCs w:val="0"/>
          <w:color w:val="auto"/>
          <w:spacing w:val="0"/>
          <w:kern w:val="2"/>
          <w:sz w:val="32"/>
          <w:szCs w:val="32"/>
          <w:highlight w:val="none"/>
          <w:lang w:val="en-US" w:eastAsia="zh-CN" w:bidi="ar-SA"/>
        </w:rPr>
      </w:pPr>
      <w:r>
        <w:rPr>
          <w:rFonts w:hint="eastAsia" w:ascii="仿宋" w:hAnsi="仿宋" w:eastAsia="仿宋" w:cs="仿宋"/>
          <w:b w:val="0"/>
          <w:bCs w:val="0"/>
          <w:color w:val="auto"/>
          <w:spacing w:val="0"/>
          <w:kern w:val="2"/>
          <w:sz w:val="32"/>
          <w:szCs w:val="32"/>
          <w:highlight w:val="none"/>
          <w:lang w:val="en-US" w:eastAsia="zh-CN" w:bidi="ar-SA"/>
        </w:rPr>
        <w:t>本次评价从项目决策（包括绩效目标、决策过程）、项目管理（包括项目资金、项目实施）、项目产出（包括项目产出数量、产出质量、产出时效和产出成本）项目效益四个维度进行评价，评价对象为自治区邮政业安全中心组织实施的</w:t>
      </w:r>
      <w:r>
        <w:rPr>
          <w:rFonts w:hint="eastAsia" w:ascii="仿宋" w:hAnsi="仿宋" w:eastAsia="仿宋" w:cs="仿宋"/>
          <w:color w:val="auto"/>
          <w:sz w:val="32"/>
          <w:szCs w:val="32"/>
          <w:highlight w:val="none"/>
          <w:lang w:eastAsia="zh-CN"/>
        </w:rPr>
        <w:t>邮政快递业安全支撑与保障项目</w:t>
      </w:r>
      <w:r>
        <w:rPr>
          <w:rFonts w:hint="eastAsia" w:ascii="仿宋" w:hAnsi="仿宋" w:eastAsia="仿宋" w:cs="仿宋"/>
          <w:b w:val="0"/>
          <w:bCs w:val="0"/>
          <w:color w:val="auto"/>
          <w:spacing w:val="0"/>
          <w:kern w:val="2"/>
          <w:sz w:val="32"/>
          <w:szCs w:val="32"/>
          <w:highlight w:val="none"/>
          <w:lang w:val="en-US" w:eastAsia="zh-CN" w:bidi="ar-SA"/>
        </w:rPr>
        <w:t>，评价范围为2022年度该项目26.00万元专项资金的收支安排、资金使用和绩效管理情况。</w:t>
      </w:r>
    </w:p>
    <w:p>
      <w:pPr>
        <w:keepNext w:val="0"/>
        <w:keepLines w:val="0"/>
        <w:pageBreakBefore w:val="0"/>
        <w:kinsoku/>
        <w:wordWrap/>
        <w:overflowPunct/>
        <w:topLinePunct w:val="0"/>
        <w:bidi w:val="0"/>
        <w:spacing w:line="560" w:lineRule="exact"/>
        <w:ind w:firstLine="640" w:firstLineChars="200"/>
        <w:contextualSpacing/>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（二）绩效评价原则、评价指标体系、评价方法、评价标准等</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1.绩效评价原则</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依据《中华人民共和国预算法》、中共中央、国务院《关</w:t>
      </w:r>
    </w:p>
    <w:p>
      <w:pPr>
        <w:keepNext w:val="0"/>
        <w:keepLines w:val="0"/>
        <w:pageBreakBefore w:val="0"/>
        <w:kinsoku/>
        <w:wordWrap/>
        <w:overflowPunct/>
        <w:topLinePunct w:val="0"/>
        <w:bidi w:val="0"/>
        <w:spacing w:line="560" w:lineRule="exact"/>
        <w:jc w:val="both"/>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于全面实施预算绩效管理的意见》（中发〔2018〕34 号）、财政部《项目支出绩效评价管理办法》（财预〔2020〕10 号）、</w:t>
      </w:r>
    </w:p>
    <w:p>
      <w:pPr>
        <w:keepNext w:val="0"/>
        <w:keepLines w:val="0"/>
        <w:pageBreakBefore w:val="0"/>
        <w:kinsoku/>
        <w:wordWrap/>
        <w:overflowPunct/>
        <w:topLinePunct w:val="0"/>
        <w:bidi w:val="0"/>
        <w:spacing w:line="560" w:lineRule="exact"/>
        <w:jc w:val="both"/>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val="en-US" w:eastAsia="zh-CN" w:bidi="ar"/>
        </w:rPr>
        <w:t>自治区党委、自治区人民政府《关于全面实施预算绩效管理的实施意见》（新党发〔2018〕30 号)、自治区财政厅《全面实施预算绩效管理的工作方案》 (新财预〔2018〕158 号)、自治区财政厅《财政支出绩效评价管理暂行办法》(新财预〔2018〕189 号)等文件要求，遵照科学规范、公正公开、分级分类、绩效相关等原则开展绩效评价工作，结合项目特点，注重财政支出的经济性、效率性和有效性，严格执行规定的程序，遵循</w:t>
      </w:r>
      <w:r>
        <w:rPr>
          <w:rFonts w:hint="eastAsia" w:ascii="仿宋" w:hAnsi="仿宋" w:eastAsia="仿宋" w:cs="仿宋"/>
          <w:color w:val="auto"/>
          <w:sz w:val="32"/>
          <w:szCs w:val="32"/>
          <w:highlight w:val="none"/>
          <w:lang w:bidi="ar"/>
        </w:rPr>
        <w:t>科学公正</w:t>
      </w:r>
      <w:r>
        <w:rPr>
          <w:rFonts w:hint="eastAsia" w:ascii="仿宋" w:hAnsi="仿宋" w:eastAsia="仿宋" w:cs="仿宋"/>
          <w:color w:val="auto"/>
          <w:sz w:val="32"/>
          <w:szCs w:val="32"/>
          <w:highlight w:val="none"/>
          <w:lang w:val="en-US" w:eastAsia="zh-CN" w:bidi="ar"/>
        </w:rPr>
        <w:t>、</w:t>
      </w:r>
      <w:r>
        <w:rPr>
          <w:rFonts w:hint="eastAsia" w:ascii="仿宋" w:hAnsi="仿宋" w:eastAsia="仿宋" w:cs="仿宋"/>
          <w:color w:val="auto"/>
          <w:sz w:val="32"/>
          <w:szCs w:val="32"/>
          <w:highlight w:val="none"/>
          <w:lang w:bidi="ar"/>
        </w:rPr>
        <w:t>统筹兼顾</w:t>
      </w:r>
      <w:r>
        <w:rPr>
          <w:rFonts w:hint="eastAsia" w:ascii="仿宋" w:hAnsi="仿宋" w:eastAsia="仿宋" w:cs="仿宋"/>
          <w:color w:val="auto"/>
          <w:sz w:val="32"/>
          <w:szCs w:val="32"/>
          <w:highlight w:val="none"/>
          <w:lang w:eastAsia="zh-CN" w:bidi="ar"/>
        </w:rPr>
        <w:t>、</w:t>
      </w:r>
      <w:r>
        <w:rPr>
          <w:rFonts w:hint="eastAsia" w:ascii="仿宋" w:hAnsi="仿宋" w:eastAsia="仿宋" w:cs="仿宋"/>
          <w:color w:val="auto"/>
          <w:sz w:val="32"/>
          <w:szCs w:val="32"/>
          <w:highlight w:val="none"/>
          <w:lang w:bidi="ar"/>
        </w:rPr>
        <w:t>激励约束</w:t>
      </w:r>
      <w:r>
        <w:rPr>
          <w:rFonts w:hint="eastAsia" w:ascii="仿宋" w:hAnsi="仿宋" w:eastAsia="仿宋" w:cs="仿宋"/>
          <w:color w:val="auto"/>
          <w:sz w:val="32"/>
          <w:szCs w:val="32"/>
          <w:highlight w:val="none"/>
          <w:lang w:eastAsia="zh-CN" w:bidi="ar"/>
        </w:rPr>
        <w:t>、</w:t>
      </w:r>
      <w:r>
        <w:rPr>
          <w:rFonts w:hint="eastAsia" w:ascii="仿宋" w:hAnsi="仿宋" w:eastAsia="仿宋" w:cs="仿宋"/>
          <w:color w:val="auto"/>
          <w:sz w:val="32"/>
          <w:szCs w:val="32"/>
          <w:highlight w:val="none"/>
          <w:lang w:bidi="ar"/>
        </w:rPr>
        <w:t>公开透明</w:t>
      </w:r>
      <w:r>
        <w:rPr>
          <w:rFonts w:hint="eastAsia" w:ascii="仿宋" w:hAnsi="仿宋" w:eastAsia="仿宋" w:cs="仿宋"/>
          <w:color w:val="auto"/>
          <w:sz w:val="32"/>
          <w:szCs w:val="32"/>
          <w:highlight w:val="none"/>
          <w:lang w:val="en-US" w:eastAsia="zh-CN" w:bidi="ar"/>
        </w:rPr>
        <w:t>原则，采用定量与定性分析相结合的方法对投入、产出进行评价。</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2.绩效评价指标体系</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本次绩效评价指标体系主要分为共性指标和个性指标两大类。共性指标下设决策与</w:t>
      </w:r>
      <w:r>
        <w:rPr>
          <w:rFonts w:hint="eastAsia" w:ascii="仿宋" w:hAnsi="仿宋" w:eastAsia="仿宋" w:cs="仿宋"/>
          <w:color w:val="auto"/>
          <w:sz w:val="32"/>
          <w:szCs w:val="32"/>
          <w:highlight w:val="none"/>
          <w:lang w:val="en-US" w:eastAsia="zh-CN" w:bidi="ar"/>
        </w:rPr>
        <w:t>过程</w:t>
      </w:r>
      <w:r>
        <w:rPr>
          <w:rFonts w:hint="eastAsia" w:ascii="仿宋" w:hAnsi="仿宋" w:eastAsia="仿宋" w:cs="仿宋"/>
          <w:color w:val="auto"/>
          <w:sz w:val="32"/>
          <w:szCs w:val="32"/>
          <w:highlight w:val="none"/>
          <w:lang w:bidi="ar"/>
        </w:rPr>
        <w:t>2个一级指标，其中：项目决策下</w:t>
      </w:r>
      <w:r>
        <w:rPr>
          <w:rFonts w:hint="eastAsia" w:ascii="仿宋" w:hAnsi="仿宋" w:eastAsia="仿宋" w:cs="仿宋"/>
          <w:color w:val="auto"/>
          <w:sz w:val="32"/>
          <w:szCs w:val="32"/>
          <w:highlight w:val="none"/>
          <w:lang w:val="en-US" w:eastAsia="zh-CN" w:bidi="ar"/>
        </w:rPr>
        <w:t>项目立项、绩效目标、资金投入3</w:t>
      </w:r>
      <w:r>
        <w:rPr>
          <w:rFonts w:hint="eastAsia" w:ascii="仿宋" w:hAnsi="仿宋" w:eastAsia="仿宋" w:cs="仿宋"/>
          <w:color w:val="auto"/>
          <w:sz w:val="32"/>
          <w:szCs w:val="32"/>
          <w:highlight w:val="none"/>
          <w:lang w:bidi="ar"/>
        </w:rPr>
        <w:t>个二级指标；</w:t>
      </w:r>
      <w:r>
        <w:rPr>
          <w:rFonts w:hint="eastAsia" w:ascii="仿宋" w:hAnsi="仿宋" w:eastAsia="仿宋" w:cs="仿宋"/>
          <w:color w:val="auto"/>
          <w:sz w:val="32"/>
          <w:szCs w:val="32"/>
          <w:highlight w:val="none"/>
          <w:lang w:val="en-US" w:eastAsia="zh-CN" w:bidi="ar"/>
        </w:rPr>
        <w:t>过程</w:t>
      </w:r>
      <w:r>
        <w:rPr>
          <w:rFonts w:hint="eastAsia" w:ascii="仿宋" w:hAnsi="仿宋" w:eastAsia="仿宋" w:cs="仿宋"/>
          <w:color w:val="auto"/>
          <w:sz w:val="32"/>
          <w:szCs w:val="32"/>
          <w:highlight w:val="none"/>
          <w:lang w:bidi="ar"/>
        </w:rPr>
        <w:t>下设</w:t>
      </w:r>
      <w:r>
        <w:rPr>
          <w:rFonts w:hint="eastAsia" w:ascii="仿宋" w:hAnsi="仿宋" w:eastAsia="仿宋" w:cs="仿宋"/>
          <w:color w:val="auto"/>
          <w:sz w:val="32"/>
          <w:szCs w:val="32"/>
          <w:highlight w:val="none"/>
          <w:lang w:val="en-US" w:eastAsia="zh-CN" w:bidi="ar"/>
        </w:rPr>
        <w:t>资金管理和组织实施</w:t>
      </w:r>
      <w:r>
        <w:rPr>
          <w:rFonts w:hint="eastAsia" w:ascii="仿宋" w:hAnsi="仿宋" w:eastAsia="仿宋" w:cs="仿宋"/>
          <w:color w:val="auto"/>
          <w:sz w:val="32"/>
          <w:szCs w:val="32"/>
          <w:highlight w:val="none"/>
          <w:lang w:bidi="ar"/>
        </w:rPr>
        <w:t>2个二级指标。个性指标下设</w:t>
      </w:r>
      <w:r>
        <w:rPr>
          <w:rFonts w:hint="eastAsia" w:ascii="仿宋" w:hAnsi="仿宋" w:eastAsia="仿宋" w:cs="仿宋"/>
          <w:color w:val="auto"/>
          <w:sz w:val="32"/>
          <w:szCs w:val="32"/>
          <w:highlight w:val="none"/>
          <w:lang w:val="en-US" w:eastAsia="zh-CN" w:bidi="ar"/>
        </w:rPr>
        <w:t>产出和效益2</w:t>
      </w:r>
      <w:r>
        <w:rPr>
          <w:rFonts w:hint="eastAsia" w:ascii="仿宋" w:hAnsi="仿宋" w:eastAsia="仿宋" w:cs="仿宋"/>
          <w:color w:val="auto"/>
          <w:sz w:val="32"/>
          <w:szCs w:val="32"/>
          <w:highlight w:val="none"/>
          <w:lang w:bidi="ar"/>
        </w:rPr>
        <w:t>个一级指标，</w:t>
      </w:r>
      <w:r>
        <w:rPr>
          <w:rFonts w:hint="eastAsia" w:ascii="仿宋" w:hAnsi="仿宋" w:eastAsia="仿宋" w:cs="仿宋"/>
          <w:color w:val="auto"/>
          <w:sz w:val="32"/>
          <w:szCs w:val="32"/>
          <w:highlight w:val="none"/>
          <w:lang w:val="en-US" w:eastAsia="zh-CN" w:bidi="ar"/>
        </w:rPr>
        <w:t>其中产出下设产出数量、产出质量、产出时效、产出成本4个2级指标，效益下设项目效益2个二级指标</w:t>
      </w:r>
      <w:r>
        <w:rPr>
          <w:rFonts w:hint="eastAsia" w:ascii="仿宋" w:hAnsi="仿宋" w:eastAsia="仿宋" w:cs="仿宋"/>
          <w:color w:val="auto"/>
          <w:sz w:val="32"/>
          <w:szCs w:val="32"/>
          <w:highlight w:val="none"/>
          <w:lang w:bidi="ar"/>
        </w:rPr>
        <w:t>。项目绩效评价指标体系详见下表：</w:t>
      </w:r>
    </w:p>
    <w:p>
      <w:pPr>
        <w:pStyle w:val="9"/>
        <w:keepNext w:val="0"/>
        <w:keepLines w:val="0"/>
        <w:pageBreakBefore w:val="0"/>
        <w:kinsoku/>
        <w:wordWrap/>
        <w:overflowPunct/>
        <w:topLinePunct w:val="0"/>
        <w:bidi w:val="0"/>
        <w:spacing w:line="560" w:lineRule="exact"/>
        <w:rPr>
          <w:rFonts w:hint="eastAsia" w:ascii="仿宋" w:hAnsi="仿宋" w:eastAsia="仿宋" w:cs="仿宋"/>
          <w:color w:val="auto"/>
          <w:sz w:val="32"/>
          <w:szCs w:val="32"/>
          <w:highlight w:val="none"/>
          <w:lang w:bidi="ar"/>
        </w:rPr>
      </w:pPr>
    </w:p>
    <w:tbl>
      <w:tblPr>
        <w:tblStyle w:val="11"/>
        <w:tblW w:w="8827"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Layout w:type="fixed"/>
        <w:tblCellMar>
          <w:top w:w="0" w:type="dxa"/>
          <w:left w:w="0" w:type="dxa"/>
          <w:bottom w:w="0" w:type="dxa"/>
          <w:right w:w="0" w:type="dxa"/>
        </w:tblCellMar>
      </w:tblPr>
      <w:tblGrid>
        <w:gridCol w:w="1373"/>
        <w:gridCol w:w="1011"/>
        <w:gridCol w:w="1373"/>
        <w:gridCol w:w="4155"/>
        <w:gridCol w:w="9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90" w:hRule="atLeast"/>
        </w:trPr>
        <w:tc>
          <w:tcPr>
            <w:tcW w:w="1373"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一级指标</w:t>
            </w:r>
          </w:p>
        </w:tc>
        <w:tc>
          <w:tcPr>
            <w:tcW w:w="1011"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二级指标</w:t>
            </w:r>
          </w:p>
        </w:tc>
        <w:tc>
          <w:tcPr>
            <w:tcW w:w="1373"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三级指标</w:t>
            </w:r>
          </w:p>
        </w:tc>
        <w:tc>
          <w:tcPr>
            <w:tcW w:w="4155"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指标解释</w:t>
            </w:r>
          </w:p>
        </w:tc>
        <w:tc>
          <w:tcPr>
            <w:tcW w:w="915"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232" w:firstLineChars="1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分值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决策（20）</w:t>
            </w: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项目立项（10）　</w:t>
            </w: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立项依据充分性</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（5）</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项目立项是否符合法律法规、相关政策、发展规划以及部门职责，用以反映和考核项目立项依据情况。</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立项程序规范性</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（5）</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项目申请、设立过程是否符合相关要求，用以反映和考核项目立项的规范情况。</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67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绩效目标</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（5）　　</w:t>
            </w: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绩效目标合理性</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（2.5）</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项目所设定的绩效目标是否依据充分，是否符合客观实际，用以反映和考核项目绩效目标与项目实施的相符情况。</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绩效指标明确性</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（2.5）</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依据绩效目标设定的绩效指标是否清晰、细化、可衡量等，用以反映和考核项目绩效目标的明细化情况。</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资金投入</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（5）　　</w:t>
            </w: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预算编制科学性</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（（2.5）</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项目预算编制是否经过科学论证、有明确标准，资金额度与年度目标是否相适应，用以反映和考核项目预算编制的科学性、合理性情况。</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资金分配合理性</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（2.5）</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项目预算资金分配是否有测算依据，与补助单位或地方实际是否相适应，用以反映和考核项目预算资金分配的科学性、合理性情况。</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140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过程（20）</w:t>
            </w: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资金管理（8）</w:t>
            </w: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资金到位率（4）</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实际到位资金与预算资金的比率，用以反映和考核资金落实情况对项目实施的总体保障程度。</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预算执行率（4）</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项目预算资金是否按照计划执行，用以反映或考核项目预算执行情况。</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default" w:ascii="仿宋_GB2312" w:hAnsi="仿宋_GB2312" w:eastAsia="仿宋_GB2312" w:cs="仿宋_GB2312"/>
                <w:color w:val="auto"/>
                <w:spacing w:val="-4"/>
                <w:sz w:val="24"/>
                <w:szCs w:val="24"/>
                <w:highlight w:val="none"/>
                <w:lang w:val="en-US"/>
              </w:rPr>
            </w:pPr>
            <w:r>
              <w:rPr>
                <w:rFonts w:hint="eastAsia" w:ascii="仿宋_GB2312" w:hAnsi="仿宋_GB2312" w:eastAsia="仿宋_GB2312" w:cs="仿宋_GB2312"/>
                <w:color w:val="auto"/>
                <w:spacing w:val="-4"/>
                <w:sz w:val="24"/>
                <w:szCs w:val="24"/>
                <w:highlight w:val="none"/>
                <w:lang w:val="en-US" w:eastAsia="zh-CN"/>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资金管理（4）</w:t>
            </w: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资金使用合规性（4）</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项目资金使用是否符合相关的财务管理制度规定，用以反映和考核项目资金的规范运行情况。</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组织实施</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（8）</w:t>
            </w: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管理制度健全性（4）</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项目实施单位的财务和业务管理制度是否健全，用以反映和考核财务和业务管理制度对项目顺利实施的保障情况。</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制度执行有效性（4）</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项目实施是否符合相关管理规定，用以反映和考核相关管理制度的有效执行情况。</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产出（40）</w:t>
            </w: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产出数量（10）</w:t>
            </w: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实际完成率</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（10）</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项目实施的实际产出数与计划产出数的比率，用以反映和考核项目产出数量目标的实现程度。</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产出质量（10）</w:t>
            </w: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质量达标率</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（10）</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项目完成的质量达标产出数与实际产出数的比率，用以反映和考核项目产出质量目标的实现程度。</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59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产出时效（10）</w:t>
            </w: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完成及时性</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（10）</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项目实际完成时间与计划完成时间的比较，用以反映和考核项目产出时效目标的实现程度。</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产出成本（10）</w:t>
            </w:r>
          </w:p>
        </w:tc>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成本节约率</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（10）</w:t>
            </w:r>
          </w:p>
        </w:tc>
        <w:tc>
          <w:tcPr>
            <w:tcW w:w="415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完成项目计划工作目标的实际节约成本与计划成本的比率，用以反映和考核项目的成本节约程度。</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415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5" w:hRule="atLeast"/>
        </w:trPr>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效益（20）</w:t>
            </w: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项目效益　</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（20）</w:t>
            </w:r>
          </w:p>
        </w:tc>
        <w:tc>
          <w:tcPr>
            <w:tcW w:w="1373"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实施效益</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（15）</w:t>
            </w:r>
          </w:p>
        </w:tc>
        <w:tc>
          <w:tcPr>
            <w:tcW w:w="4155"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项目实施所产生的效益。</w:t>
            </w:r>
          </w:p>
        </w:tc>
        <w:tc>
          <w:tcPr>
            <w:tcW w:w="915"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default" w:ascii="仿宋_GB2312" w:hAnsi="仿宋_GB2312" w:eastAsia="仿宋_GB2312" w:cs="仿宋_GB2312"/>
                <w:color w:val="auto"/>
                <w:spacing w:val="-4"/>
                <w:sz w:val="24"/>
                <w:szCs w:val="24"/>
                <w:highlight w:val="none"/>
                <w:lang w:val="en-US"/>
              </w:rPr>
            </w:pPr>
            <w:r>
              <w:rPr>
                <w:rFonts w:hint="eastAsia" w:ascii="仿宋_GB2312" w:hAnsi="仿宋_GB2312" w:eastAsia="仿宋_GB2312" w:cs="仿宋_GB2312"/>
                <w:color w:val="auto"/>
                <w:spacing w:val="-4"/>
                <w:sz w:val="24"/>
                <w:szCs w:val="24"/>
                <w:highlight w:val="none"/>
                <w:lang w:val="en-US" w:eastAsia="zh-CN"/>
              </w:rPr>
              <w:t>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5" w:hRule="atLeast"/>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p>
        </w:tc>
        <w:tc>
          <w:tcPr>
            <w:tcW w:w="1373"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lang w:val="en-US" w:eastAsia="zh-CN"/>
              </w:rPr>
            </w:pPr>
            <w:r>
              <w:rPr>
                <w:rFonts w:hint="eastAsia" w:ascii="仿宋_GB2312" w:hAnsi="仿宋_GB2312" w:eastAsia="仿宋_GB2312" w:cs="仿宋_GB2312"/>
                <w:color w:val="auto"/>
                <w:spacing w:val="-4"/>
                <w:sz w:val="24"/>
                <w:szCs w:val="24"/>
                <w:highlight w:val="none"/>
                <w:lang w:val="en-US" w:eastAsia="zh-CN"/>
              </w:rPr>
              <w:t>满意度</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（5）</w:t>
            </w:r>
          </w:p>
        </w:tc>
        <w:tc>
          <w:tcPr>
            <w:tcW w:w="4155"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社会公众或服务对象对项目实施效果的满意程度。</w:t>
            </w:r>
          </w:p>
        </w:tc>
        <w:tc>
          <w:tcPr>
            <w:tcW w:w="915"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464"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lang w:val="en-US" w:eastAsia="zh-CN"/>
              </w:rPr>
              <w:t>5</w:t>
            </w:r>
          </w:p>
        </w:tc>
      </w:tr>
    </w:tbl>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val="en-US" w:eastAsia="zh-CN" w:bidi="ar"/>
        </w:rPr>
        <w:t>3</w:t>
      </w:r>
      <w:r>
        <w:rPr>
          <w:rFonts w:hint="eastAsia" w:ascii="仿宋" w:hAnsi="仿宋" w:eastAsia="仿宋" w:cs="仿宋"/>
          <w:color w:val="auto"/>
          <w:sz w:val="32"/>
          <w:szCs w:val="32"/>
          <w:highlight w:val="none"/>
          <w:lang w:eastAsia="zh-CN" w:bidi="ar"/>
        </w:rPr>
        <w:t>.</w:t>
      </w:r>
      <w:r>
        <w:rPr>
          <w:rFonts w:hint="eastAsia" w:ascii="仿宋" w:hAnsi="仿宋" w:eastAsia="仿宋" w:cs="仿宋"/>
          <w:color w:val="auto"/>
          <w:sz w:val="32"/>
          <w:szCs w:val="32"/>
          <w:highlight w:val="none"/>
          <w:lang w:bidi="ar"/>
        </w:rPr>
        <w:t>评价方法</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根据</w:t>
      </w:r>
      <w:r>
        <w:rPr>
          <w:rFonts w:hint="eastAsia" w:ascii="仿宋" w:hAnsi="仿宋" w:eastAsia="仿宋" w:cs="仿宋"/>
          <w:color w:val="auto"/>
          <w:sz w:val="32"/>
          <w:szCs w:val="32"/>
          <w:highlight w:val="none"/>
          <w:lang w:eastAsia="zh-CN"/>
        </w:rPr>
        <w:t>邮政快递业安全支撑与保障项目</w:t>
      </w:r>
      <w:r>
        <w:rPr>
          <w:rFonts w:hint="eastAsia" w:ascii="仿宋" w:hAnsi="仿宋" w:eastAsia="仿宋" w:cs="仿宋"/>
          <w:color w:val="auto"/>
          <w:sz w:val="32"/>
          <w:szCs w:val="32"/>
          <w:highlight w:val="none"/>
          <w:lang w:bidi="ar"/>
        </w:rPr>
        <w:t>的特点，主要采用以目标为导向的、基于证据分析的目标比较法开展绩效评价工作。根据</w:t>
      </w:r>
      <w:r>
        <w:rPr>
          <w:rFonts w:hint="eastAsia" w:ascii="仿宋" w:hAnsi="仿宋" w:eastAsia="仿宋" w:cs="仿宋"/>
          <w:color w:val="auto"/>
          <w:sz w:val="32"/>
          <w:szCs w:val="32"/>
          <w:highlight w:val="none"/>
          <w:lang w:eastAsia="zh-CN" w:bidi="ar"/>
        </w:rPr>
        <w:t>我部门</w:t>
      </w:r>
      <w:r>
        <w:rPr>
          <w:rFonts w:hint="eastAsia" w:ascii="仿宋" w:hAnsi="仿宋" w:eastAsia="仿宋" w:cs="仿宋"/>
          <w:color w:val="auto"/>
          <w:sz w:val="32"/>
          <w:szCs w:val="32"/>
          <w:highlight w:val="none"/>
          <w:lang w:bidi="ar"/>
        </w:rPr>
        <w:t>已设定的绩效目标及指标，收集与项目相关的文件、财务资料、业务资料及自评报告等资料，对收集到的相关资料进行整理、分析并进行统计。在此基础上，将分析、统计结果与既定的绩效目标指标进行定量、定性比较，分析完成目标或未完成目标的原因，并根据预先设定的评分标准对各项指标进行评分，进而得出项目绩效评价得分。</w:t>
      </w:r>
    </w:p>
    <w:p>
      <w:pPr>
        <w:pStyle w:val="2"/>
        <w:keepNext w:val="0"/>
        <w:keepLines w:val="0"/>
        <w:pageBreakBefore w:val="0"/>
        <w:kinsoku/>
        <w:wordWrap/>
        <w:overflowPunct/>
        <w:topLinePunct w:val="0"/>
        <w:bidi w:val="0"/>
        <w:spacing w:line="560" w:lineRule="exact"/>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4.绩效评价依据</w:t>
      </w:r>
    </w:p>
    <w:p>
      <w:pPr>
        <w:pStyle w:val="2"/>
        <w:keepNext w:val="0"/>
        <w:keepLines w:val="0"/>
        <w:pageBreakBefore w:val="0"/>
        <w:kinsoku/>
        <w:wordWrap/>
        <w:overflowPunct/>
        <w:topLinePunct w:val="0"/>
        <w:bidi w:val="0"/>
        <w:spacing w:line="560" w:lineRule="exact"/>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（1）《中华人民共和国预算法》；</w:t>
      </w:r>
    </w:p>
    <w:p>
      <w:pPr>
        <w:pStyle w:val="2"/>
        <w:keepNext w:val="0"/>
        <w:keepLines w:val="0"/>
        <w:pageBreakBefore w:val="0"/>
        <w:kinsoku/>
        <w:wordWrap/>
        <w:overflowPunct/>
        <w:topLinePunct w:val="0"/>
        <w:bidi w:val="0"/>
        <w:spacing w:line="560" w:lineRule="exact"/>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（2）中共中央、国务院《关于全面实施预算绩效管理的意见》（中发〔2018〕34 号）；</w:t>
      </w:r>
    </w:p>
    <w:p>
      <w:pPr>
        <w:pStyle w:val="2"/>
        <w:keepNext w:val="0"/>
        <w:keepLines w:val="0"/>
        <w:pageBreakBefore w:val="0"/>
        <w:kinsoku/>
        <w:wordWrap/>
        <w:overflowPunct/>
        <w:topLinePunct w:val="0"/>
        <w:bidi w:val="0"/>
        <w:spacing w:line="560" w:lineRule="exact"/>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（3）财政部《项目支出绩效评价管理办法》（财预〔2020〕</w:t>
      </w:r>
    </w:p>
    <w:p>
      <w:pPr>
        <w:pStyle w:val="2"/>
        <w:keepNext w:val="0"/>
        <w:keepLines w:val="0"/>
        <w:pageBreakBefore w:val="0"/>
        <w:kinsoku/>
        <w:wordWrap/>
        <w:overflowPunct/>
        <w:topLinePunct w:val="0"/>
        <w:bidi w:val="0"/>
        <w:spacing w:line="560" w:lineRule="exact"/>
        <w:ind w:left="0" w:leftChars="0" w:firstLine="0" w:firstLineChars="0"/>
        <w:rPr>
          <w:rFonts w:hint="eastAsia" w:ascii="仿宋" w:hAnsi="仿宋" w:eastAsia="仿宋" w:cs="仿宋"/>
          <w:color w:val="auto"/>
          <w:sz w:val="32"/>
          <w:szCs w:val="32"/>
        </w:rPr>
      </w:pPr>
      <w:r>
        <w:rPr>
          <w:rFonts w:hint="eastAsia" w:ascii="仿宋" w:hAnsi="仿宋" w:eastAsia="仿宋" w:cs="仿宋"/>
          <w:color w:val="auto"/>
          <w:sz w:val="32"/>
          <w:szCs w:val="32"/>
        </w:rPr>
        <w:t>10 号）；</w:t>
      </w:r>
    </w:p>
    <w:p>
      <w:pPr>
        <w:pStyle w:val="2"/>
        <w:keepNext w:val="0"/>
        <w:keepLines w:val="0"/>
        <w:pageBreakBefore w:val="0"/>
        <w:kinsoku/>
        <w:wordWrap/>
        <w:overflowPunct/>
        <w:topLinePunct w:val="0"/>
        <w:bidi w:val="0"/>
        <w:spacing w:line="560" w:lineRule="exact"/>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（4）自治区党委、自治区人民政府《关于全面实施预算绩效管理的实施意见》（新党发〔2018〕30 号)；</w:t>
      </w:r>
    </w:p>
    <w:p>
      <w:pPr>
        <w:pStyle w:val="2"/>
        <w:keepNext w:val="0"/>
        <w:keepLines w:val="0"/>
        <w:pageBreakBefore w:val="0"/>
        <w:kinsoku/>
        <w:wordWrap/>
        <w:overflowPunct/>
        <w:topLinePunct w:val="0"/>
        <w:bidi w:val="0"/>
        <w:spacing w:line="560" w:lineRule="exact"/>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（5）自治区财政厅《全面实施预算绩效管理的工作方案》(新财预〔2018〕158 号)；</w:t>
      </w:r>
    </w:p>
    <w:p>
      <w:pPr>
        <w:pStyle w:val="2"/>
        <w:keepNext w:val="0"/>
        <w:keepLines w:val="0"/>
        <w:pageBreakBefore w:val="0"/>
        <w:kinsoku/>
        <w:wordWrap/>
        <w:overflowPunct/>
        <w:topLinePunct w:val="0"/>
        <w:bidi w:val="0"/>
        <w:spacing w:line="560" w:lineRule="exact"/>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（6）自治区财政厅《财政支出绩效评价管理暂行办法》(新财预〔2018〕189 号)；</w:t>
      </w:r>
    </w:p>
    <w:p>
      <w:pPr>
        <w:pStyle w:val="2"/>
        <w:keepNext w:val="0"/>
        <w:keepLines w:val="0"/>
        <w:pageBreakBefore w:val="0"/>
        <w:kinsoku/>
        <w:wordWrap/>
        <w:overflowPunct/>
        <w:topLinePunct w:val="0"/>
        <w:bidi w:val="0"/>
        <w:spacing w:line="560" w:lineRule="exact"/>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（7）本项目各阶段相关文件和有关资料。</w:t>
      </w:r>
    </w:p>
    <w:p>
      <w:pPr>
        <w:keepNext w:val="0"/>
        <w:keepLines w:val="0"/>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（三）绩效评价工作过程</w:t>
      </w:r>
    </w:p>
    <w:p>
      <w:pPr>
        <w:keepNext w:val="0"/>
        <w:keepLines w:val="0"/>
        <w:pageBreakBefore w:val="0"/>
        <w:kinsoku/>
        <w:wordWrap/>
        <w:overflowPunct/>
        <w:topLinePunct w:val="0"/>
        <w:bidi w:val="0"/>
        <w:spacing w:line="560" w:lineRule="exact"/>
        <w:ind w:firstLine="640" w:firstLineChars="200"/>
        <w:jc w:val="left"/>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1.前期准备</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在评价工作正式实施前期，收集、整理</w:t>
      </w:r>
      <w:r>
        <w:rPr>
          <w:rFonts w:hint="eastAsia" w:ascii="仿宋" w:hAnsi="仿宋" w:eastAsia="仿宋" w:cs="仿宋"/>
          <w:color w:val="auto"/>
          <w:sz w:val="32"/>
          <w:szCs w:val="32"/>
          <w:highlight w:val="none"/>
          <w:lang w:eastAsia="zh-CN"/>
        </w:rPr>
        <w:t>邮政快递业安全支撑与保障项目</w:t>
      </w:r>
      <w:r>
        <w:rPr>
          <w:rFonts w:hint="eastAsia" w:ascii="仿宋" w:hAnsi="仿宋" w:eastAsia="仿宋" w:cs="仿宋"/>
          <w:color w:val="auto"/>
          <w:sz w:val="32"/>
          <w:szCs w:val="32"/>
          <w:highlight w:val="none"/>
          <w:lang w:bidi="ar"/>
        </w:rPr>
        <w:t>相关资料，了解所建设项目的基本实施</w:t>
      </w:r>
      <w:r>
        <w:rPr>
          <w:rFonts w:hint="eastAsia" w:ascii="仿宋" w:hAnsi="仿宋" w:eastAsia="仿宋" w:cs="仿宋"/>
          <w:color w:val="auto"/>
          <w:sz w:val="32"/>
          <w:szCs w:val="32"/>
          <w:highlight w:val="none"/>
          <w:lang w:eastAsia="zh-CN" w:bidi="ar"/>
        </w:rPr>
        <w:t>情况</w:t>
      </w:r>
      <w:r>
        <w:rPr>
          <w:rFonts w:hint="eastAsia" w:ascii="仿宋" w:hAnsi="仿宋" w:eastAsia="仿宋" w:cs="仿宋"/>
          <w:color w:val="auto"/>
          <w:sz w:val="32"/>
          <w:szCs w:val="32"/>
          <w:highlight w:val="none"/>
          <w:lang w:bidi="ar"/>
        </w:rPr>
        <w:t>。绩效评价</w:t>
      </w:r>
      <w:r>
        <w:rPr>
          <w:rFonts w:hint="eastAsia" w:ascii="仿宋" w:hAnsi="仿宋" w:eastAsia="仿宋" w:cs="仿宋"/>
          <w:color w:val="auto"/>
          <w:sz w:val="32"/>
          <w:szCs w:val="32"/>
          <w:highlight w:val="none"/>
          <w:lang w:eastAsia="zh-CN" w:bidi="ar"/>
        </w:rPr>
        <w:t>人员</w:t>
      </w:r>
      <w:r>
        <w:rPr>
          <w:rFonts w:hint="eastAsia" w:ascii="仿宋" w:hAnsi="仿宋" w:eastAsia="仿宋" w:cs="仿宋"/>
          <w:color w:val="auto"/>
          <w:sz w:val="32"/>
          <w:szCs w:val="32"/>
          <w:highlight w:val="none"/>
          <w:lang w:bidi="ar"/>
        </w:rPr>
        <w:t>对所建设项目的情况进一步梳理，确定绩效评价关注的重点，制定出了本次绩效评价实施方案。从所建设项目内容出发，按财政部《项目支出绩效评价管理办法》（财预〔2020〕10 号）文件要求，结合项目总目标，设立科学合理的财政资金绩效评价指标体系。</w:t>
      </w:r>
    </w:p>
    <w:p>
      <w:pPr>
        <w:keepNext w:val="0"/>
        <w:keepLines w:val="0"/>
        <w:pageBreakBefore w:val="0"/>
        <w:kinsoku/>
        <w:wordWrap/>
        <w:overflowPunct/>
        <w:topLinePunct w:val="0"/>
        <w:bidi w:val="0"/>
        <w:spacing w:line="560" w:lineRule="exact"/>
        <w:ind w:firstLine="640" w:firstLineChars="200"/>
        <w:jc w:val="left"/>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2.资料、数据采集分析及评价</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项目</w:t>
      </w:r>
      <w:r>
        <w:rPr>
          <w:rFonts w:hint="eastAsia" w:ascii="仿宋" w:hAnsi="仿宋" w:eastAsia="仿宋" w:cs="仿宋"/>
          <w:color w:val="auto"/>
          <w:sz w:val="32"/>
          <w:szCs w:val="32"/>
          <w:highlight w:val="none"/>
          <w:lang w:eastAsia="zh-CN" w:bidi="ar"/>
        </w:rPr>
        <w:t>绩效评价人员</w:t>
      </w:r>
      <w:r>
        <w:rPr>
          <w:rFonts w:hint="eastAsia" w:ascii="仿宋" w:hAnsi="仿宋" w:eastAsia="仿宋" w:cs="仿宋"/>
          <w:color w:val="auto"/>
          <w:sz w:val="32"/>
          <w:szCs w:val="32"/>
          <w:highlight w:val="none"/>
          <w:lang w:bidi="ar"/>
        </w:rPr>
        <w:t>收集了项目的相关文件、财务资料、业务资料、自评报告、相关管理办法等，对项目的实施情况以及资金拨付使用情况进行了调查。对收集到的相关资料进行整理、分析并进行统计，将分析、统计结果与既定的绩效目标指标进行定量、定性比较，进而对绩效指标进行评分。</w:t>
      </w:r>
    </w:p>
    <w:p>
      <w:pPr>
        <w:keepNext w:val="0"/>
        <w:keepLines w:val="0"/>
        <w:pageBreakBefore w:val="0"/>
        <w:kinsoku/>
        <w:wordWrap/>
        <w:overflowPunct/>
        <w:topLinePunct w:val="0"/>
        <w:bidi w:val="0"/>
        <w:spacing w:line="560" w:lineRule="exact"/>
        <w:ind w:firstLine="640" w:firstLineChars="200"/>
        <w:jc w:val="left"/>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3.撰写绩效评价报告</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根据评分结果和掌握的相关资料撰写绩效评价报告稿，针对主要问题提出初步建议。以书面形式向</w:t>
      </w:r>
      <w:r>
        <w:rPr>
          <w:rFonts w:hint="eastAsia" w:ascii="仿宋" w:hAnsi="仿宋" w:eastAsia="仿宋" w:cs="仿宋"/>
          <w:color w:val="auto"/>
          <w:sz w:val="32"/>
          <w:szCs w:val="32"/>
          <w:highlight w:val="none"/>
          <w:lang w:eastAsia="zh-CN" w:bidi="ar"/>
        </w:rPr>
        <w:t>各科室</w:t>
      </w:r>
      <w:r>
        <w:rPr>
          <w:rFonts w:hint="eastAsia" w:ascii="仿宋" w:hAnsi="仿宋" w:eastAsia="仿宋" w:cs="仿宋"/>
          <w:color w:val="auto"/>
          <w:sz w:val="32"/>
          <w:szCs w:val="32"/>
          <w:highlight w:val="none"/>
          <w:lang w:bidi="ar"/>
        </w:rPr>
        <w:t>征求意见，并对反馈的意见逐一核实，逐条说明采纳或不予采纳的理由，并根据反馈的有效意见对绩效评价报告初稿进行修改、完善。</w:t>
      </w:r>
    </w:p>
    <w:p>
      <w:pPr>
        <w:keepNext w:val="0"/>
        <w:keepLines w:val="0"/>
        <w:pageBreakBefore w:val="0"/>
        <w:kinsoku/>
        <w:wordWrap/>
        <w:overflowPunct/>
        <w:topLinePunct w:val="0"/>
        <w:bidi w:val="0"/>
        <w:spacing w:line="560" w:lineRule="exact"/>
        <w:ind w:firstLine="640" w:firstLineChars="200"/>
        <w:jc w:val="left"/>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4.提交正式报告</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bidi="ar"/>
        </w:rPr>
      </w:pPr>
      <w:r>
        <w:rPr>
          <w:rFonts w:hint="eastAsia" w:ascii="仿宋" w:hAnsi="仿宋" w:eastAsia="仿宋" w:cs="仿宋"/>
          <w:color w:val="auto"/>
          <w:sz w:val="32"/>
          <w:szCs w:val="32"/>
          <w:highlight w:val="none"/>
          <w:lang w:bidi="ar"/>
        </w:rPr>
        <w:t>对完善后的绩效评价报告再次进行内部审核，经</w:t>
      </w:r>
      <w:r>
        <w:rPr>
          <w:rFonts w:hint="eastAsia" w:ascii="仿宋" w:hAnsi="仿宋" w:eastAsia="仿宋" w:cs="仿宋"/>
          <w:color w:val="auto"/>
          <w:sz w:val="32"/>
          <w:szCs w:val="32"/>
          <w:highlight w:val="none"/>
          <w:lang w:eastAsia="zh-CN" w:bidi="ar"/>
        </w:rPr>
        <w:t>财务负责人、单位负责人</w:t>
      </w:r>
      <w:r>
        <w:rPr>
          <w:rFonts w:hint="eastAsia" w:ascii="仿宋" w:hAnsi="仿宋" w:eastAsia="仿宋" w:cs="仿宋"/>
          <w:color w:val="auto"/>
          <w:sz w:val="32"/>
          <w:szCs w:val="32"/>
          <w:highlight w:val="none"/>
          <w:lang w:bidi="ar"/>
        </w:rPr>
        <w:t>审核通过，形成正式评价报告，提交自治区财政厅。</w:t>
      </w:r>
    </w:p>
    <w:p>
      <w:pPr>
        <w:keepNext w:val="0"/>
        <w:keepLines w:val="0"/>
        <w:pageBreakBefore w:val="0"/>
        <w:widowControl/>
        <w:numPr>
          <w:ilvl w:val="0"/>
          <w:numId w:val="1"/>
        </w:numPr>
        <w:suppressLineNumbers w:val="0"/>
        <w:kinsoku/>
        <w:wordWrap/>
        <w:overflowPunct/>
        <w:topLinePunct w:val="0"/>
        <w:bidi w:val="0"/>
        <w:spacing w:line="560" w:lineRule="exact"/>
        <w:ind w:left="0" w:leftChars="0" w:firstLine="620" w:firstLineChars="200"/>
        <w:jc w:val="left"/>
        <w:rPr>
          <w:rFonts w:ascii="楷体_GB2312" w:hAnsi="宋体" w:eastAsia="楷体_GB2312" w:cs="楷体_GB2312"/>
          <w:color w:val="auto"/>
          <w:kern w:val="0"/>
          <w:sz w:val="31"/>
          <w:szCs w:val="31"/>
          <w:lang w:val="en-US" w:eastAsia="zh-CN" w:bidi="ar"/>
        </w:rPr>
      </w:pPr>
      <w:r>
        <w:rPr>
          <w:rFonts w:ascii="楷体_GB2312" w:hAnsi="宋体" w:eastAsia="楷体_GB2312" w:cs="楷体_GB2312"/>
          <w:color w:val="auto"/>
          <w:kern w:val="0"/>
          <w:sz w:val="31"/>
          <w:szCs w:val="31"/>
          <w:lang w:val="en-US" w:eastAsia="zh-CN" w:bidi="ar"/>
        </w:rPr>
        <w:t xml:space="preserve">绩效评价抽样情况 </w:t>
      </w:r>
    </w:p>
    <w:p>
      <w:pPr>
        <w:pStyle w:val="2"/>
        <w:keepNext w:val="0"/>
        <w:keepLines w:val="0"/>
        <w:pageBreakBefore w:val="0"/>
        <w:numPr>
          <w:ilvl w:val="0"/>
          <w:numId w:val="0"/>
        </w:numPr>
        <w:kinsoku/>
        <w:wordWrap/>
        <w:overflowPunct/>
        <w:topLinePunct w:val="0"/>
        <w:bidi w:val="0"/>
        <w:spacing w:line="560" w:lineRule="exact"/>
        <w:rPr>
          <w:color w:val="auto"/>
          <w:lang w:val="en-US" w:eastAsia="zh-CN"/>
        </w:rPr>
      </w:pPr>
    </w:p>
    <w:tbl>
      <w:tblPr>
        <w:tblStyle w:val="12"/>
        <w:tblW w:w="89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5"/>
        <w:gridCol w:w="1358"/>
        <w:gridCol w:w="1406"/>
        <w:gridCol w:w="1345"/>
        <w:gridCol w:w="1341"/>
        <w:gridCol w:w="2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495"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b/>
                <w:bCs/>
                <w:color w:val="auto"/>
                <w:sz w:val="28"/>
                <w:szCs w:val="28"/>
                <w:vertAlign w:val="baseline"/>
              </w:rPr>
            </w:pPr>
            <w:r>
              <w:rPr>
                <w:rFonts w:hint="eastAsia" w:ascii="仿宋" w:hAnsi="仿宋" w:eastAsia="仿宋" w:cs="仿宋"/>
                <w:b/>
                <w:bCs/>
                <w:color w:val="auto"/>
                <w:kern w:val="0"/>
                <w:sz w:val="28"/>
                <w:szCs w:val="28"/>
                <w:lang w:val="en-US" w:eastAsia="zh-CN" w:bidi="ar"/>
              </w:rPr>
              <w:t>评价指标</w:t>
            </w:r>
          </w:p>
        </w:tc>
        <w:tc>
          <w:tcPr>
            <w:tcW w:w="1358"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b/>
                <w:bCs/>
                <w:color w:val="auto"/>
                <w:sz w:val="28"/>
                <w:szCs w:val="28"/>
                <w:vertAlign w:val="baseline"/>
              </w:rPr>
            </w:pPr>
            <w:r>
              <w:rPr>
                <w:rFonts w:hint="eastAsia" w:ascii="仿宋" w:hAnsi="仿宋" w:eastAsia="仿宋" w:cs="仿宋"/>
                <w:b/>
                <w:bCs/>
                <w:color w:val="auto"/>
                <w:kern w:val="0"/>
                <w:sz w:val="28"/>
                <w:szCs w:val="28"/>
                <w:lang w:val="en-US" w:eastAsia="zh-CN" w:bidi="ar"/>
              </w:rPr>
              <w:t>目标值</w:t>
            </w:r>
          </w:p>
        </w:tc>
        <w:tc>
          <w:tcPr>
            <w:tcW w:w="1406"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b/>
                <w:bCs/>
                <w:color w:val="auto"/>
                <w:sz w:val="28"/>
                <w:szCs w:val="28"/>
                <w:vertAlign w:val="baseline"/>
              </w:rPr>
            </w:pPr>
            <w:r>
              <w:rPr>
                <w:rFonts w:hint="eastAsia" w:ascii="仿宋" w:hAnsi="仿宋" w:eastAsia="仿宋" w:cs="仿宋"/>
                <w:b/>
                <w:bCs/>
                <w:color w:val="auto"/>
                <w:kern w:val="0"/>
                <w:sz w:val="28"/>
                <w:szCs w:val="28"/>
                <w:lang w:val="en-US" w:eastAsia="zh-CN" w:bidi="ar"/>
              </w:rPr>
              <w:t>业绩值</w:t>
            </w:r>
          </w:p>
        </w:tc>
        <w:tc>
          <w:tcPr>
            <w:tcW w:w="1345"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b/>
                <w:bCs/>
                <w:color w:val="auto"/>
                <w:sz w:val="28"/>
                <w:szCs w:val="28"/>
                <w:vertAlign w:val="baseline"/>
                <w:lang w:eastAsia="zh-CN"/>
              </w:rPr>
            </w:pPr>
            <w:r>
              <w:rPr>
                <w:rFonts w:hint="eastAsia" w:ascii="仿宋" w:hAnsi="仿宋" w:eastAsia="仿宋" w:cs="仿宋"/>
                <w:b/>
                <w:bCs/>
                <w:color w:val="auto"/>
                <w:sz w:val="28"/>
                <w:szCs w:val="28"/>
                <w:vertAlign w:val="baseline"/>
                <w:lang w:eastAsia="zh-CN"/>
              </w:rPr>
              <w:t>完成率</w:t>
            </w:r>
          </w:p>
        </w:tc>
        <w:tc>
          <w:tcPr>
            <w:tcW w:w="1341"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b/>
                <w:bCs/>
                <w:color w:val="auto"/>
                <w:sz w:val="28"/>
                <w:szCs w:val="28"/>
                <w:vertAlign w:val="baseline"/>
                <w:lang w:eastAsia="zh-CN"/>
              </w:rPr>
            </w:pPr>
            <w:r>
              <w:rPr>
                <w:rFonts w:hint="eastAsia" w:ascii="仿宋" w:hAnsi="仿宋" w:eastAsia="仿宋" w:cs="仿宋"/>
                <w:b/>
                <w:bCs/>
                <w:color w:val="auto"/>
                <w:sz w:val="28"/>
                <w:szCs w:val="28"/>
                <w:vertAlign w:val="baseline"/>
                <w:lang w:eastAsia="zh-CN"/>
              </w:rPr>
              <w:t>抽样比例</w:t>
            </w:r>
          </w:p>
        </w:tc>
        <w:tc>
          <w:tcPr>
            <w:tcW w:w="2031"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b/>
                <w:bCs/>
                <w:color w:val="auto"/>
                <w:sz w:val="28"/>
                <w:szCs w:val="28"/>
                <w:vertAlign w:val="baseline"/>
                <w:lang w:eastAsia="zh-CN"/>
              </w:rPr>
            </w:pPr>
            <w:r>
              <w:rPr>
                <w:rFonts w:hint="eastAsia" w:ascii="仿宋" w:hAnsi="仿宋" w:eastAsia="仿宋" w:cs="仿宋"/>
                <w:b/>
                <w:bCs/>
                <w:color w:val="auto"/>
                <w:sz w:val="28"/>
                <w:szCs w:val="28"/>
                <w:vertAlign w:val="baseline"/>
                <w:lang w:eastAsia="zh-CN"/>
              </w:rPr>
              <w:t>审阅方式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495"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rPr>
            </w:pPr>
            <w:r>
              <w:rPr>
                <w:rFonts w:hint="eastAsia" w:ascii="仿宋" w:hAnsi="仿宋" w:eastAsia="仿宋" w:cs="仿宋"/>
                <w:color w:val="auto"/>
                <w:kern w:val="0"/>
                <w:sz w:val="28"/>
                <w:szCs w:val="28"/>
                <w:lang w:val="en-US" w:eastAsia="zh-CN" w:bidi="ar"/>
              </w:rPr>
              <w:t>资金到位</w:t>
            </w:r>
          </w:p>
        </w:tc>
        <w:tc>
          <w:tcPr>
            <w:tcW w:w="1358"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26万元</w:t>
            </w:r>
          </w:p>
        </w:tc>
        <w:tc>
          <w:tcPr>
            <w:tcW w:w="1406"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26万元</w:t>
            </w:r>
          </w:p>
        </w:tc>
        <w:tc>
          <w:tcPr>
            <w:tcW w:w="1345"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100%</w:t>
            </w:r>
          </w:p>
        </w:tc>
        <w:tc>
          <w:tcPr>
            <w:tcW w:w="1341"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100%</w:t>
            </w:r>
          </w:p>
        </w:tc>
        <w:tc>
          <w:tcPr>
            <w:tcW w:w="2031"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rPr>
            </w:pPr>
            <w:r>
              <w:rPr>
                <w:rFonts w:hint="eastAsia" w:ascii="仿宋" w:hAnsi="仿宋" w:eastAsia="仿宋" w:cs="仿宋"/>
                <w:color w:val="auto"/>
                <w:kern w:val="0"/>
                <w:sz w:val="28"/>
                <w:szCs w:val="28"/>
                <w:lang w:val="en-US" w:eastAsia="zh-CN" w:bidi="ar"/>
              </w:rPr>
              <w:t>查阅会计凭证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495"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lang w:eastAsia="zh-CN"/>
              </w:rPr>
            </w:pPr>
            <w:r>
              <w:rPr>
                <w:rFonts w:hint="eastAsia" w:ascii="仿宋" w:hAnsi="仿宋" w:eastAsia="仿宋" w:cs="仿宋"/>
                <w:color w:val="auto"/>
                <w:sz w:val="28"/>
                <w:szCs w:val="28"/>
                <w:vertAlign w:val="baseline"/>
                <w:lang w:eastAsia="zh-CN"/>
              </w:rPr>
              <w:t>资金支出</w:t>
            </w:r>
          </w:p>
        </w:tc>
        <w:tc>
          <w:tcPr>
            <w:tcW w:w="1358"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kern w:val="2"/>
                <w:sz w:val="28"/>
                <w:szCs w:val="28"/>
                <w:vertAlign w:val="baseline"/>
                <w:lang w:val="en-US" w:eastAsia="zh-CN" w:bidi="ar-SA"/>
              </w:rPr>
            </w:pPr>
            <w:r>
              <w:rPr>
                <w:rFonts w:hint="eastAsia" w:ascii="仿宋" w:hAnsi="仿宋" w:eastAsia="仿宋" w:cs="仿宋"/>
                <w:color w:val="auto"/>
                <w:sz w:val="28"/>
                <w:szCs w:val="28"/>
                <w:vertAlign w:val="baseline"/>
                <w:lang w:val="en-US" w:eastAsia="zh-CN"/>
              </w:rPr>
              <w:t>26万元</w:t>
            </w:r>
          </w:p>
        </w:tc>
        <w:tc>
          <w:tcPr>
            <w:tcW w:w="1406"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kern w:val="2"/>
                <w:sz w:val="28"/>
                <w:szCs w:val="28"/>
                <w:vertAlign w:val="baseline"/>
                <w:lang w:val="en-US" w:eastAsia="zh-CN" w:bidi="ar-SA"/>
              </w:rPr>
            </w:pPr>
            <w:r>
              <w:rPr>
                <w:rFonts w:hint="eastAsia" w:ascii="仿宋" w:hAnsi="仿宋" w:eastAsia="仿宋" w:cs="仿宋"/>
                <w:color w:val="auto"/>
                <w:sz w:val="28"/>
                <w:szCs w:val="28"/>
                <w:vertAlign w:val="baseline"/>
                <w:lang w:val="en-US" w:eastAsia="zh-CN"/>
              </w:rPr>
              <w:t>26万元</w:t>
            </w:r>
          </w:p>
        </w:tc>
        <w:tc>
          <w:tcPr>
            <w:tcW w:w="1345"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kern w:val="2"/>
                <w:sz w:val="28"/>
                <w:szCs w:val="28"/>
                <w:vertAlign w:val="baseline"/>
                <w:lang w:val="en-US" w:eastAsia="zh-CN" w:bidi="ar-SA"/>
              </w:rPr>
            </w:pPr>
            <w:r>
              <w:rPr>
                <w:rFonts w:hint="eastAsia" w:ascii="仿宋" w:hAnsi="仿宋" w:eastAsia="仿宋" w:cs="仿宋"/>
                <w:color w:val="auto"/>
                <w:sz w:val="28"/>
                <w:szCs w:val="28"/>
                <w:vertAlign w:val="baseline"/>
                <w:lang w:val="en-US" w:eastAsia="zh-CN"/>
              </w:rPr>
              <w:t>100%</w:t>
            </w:r>
          </w:p>
        </w:tc>
        <w:tc>
          <w:tcPr>
            <w:tcW w:w="1341"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kern w:val="2"/>
                <w:sz w:val="28"/>
                <w:szCs w:val="28"/>
                <w:vertAlign w:val="baseline"/>
                <w:lang w:val="en-US" w:eastAsia="zh-CN" w:bidi="ar-SA"/>
              </w:rPr>
            </w:pPr>
            <w:r>
              <w:rPr>
                <w:rFonts w:hint="eastAsia" w:ascii="仿宋" w:hAnsi="仿宋" w:eastAsia="仿宋" w:cs="仿宋"/>
                <w:color w:val="auto"/>
                <w:sz w:val="28"/>
                <w:szCs w:val="28"/>
                <w:vertAlign w:val="baseline"/>
                <w:lang w:val="en-US" w:eastAsia="zh-CN"/>
              </w:rPr>
              <w:t>100%</w:t>
            </w:r>
          </w:p>
        </w:tc>
        <w:tc>
          <w:tcPr>
            <w:tcW w:w="2031"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rPr>
            </w:pPr>
            <w:r>
              <w:rPr>
                <w:rFonts w:hint="eastAsia" w:ascii="仿宋" w:hAnsi="仿宋" w:eastAsia="仿宋" w:cs="仿宋"/>
                <w:color w:val="auto"/>
                <w:kern w:val="0"/>
                <w:sz w:val="28"/>
                <w:szCs w:val="28"/>
                <w:lang w:val="en-US" w:eastAsia="zh-CN" w:bidi="ar"/>
              </w:rPr>
              <w:t>查阅会计凭证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495"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lang w:eastAsia="zh-CN"/>
              </w:rPr>
            </w:pPr>
            <w:r>
              <w:rPr>
                <w:rFonts w:hint="eastAsia" w:ascii="仿宋" w:hAnsi="仿宋" w:eastAsia="仿宋" w:cs="仿宋"/>
                <w:color w:val="auto"/>
                <w:sz w:val="28"/>
                <w:szCs w:val="28"/>
                <w:vertAlign w:val="baseline"/>
                <w:lang w:eastAsia="zh-CN"/>
              </w:rPr>
              <w:t>产出数量</w:t>
            </w:r>
          </w:p>
        </w:tc>
        <w:tc>
          <w:tcPr>
            <w:tcW w:w="1358"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rPr>
            </w:pPr>
            <w:r>
              <w:rPr>
                <w:rFonts w:hint="eastAsia" w:ascii="仿宋" w:hAnsi="仿宋" w:eastAsia="仿宋" w:cs="仿宋"/>
                <w:color w:val="auto"/>
                <w:sz w:val="28"/>
                <w:szCs w:val="28"/>
                <w:vertAlign w:val="baseline"/>
              </w:rPr>
              <w:t>设备购置数量</w:t>
            </w:r>
            <w:r>
              <w:rPr>
                <w:rFonts w:hint="eastAsia" w:ascii="宋体" w:hAnsi="宋体" w:eastAsia="宋体" w:cs="宋体"/>
                <w:color w:val="auto"/>
                <w:kern w:val="0"/>
                <w:sz w:val="22"/>
                <w:szCs w:val="22"/>
                <w:lang w:val="en-US" w:eastAsia="zh-CN" w:bidi="ar"/>
              </w:rPr>
              <w:t>≥3套</w:t>
            </w:r>
          </w:p>
        </w:tc>
        <w:tc>
          <w:tcPr>
            <w:tcW w:w="1406"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3套</w:t>
            </w:r>
          </w:p>
        </w:tc>
        <w:tc>
          <w:tcPr>
            <w:tcW w:w="1345"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kern w:val="2"/>
                <w:sz w:val="28"/>
                <w:szCs w:val="28"/>
                <w:vertAlign w:val="baseline"/>
                <w:lang w:val="en-US" w:eastAsia="zh-CN" w:bidi="ar-SA"/>
              </w:rPr>
            </w:pPr>
            <w:r>
              <w:rPr>
                <w:rFonts w:hint="eastAsia" w:ascii="仿宋" w:hAnsi="仿宋" w:eastAsia="仿宋" w:cs="仿宋"/>
                <w:color w:val="auto"/>
                <w:sz w:val="28"/>
                <w:szCs w:val="28"/>
                <w:vertAlign w:val="baseline"/>
                <w:lang w:val="en-US" w:eastAsia="zh-CN"/>
              </w:rPr>
              <w:t>100%</w:t>
            </w:r>
          </w:p>
        </w:tc>
        <w:tc>
          <w:tcPr>
            <w:tcW w:w="1341"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kern w:val="2"/>
                <w:sz w:val="28"/>
                <w:szCs w:val="28"/>
                <w:vertAlign w:val="baseline"/>
                <w:lang w:val="en-US" w:eastAsia="zh-CN" w:bidi="ar-SA"/>
              </w:rPr>
            </w:pPr>
            <w:r>
              <w:rPr>
                <w:rFonts w:hint="eastAsia" w:ascii="仿宋" w:hAnsi="仿宋" w:eastAsia="仿宋" w:cs="仿宋"/>
                <w:color w:val="auto"/>
                <w:sz w:val="28"/>
                <w:szCs w:val="28"/>
                <w:vertAlign w:val="baseline"/>
                <w:lang w:val="en-US" w:eastAsia="zh-CN"/>
              </w:rPr>
              <w:t>100%</w:t>
            </w:r>
          </w:p>
        </w:tc>
        <w:tc>
          <w:tcPr>
            <w:tcW w:w="2031"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kern w:val="2"/>
                <w:sz w:val="28"/>
                <w:szCs w:val="28"/>
                <w:vertAlign w:val="baseline"/>
                <w:lang w:val="en-US" w:eastAsia="zh-CN" w:bidi="ar-SA"/>
              </w:rPr>
            </w:pPr>
            <w:r>
              <w:rPr>
                <w:rFonts w:hint="eastAsia" w:ascii="仿宋" w:hAnsi="仿宋" w:eastAsia="仿宋" w:cs="仿宋"/>
                <w:color w:val="auto"/>
                <w:kern w:val="0"/>
                <w:sz w:val="28"/>
                <w:szCs w:val="28"/>
                <w:lang w:val="en-US" w:eastAsia="zh-CN" w:bidi="ar"/>
              </w:rPr>
              <w:t>查阅会计凭证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495"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lang w:eastAsia="zh-CN"/>
              </w:rPr>
            </w:pPr>
            <w:r>
              <w:rPr>
                <w:rFonts w:hint="eastAsia" w:ascii="仿宋" w:hAnsi="仿宋" w:eastAsia="仿宋" w:cs="仿宋"/>
                <w:color w:val="auto"/>
                <w:sz w:val="28"/>
                <w:szCs w:val="28"/>
                <w:vertAlign w:val="baseline"/>
                <w:lang w:eastAsia="zh-CN"/>
              </w:rPr>
              <w:t>产出时效</w:t>
            </w:r>
          </w:p>
        </w:tc>
        <w:tc>
          <w:tcPr>
            <w:tcW w:w="1358"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rPr>
              <w:t>培训按期完成率</w:t>
            </w:r>
            <w:r>
              <w:rPr>
                <w:rFonts w:hint="eastAsia" w:ascii="仿宋" w:hAnsi="仿宋" w:eastAsia="仿宋" w:cs="仿宋"/>
                <w:color w:val="auto"/>
                <w:sz w:val="28"/>
                <w:szCs w:val="28"/>
                <w:vertAlign w:val="baseline"/>
                <w:lang w:val="en-US" w:eastAsia="zh-CN"/>
              </w:rPr>
              <w:t>=100%</w:t>
            </w:r>
          </w:p>
        </w:tc>
        <w:tc>
          <w:tcPr>
            <w:tcW w:w="1406"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rPr>
            </w:pPr>
            <w:r>
              <w:rPr>
                <w:rFonts w:hint="eastAsia" w:ascii="仿宋" w:hAnsi="仿宋" w:eastAsia="仿宋" w:cs="仿宋"/>
                <w:color w:val="auto"/>
                <w:sz w:val="28"/>
                <w:szCs w:val="28"/>
                <w:vertAlign w:val="baseline"/>
                <w:lang w:val="en-US" w:eastAsia="zh-CN"/>
              </w:rPr>
              <w:t>100%</w:t>
            </w:r>
          </w:p>
        </w:tc>
        <w:tc>
          <w:tcPr>
            <w:tcW w:w="1345" w:type="dxa"/>
            <w:vAlign w:val="center"/>
          </w:tcPr>
          <w:p>
            <w:pPr>
              <w:keepNext w:val="0"/>
              <w:keepLines w:val="0"/>
              <w:pageBreakBefore w:val="0"/>
              <w:kinsoku/>
              <w:wordWrap/>
              <w:overflowPunct/>
              <w:topLinePunct w:val="0"/>
              <w:bidi w:val="0"/>
              <w:spacing w:line="560" w:lineRule="exact"/>
              <w:jc w:val="center"/>
              <w:rPr>
                <w:rFonts w:hint="eastAsia" w:ascii="仿宋" w:hAnsi="仿宋" w:eastAsia="仿宋" w:cs="仿宋"/>
                <w:color w:val="auto"/>
                <w:sz w:val="28"/>
                <w:szCs w:val="28"/>
                <w:vertAlign w:val="baseline"/>
              </w:rPr>
            </w:pPr>
            <w:r>
              <w:rPr>
                <w:rFonts w:hint="eastAsia" w:ascii="仿宋" w:hAnsi="仿宋" w:eastAsia="仿宋" w:cs="仿宋"/>
                <w:color w:val="auto"/>
                <w:sz w:val="28"/>
                <w:szCs w:val="28"/>
                <w:vertAlign w:val="baseline"/>
                <w:lang w:val="en-US" w:eastAsia="zh-CN"/>
              </w:rPr>
              <w:t>100%</w:t>
            </w:r>
          </w:p>
        </w:tc>
        <w:tc>
          <w:tcPr>
            <w:tcW w:w="1341" w:type="dxa"/>
            <w:vAlign w:val="center"/>
          </w:tcPr>
          <w:p>
            <w:pPr>
              <w:keepNext w:val="0"/>
              <w:keepLines w:val="0"/>
              <w:pageBreakBefore w:val="0"/>
              <w:kinsoku/>
              <w:wordWrap/>
              <w:overflowPunct/>
              <w:topLinePunct w:val="0"/>
              <w:bidi w:val="0"/>
              <w:spacing w:line="560" w:lineRule="exact"/>
              <w:jc w:val="center"/>
              <w:rPr>
                <w:rFonts w:hint="eastAsia" w:ascii="仿宋" w:hAnsi="仿宋" w:eastAsia="仿宋" w:cs="仿宋"/>
                <w:color w:val="auto"/>
                <w:sz w:val="28"/>
                <w:szCs w:val="28"/>
                <w:vertAlign w:val="baseline"/>
              </w:rPr>
            </w:pPr>
            <w:r>
              <w:rPr>
                <w:rFonts w:hint="eastAsia" w:ascii="仿宋" w:hAnsi="仿宋" w:eastAsia="仿宋" w:cs="仿宋"/>
                <w:color w:val="auto"/>
                <w:sz w:val="28"/>
                <w:szCs w:val="28"/>
                <w:vertAlign w:val="baseline"/>
                <w:lang w:val="en-US" w:eastAsia="zh-CN"/>
              </w:rPr>
              <w:t>100%</w:t>
            </w:r>
          </w:p>
        </w:tc>
        <w:tc>
          <w:tcPr>
            <w:tcW w:w="2031"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rPr>
            </w:pPr>
            <w:r>
              <w:rPr>
                <w:rFonts w:hint="eastAsia" w:ascii="仿宋" w:hAnsi="仿宋" w:eastAsia="仿宋" w:cs="仿宋"/>
                <w:color w:val="auto"/>
                <w:sz w:val="28"/>
                <w:szCs w:val="28"/>
                <w:vertAlign w:val="baseline"/>
              </w:rPr>
              <w:t>查阅项目资料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495"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rPr>
            </w:pPr>
            <w:r>
              <w:rPr>
                <w:rFonts w:hint="eastAsia" w:ascii="仿宋" w:hAnsi="仿宋" w:eastAsia="仿宋" w:cs="仿宋"/>
                <w:color w:val="auto"/>
                <w:sz w:val="28"/>
                <w:szCs w:val="28"/>
                <w:vertAlign w:val="baseline"/>
              </w:rPr>
              <w:t>满意度</w:t>
            </w:r>
          </w:p>
        </w:tc>
        <w:tc>
          <w:tcPr>
            <w:tcW w:w="1358"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rPr>
            </w:pPr>
            <w:r>
              <w:rPr>
                <w:rFonts w:hint="eastAsia" w:ascii="宋体" w:hAnsi="宋体" w:eastAsia="宋体" w:cs="宋体"/>
                <w:color w:val="auto"/>
                <w:kern w:val="0"/>
                <w:sz w:val="22"/>
                <w:szCs w:val="22"/>
                <w:lang w:val="en-US" w:eastAsia="zh-CN" w:bidi="ar"/>
              </w:rPr>
              <w:t>≥90%</w:t>
            </w:r>
          </w:p>
        </w:tc>
        <w:tc>
          <w:tcPr>
            <w:tcW w:w="1406"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93.80%</w:t>
            </w:r>
          </w:p>
        </w:tc>
        <w:tc>
          <w:tcPr>
            <w:tcW w:w="1345"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100%</w:t>
            </w:r>
          </w:p>
        </w:tc>
        <w:tc>
          <w:tcPr>
            <w:tcW w:w="1341"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rPr>
            </w:pPr>
            <w:r>
              <w:rPr>
                <w:rFonts w:hint="eastAsia" w:ascii="仿宋" w:hAnsi="仿宋" w:eastAsia="仿宋" w:cs="仿宋"/>
                <w:color w:val="auto"/>
                <w:sz w:val="28"/>
                <w:szCs w:val="28"/>
                <w:vertAlign w:val="baseline"/>
                <w:lang w:val="en-US" w:eastAsia="zh-CN"/>
              </w:rPr>
              <w:t>100%</w:t>
            </w:r>
          </w:p>
        </w:tc>
        <w:tc>
          <w:tcPr>
            <w:tcW w:w="2031" w:type="dxa"/>
            <w:vAlign w:val="center"/>
          </w:tcPr>
          <w:p>
            <w:pPr>
              <w:pStyle w:val="2"/>
              <w:keepNext w:val="0"/>
              <w:keepLines w:val="0"/>
              <w:pageBreakBefore w:val="0"/>
              <w:kinsoku/>
              <w:wordWrap/>
              <w:overflowPunct/>
              <w:topLinePunct w:val="0"/>
              <w:bidi w:val="0"/>
              <w:spacing w:line="560" w:lineRule="exact"/>
              <w:ind w:left="0" w:leftChars="0" w:firstLine="0" w:firstLineChars="0"/>
              <w:jc w:val="center"/>
              <w:rPr>
                <w:rFonts w:hint="eastAsia" w:ascii="仿宋" w:hAnsi="仿宋" w:eastAsia="仿宋" w:cs="仿宋"/>
                <w:color w:val="auto"/>
                <w:sz w:val="28"/>
                <w:szCs w:val="28"/>
                <w:vertAlign w:val="baseline"/>
              </w:rPr>
            </w:pPr>
            <w:r>
              <w:rPr>
                <w:rFonts w:hint="eastAsia" w:ascii="仿宋" w:hAnsi="仿宋" w:eastAsia="仿宋" w:cs="仿宋"/>
                <w:color w:val="auto"/>
                <w:sz w:val="28"/>
                <w:szCs w:val="28"/>
                <w:vertAlign w:val="baseline"/>
              </w:rPr>
              <w:t>查阅项目资料</w:t>
            </w:r>
          </w:p>
        </w:tc>
      </w:tr>
    </w:tbl>
    <w:p>
      <w:pPr>
        <w:keepNext w:val="0"/>
        <w:keepLines w:val="0"/>
        <w:pageBreakBefore w:val="0"/>
        <w:numPr>
          <w:ilvl w:val="0"/>
          <w:numId w:val="3"/>
        </w:numPr>
        <w:kinsoku/>
        <w:wordWrap/>
        <w:overflowPunct/>
        <w:topLinePunct w:val="0"/>
        <w:bidi w:val="0"/>
        <w:spacing w:line="560" w:lineRule="exact"/>
        <w:ind w:firstLine="640" w:firstLineChars="200"/>
        <w:contextualSpacing/>
        <w:rPr>
          <w:rFonts w:hint="eastAsia" w:ascii="方正黑体_GBK" w:hAnsi="黑体" w:eastAsia="方正黑体_GBK"/>
          <w:color w:val="auto"/>
          <w:sz w:val="32"/>
          <w:szCs w:val="32"/>
          <w:highlight w:val="none"/>
        </w:rPr>
      </w:pPr>
      <w:r>
        <w:rPr>
          <w:rFonts w:hint="eastAsia" w:ascii="方正黑体_GBK" w:hAnsi="黑体" w:eastAsia="方正黑体_GBK"/>
          <w:color w:val="auto"/>
          <w:sz w:val="32"/>
          <w:szCs w:val="32"/>
          <w:highlight w:val="none"/>
          <w:lang w:eastAsia="zh-CN"/>
        </w:rPr>
        <w:t>绩效</w:t>
      </w:r>
      <w:r>
        <w:rPr>
          <w:rFonts w:hint="eastAsia" w:ascii="方正黑体_GBK" w:hAnsi="黑体" w:eastAsia="方正黑体_GBK"/>
          <w:color w:val="auto"/>
          <w:sz w:val="32"/>
          <w:szCs w:val="32"/>
          <w:highlight w:val="none"/>
        </w:rPr>
        <w:t>评价情况及结论</w:t>
      </w:r>
    </w:p>
    <w:p>
      <w:pPr>
        <w:pStyle w:val="2"/>
        <w:keepNext w:val="0"/>
        <w:keepLines w:val="0"/>
        <w:pageBreakBefore w:val="0"/>
        <w:kinsoku/>
        <w:wordWrap/>
        <w:overflowPunct/>
        <w:topLinePunct w:val="0"/>
        <w:bidi w:val="0"/>
        <w:spacing w:line="560" w:lineRule="exact"/>
        <w:ind w:left="0" w:leftChars="0" w:firstLine="640" w:firstLineChars="200"/>
        <w:rPr>
          <w:rFonts w:hint="eastAsia" w:ascii="楷体" w:hAnsi="楷体" w:eastAsia="楷体" w:cs="楷体"/>
          <w:color w:val="auto"/>
          <w:sz w:val="32"/>
          <w:szCs w:val="32"/>
          <w:lang w:eastAsia="zh-CN"/>
        </w:rPr>
      </w:pPr>
      <w:r>
        <w:rPr>
          <w:rFonts w:hint="eastAsia" w:ascii="楷体" w:hAnsi="楷体" w:eastAsia="楷体" w:cs="楷体"/>
          <w:color w:val="auto"/>
          <w:sz w:val="32"/>
          <w:szCs w:val="32"/>
          <w:highlight w:val="none"/>
          <w:lang w:eastAsia="zh-CN"/>
        </w:rPr>
        <w:t>（一）绩效评价综合结论</w:t>
      </w:r>
    </w:p>
    <w:p>
      <w:pPr>
        <w:keepNext w:val="0"/>
        <w:keepLines w:val="0"/>
        <w:pageBreakBefore w:val="0"/>
        <w:kinsoku/>
        <w:wordWrap/>
        <w:overflowPunct/>
        <w:topLinePunct w:val="0"/>
        <w:bidi w:val="0"/>
        <w:spacing w:line="560" w:lineRule="exact"/>
        <w:ind w:firstLine="640" w:firstLineChars="200"/>
        <w:jc w:val="left"/>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运用评价指标体系及评分标准，通过数据采集、分析，对邮政快递业安全支撑与保障项目进行客观评价，最终评分结果：总得分为98.73分，属于“优”。其中：其中：项目决策指标权重为5分，得分为5分，得分率为100%；项目管理权重为5分，得分为5分，得分率为100%；项目绩效权重为90分，得分为88.73分，得分率为98.59%。</w:t>
      </w:r>
    </w:p>
    <w:p>
      <w:pPr>
        <w:keepNext w:val="0"/>
        <w:keepLines w:val="0"/>
        <w:pageBreakBefore w:val="0"/>
        <w:kinsoku/>
        <w:wordWrap/>
        <w:overflowPunct/>
        <w:topLinePunct w:val="0"/>
        <w:bidi w:val="0"/>
        <w:spacing w:line="560" w:lineRule="exact"/>
        <w:jc w:val="center"/>
        <w:rPr>
          <w:rFonts w:hint="eastAsia" w:ascii="仿宋_GB2312" w:hAnsi="仿宋" w:eastAsia="仿宋_GB2312" w:cs="宋体"/>
          <w:color w:val="auto"/>
          <w:sz w:val="32"/>
          <w:szCs w:val="32"/>
          <w:highlight w:val="none"/>
          <w:lang w:bidi="ar"/>
        </w:rPr>
      </w:pPr>
      <w:r>
        <w:rPr>
          <w:rFonts w:hint="eastAsia" w:ascii="仿宋" w:hAnsi="仿宋" w:eastAsia="仿宋"/>
          <w:color w:val="auto"/>
          <w:sz w:val="32"/>
          <w:szCs w:val="32"/>
          <w:highlight w:val="none"/>
          <w:lang w:eastAsia="zh-CN"/>
        </w:rPr>
        <w:t>邮政快递业安全支撑与保障项目</w:t>
      </w:r>
      <w:r>
        <w:rPr>
          <w:rFonts w:hint="eastAsia" w:ascii="仿宋_GB2312" w:hAnsi="仿宋" w:eastAsia="仿宋_GB2312" w:cs="宋体"/>
          <w:color w:val="auto"/>
          <w:sz w:val="32"/>
          <w:szCs w:val="32"/>
          <w:highlight w:val="none"/>
          <w:lang w:bidi="ar"/>
        </w:rPr>
        <w:t>得分情况表</w:t>
      </w:r>
    </w:p>
    <w:tbl>
      <w:tblPr>
        <w:tblStyle w:val="11"/>
        <w:tblW w:w="8473" w:type="dxa"/>
        <w:tblInd w:w="0" w:type="dxa"/>
        <w:tblLayout w:type="fixed"/>
        <w:tblCellMar>
          <w:top w:w="0" w:type="dxa"/>
          <w:left w:w="108" w:type="dxa"/>
          <w:bottom w:w="0" w:type="dxa"/>
          <w:right w:w="108" w:type="dxa"/>
        </w:tblCellMar>
      </w:tblPr>
      <w:tblGrid>
        <w:gridCol w:w="2660"/>
        <w:gridCol w:w="2127"/>
        <w:gridCol w:w="1986"/>
        <w:gridCol w:w="1700"/>
      </w:tblGrid>
      <w:tr>
        <w:tblPrEx>
          <w:tblCellMar>
            <w:top w:w="0" w:type="dxa"/>
            <w:left w:w="108" w:type="dxa"/>
            <w:bottom w:w="0" w:type="dxa"/>
            <w:right w:w="108" w:type="dxa"/>
          </w:tblCellMar>
        </w:tblPrEx>
        <w:trPr>
          <w:trHeight w:val="510" w:hRule="exact"/>
          <w:tblHeader/>
        </w:trPr>
        <w:tc>
          <w:tcPr>
            <w:tcW w:w="2660" w:type="dxa"/>
            <w:tcBorders>
              <w:top w:val="single" w:color="auto" w:sz="8" w:space="0"/>
              <w:left w:val="single" w:color="auto" w:sz="8" w:space="0"/>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一级指标</w:t>
            </w:r>
          </w:p>
        </w:tc>
        <w:tc>
          <w:tcPr>
            <w:tcW w:w="2127" w:type="dxa"/>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权重</w:t>
            </w:r>
          </w:p>
        </w:tc>
        <w:tc>
          <w:tcPr>
            <w:tcW w:w="1986" w:type="dxa"/>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得分率</w:t>
            </w:r>
          </w:p>
        </w:tc>
        <w:tc>
          <w:tcPr>
            <w:tcW w:w="1700" w:type="dxa"/>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实际得分</w:t>
            </w:r>
          </w:p>
        </w:tc>
      </w:tr>
      <w:tr>
        <w:tblPrEx>
          <w:tblCellMar>
            <w:top w:w="0" w:type="dxa"/>
            <w:left w:w="108" w:type="dxa"/>
            <w:bottom w:w="0" w:type="dxa"/>
            <w:right w:w="108" w:type="dxa"/>
          </w:tblCellMar>
        </w:tblPrEx>
        <w:trPr>
          <w:trHeight w:val="510" w:hRule="exact"/>
          <w:tblHeader/>
        </w:trPr>
        <w:tc>
          <w:tcPr>
            <w:tcW w:w="266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left"/>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A.项目决策</w:t>
            </w:r>
          </w:p>
        </w:tc>
        <w:tc>
          <w:tcPr>
            <w:tcW w:w="2127"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5</w:t>
            </w:r>
          </w:p>
        </w:tc>
        <w:tc>
          <w:tcPr>
            <w:tcW w:w="1986"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lang w:val="en-US" w:eastAsia="zh-CN"/>
              </w:rPr>
              <w:t>100</w:t>
            </w:r>
            <w:r>
              <w:rPr>
                <w:rFonts w:hint="eastAsia" w:ascii="仿宋_GB2312" w:hAnsi="仿宋_GB2312" w:eastAsia="仿宋_GB2312" w:cs="仿宋_GB2312"/>
                <w:color w:val="auto"/>
                <w:kern w:val="0"/>
                <w:sz w:val="30"/>
                <w:szCs w:val="30"/>
                <w:highlight w:val="none"/>
              </w:rPr>
              <w:t>%</w:t>
            </w:r>
          </w:p>
        </w:tc>
        <w:tc>
          <w:tcPr>
            <w:tcW w:w="1700"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kern w:val="0"/>
                <w:sz w:val="30"/>
                <w:szCs w:val="30"/>
                <w:highlight w:val="none"/>
                <w:lang w:val="en-US" w:eastAsia="zh-CN"/>
              </w:rPr>
            </w:pPr>
            <w:r>
              <w:rPr>
                <w:rFonts w:hint="eastAsia" w:ascii="仿宋_GB2312" w:hAnsi="仿宋_GB2312" w:eastAsia="仿宋_GB2312" w:cs="仿宋_GB2312"/>
                <w:color w:val="auto"/>
                <w:kern w:val="0"/>
                <w:sz w:val="30"/>
                <w:szCs w:val="30"/>
                <w:highlight w:val="none"/>
                <w:lang w:val="en-US" w:eastAsia="zh-CN"/>
              </w:rPr>
              <w:t>5</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left"/>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B.项目管理</w:t>
            </w:r>
          </w:p>
        </w:tc>
        <w:tc>
          <w:tcPr>
            <w:tcW w:w="2127"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5</w:t>
            </w:r>
          </w:p>
        </w:tc>
        <w:tc>
          <w:tcPr>
            <w:tcW w:w="1986"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lang w:val="en-US" w:eastAsia="zh-CN"/>
              </w:rPr>
              <w:t>100</w:t>
            </w:r>
            <w:r>
              <w:rPr>
                <w:rFonts w:hint="eastAsia" w:ascii="仿宋_GB2312" w:hAnsi="仿宋_GB2312" w:eastAsia="仿宋_GB2312" w:cs="仿宋_GB2312"/>
                <w:color w:val="auto"/>
                <w:kern w:val="0"/>
                <w:sz w:val="30"/>
                <w:szCs w:val="30"/>
                <w:highlight w:val="none"/>
              </w:rPr>
              <w:t>%</w:t>
            </w:r>
          </w:p>
        </w:tc>
        <w:tc>
          <w:tcPr>
            <w:tcW w:w="1700"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kern w:val="0"/>
                <w:sz w:val="30"/>
                <w:szCs w:val="30"/>
                <w:highlight w:val="none"/>
                <w:lang w:val="en-US" w:eastAsia="zh-CN"/>
              </w:rPr>
            </w:pPr>
            <w:r>
              <w:rPr>
                <w:rFonts w:hint="eastAsia" w:ascii="仿宋_GB2312" w:hAnsi="仿宋_GB2312" w:eastAsia="仿宋_GB2312" w:cs="仿宋_GB2312"/>
                <w:color w:val="auto"/>
                <w:kern w:val="0"/>
                <w:sz w:val="30"/>
                <w:szCs w:val="30"/>
                <w:highlight w:val="none"/>
                <w:lang w:val="en-US" w:eastAsia="zh-CN"/>
              </w:rPr>
              <w:t>5</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left"/>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C.项目绩效</w:t>
            </w:r>
          </w:p>
        </w:tc>
        <w:tc>
          <w:tcPr>
            <w:tcW w:w="2127"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kern w:val="0"/>
                <w:sz w:val="30"/>
                <w:szCs w:val="30"/>
                <w:highlight w:val="none"/>
                <w:lang w:val="en-US" w:eastAsia="zh-CN"/>
              </w:rPr>
            </w:pPr>
            <w:r>
              <w:rPr>
                <w:rFonts w:hint="eastAsia" w:ascii="仿宋_GB2312" w:hAnsi="仿宋_GB2312" w:eastAsia="仿宋_GB2312" w:cs="仿宋_GB2312"/>
                <w:color w:val="auto"/>
                <w:kern w:val="0"/>
                <w:sz w:val="30"/>
                <w:szCs w:val="30"/>
                <w:highlight w:val="none"/>
                <w:lang w:val="en-US" w:eastAsia="zh-CN"/>
              </w:rPr>
              <w:t>90</w:t>
            </w:r>
          </w:p>
        </w:tc>
        <w:tc>
          <w:tcPr>
            <w:tcW w:w="1986"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lang w:val="en-US" w:eastAsia="zh-CN"/>
              </w:rPr>
              <w:t>98.59</w:t>
            </w:r>
            <w:r>
              <w:rPr>
                <w:rFonts w:hint="eastAsia" w:ascii="仿宋_GB2312" w:hAnsi="仿宋_GB2312" w:eastAsia="仿宋_GB2312" w:cs="仿宋_GB2312"/>
                <w:color w:val="auto"/>
                <w:kern w:val="0"/>
                <w:sz w:val="30"/>
                <w:szCs w:val="30"/>
                <w:highlight w:val="none"/>
              </w:rPr>
              <w:t>%</w:t>
            </w:r>
          </w:p>
        </w:tc>
        <w:tc>
          <w:tcPr>
            <w:tcW w:w="1700"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kern w:val="0"/>
                <w:sz w:val="30"/>
                <w:szCs w:val="30"/>
                <w:highlight w:val="none"/>
                <w:lang w:val="en-US" w:eastAsia="zh-CN"/>
              </w:rPr>
            </w:pPr>
            <w:r>
              <w:rPr>
                <w:rFonts w:hint="eastAsia" w:ascii="仿宋_GB2312" w:hAnsi="仿宋_GB2312" w:eastAsia="仿宋_GB2312" w:cs="仿宋_GB2312"/>
                <w:color w:val="auto"/>
                <w:kern w:val="0"/>
                <w:sz w:val="30"/>
                <w:szCs w:val="30"/>
                <w:highlight w:val="none"/>
                <w:lang w:val="en-US" w:eastAsia="zh-CN"/>
              </w:rPr>
              <w:t>88.73</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  计</w:t>
            </w:r>
          </w:p>
        </w:tc>
        <w:tc>
          <w:tcPr>
            <w:tcW w:w="2127"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100</w:t>
            </w:r>
          </w:p>
        </w:tc>
        <w:tc>
          <w:tcPr>
            <w:tcW w:w="1986"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lang w:val="en-US" w:eastAsia="zh-CN"/>
              </w:rPr>
              <w:t>100</w:t>
            </w:r>
            <w:r>
              <w:rPr>
                <w:rFonts w:hint="eastAsia" w:ascii="仿宋_GB2312" w:hAnsi="仿宋_GB2312" w:eastAsia="仿宋_GB2312" w:cs="仿宋_GB2312"/>
                <w:color w:val="auto"/>
                <w:kern w:val="0"/>
                <w:sz w:val="30"/>
                <w:szCs w:val="30"/>
                <w:highlight w:val="none"/>
              </w:rPr>
              <w:t>%</w:t>
            </w:r>
          </w:p>
        </w:tc>
        <w:tc>
          <w:tcPr>
            <w:tcW w:w="1700"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kern w:val="0"/>
                <w:sz w:val="30"/>
                <w:szCs w:val="30"/>
                <w:highlight w:val="none"/>
                <w:lang w:val="en-US" w:eastAsia="zh-CN"/>
              </w:rPr>
            </w:pPr>
            <w:r>
              <w:rPr>
                <w:rFonts w:hint="eastAsia" w:ascii="仿宋_GB2312" w:hAnsi="仿宋_GB2312" w:eastAsia="仿宋_GB2312" w:cs="仿宋_GB2312"/>
                <w:color w:val="auto"/>
                <w:kern w:val="0"/>
                <w:sz w:val="30"/>
                <w:szCs w:val="30"/>
                <w:highlight w:val="none"/>
                <w:lang w:val="en-US" w:eastAsia="zh-CN"/>
              </w:rPr>
              <w:t>98.73</w:t>
            </w:r>
          </w:p>
        </w:tc>
      </w:tr>
    </w:tbl>
    <w:p>
      <w:pPr>
        <w:pStyle w:val="2"/>
        <w:keepNext w:val="0"/>
        <w:keepLines w:val="0"/>
        <w:pageBreakBefore w:val="0"/>
        <w:kinsoku/>
        <w:wordWrap/>
        <w:overflowPunct/>
        <w:topLinePunct w:val="0"/>
        <w:bidi w:val="0"/>
        <w:spacing w:line="560" w:lineRule="exact"/>
        <w:ind w:left="0" w:leftChars="0" w:firstLine="640" w:firstLineChars="200"/>
        <w:rPr>
          <w:rFonts w:hint="eastAsia" w:ascii="楷体" w:hAnsi="楷体" w:eastAsia="楷体" w:cs="楷体"/>
          <w:color w:val="auto"/>
          <w:sz w:val="32"/>
          <w:szCs w:val="32"/>
          <w:lang w:eastAsia="zh-CN"/>
        </w:rPr>
      </w:pPr>
      <w:r>
        <w:rPr>
          <w:rFonts w:hint="eastAsia" w:ascii="楷体" w:hAnsi="楷体" w:eastAsia="楷体" w:cs="楷体"/>
          <w:color w:val="auto"/>
          <w:sz w:val="32"/>
          <w:szCs w:val="32"/>
          <w:highlight w:val="none"/>
          <w:lang w:eastAsia="zh-CN"/>
        </w:rPr>
        <w:t>（二）绩效目标实现情况</w:t>
      </w:r>
    </w:p>
    <w:p>
      <w:pPr>
        <w:pStyle w:val="9"/>
        <w:keepNext w:val="0"/>
        <w:keepLines w:val="0"/>
        <w:pageBreakBefore w:val="0"/>
        <w:numPr>
          <w:ilvl w:val="0"/>
          <w:numId w:val="0"/>
        </w:numPr>
        <w:kinsoku/>
        <w:wordWrap/>
        <w:overflowPunct/>
        <w:topLinePunct w:val="0"/>
        <w:bidi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经对</w:t>
      </w:r>
      <w:r>
        <w:rPr>
          <w:rFonts w:hint="eastAsia" w:ascii="仿宋" w:hAnsi="仿宋" w:eastAsia="仿宋" w:cs="仿宋"/>
          <w:color w:val="auto"/>
          <w:sz w:val="32"/>
          <w:szCs w:val="32"/>
          <w:highlight w:val="none"/>
          <w:lang w:val="en-US" w:eastAsia="zh-CN" w:bidi="ar"/>
        </w:rPr>
        <w:t>邮政快递业安全支撑与保障项目</w:t>
      </w:r>
      <w:r>
        <w:rPr>
          <w:rFonts w:hint="eastAsia" w:ascii="仿宋" w:hAnsi="仿宋" w:eastAsia="仿宋" w:cs="仿宋"/>
          <w:color w:val="auto"/>
          <w:sz w:val="32"/>
          <w:szCs w:val="32"/>
          <w:highlight w:val="none"/>
        </w:rPr>
        <w:t>进行绩效评价，通过实施项目，</w:t>
      </w:r>
      <w:r>
        <w:rPr>
          <w:rFonts w:hint="eastAsia" w:ascii="仿宋" w:hAnsi="仿宋" w:eastAsia="仿宋" w:cs="仿宋"/>
          <w:color w:val="auto"/>
          <w:sz w:val="32"/>
          <w:szCs w:val="32"/>
          <w:highlight w:val="none"/>
          <w:lang w:val="en-US" w:eastAsia="zh-CN" w:bidi="ar"/>
        </w:rPr>
        <w:t>组织开展安全生产法律法规培训、应急管理知识培训、邮政快递业申诉工作人员培训3期，参训人员安全意识、</w:t>
      </w:r>
      <w:r>
        <w:rPr>
          <w:rFonts w:hint="eastAsia" w:ascii="仿宋" w:hAnsi="仿宋" w:eastAsia="仿宋" w:cs="仿宋"/>
          <w:b w:val="0"/>
          <w:bCs w:val="0"/>
          <w:color w:val="auto"/>
          <w:sz w:val="32"/>
          <w:szCs w:val="32"/>
          <w:highlight w:val="none"/>
          <w:lang w:eastAsia="zh-CN"/>
        </w:rPr>
        <w:t>应急能力及申诉工作处理能力进一步强化。维护安全监控平台</w:t>
      </w:r>
      <w:r>
        <w:rPr>
          <w:rFonts w:hint="eastAsia" w:ascii="仿宋" w:hAnsi="仿宋" w:eastAsia="仿宋" w:cs="仿宋"/>
          <w:b w:val="0"/>
          <w:bCs w:val="0"/>
          <w:color w:val="auto"/>
          <w:sz w:val="32"/>
          <w:szCs w:val="32"/>
          <w:highlight w:val="none"/>
          <w:lang w:val="en-US" w:eastAsia="zh-CN"/>
        </w:rPr>
        <w:t>1套，采购“12305”邮政业申诉平台所需设备及配套软件</w:t>
      </w:r>
      <w:r>
        <w:rPr>
          <w:rFonts w:hint="eastAsia" w:ascii="仿宋" w:hAnsi="仿宋" w:eastAsia="仿宋" w:cs="仿宋"/>
          <w:color w:val="auto"/>
          <w:sz w:val="32"/>
          <w:szCs w:val="32"/>
          <w:highlight w:val="none"/>
          <w:lang w:val="en-US" w:eastAsia="zh-CN" w:bidi="ar"/>
        </w:rPr>
        <w:t>及配套软件3套</w:t>
      </w:r>
      <w:r>
        <w:rPr>
          <w:rFonts w:hint="eastAsia" w:ascii="仿宋" w:hAnsi="仿宋" w:eastAsia="仿宋" w:cs="仿宋"/>
          <w:b w:val="0"/>
          <w:bCs w:val="0"/>
          <w:color w:val="auto"/>
          <w:sz w:val="32"/>
          <w:szCs w:val="32"/>
          <w:highlight w:val="none"/>
          <w:lang w:val="en-US" w:eastAsia="zh-CN"/>
        </w:rPr>
        <w:t>。</w:t>
      </w:r>
      <w:r>
        <w:rPr>
          <w:rFonts w:hint="eastAsia" w:ascii="仿宋" w:hAnsi="仿宋" w:eastAsia="仿宋" w:cs="仿宋"/>
          <w:color w:val="auto"/>
          <w:sz w:val="32"/>
          <w:szCs w:val="32"/>
          <w:highlight w:val="none"/>
          <w:lang w:eastAsia="zh-CN"/>
        </w:rPr>
        <w:t>本部门</w:t>
      </w:r>
      <w:r>
        <w:rPr>
          <w:rFonts w:hint="eastAsia" w:ascii="仿宋" w:hAnsi="仿宋" w:eastAsia="仿宋" w:cs="仿宋"/>
          <w:color w:val="auto"/>
          <w:sz w:val="32"/>
          <w:szCs w:val="32"/>
          <w:highlight w:val="none"/>
        </w:rPr>
        <w:t>设定的与总体目标相关各项指标基本已实现，绩效总体目标指标完成情况详见下表：</w:t>
      </w:r>
    </w:p>
    <w:p>
      <w:pPr>
        <w:pStyle w:val="9"/>
        <w:keepNext w:val="0"/>
        <w:keepLines w:val="0"/>
        <w:pageBreakBefore w:val="0"/>
        <w:numPr>
          <w:ilvl w:val="0"/>
          <w:numId w:val="0"/>
        </w:numPr>
        <w:kinsoku/>
        <w:wordWrap/>
        <w:overflowPunct/>
        <w:topLinePunct w:val="0"/>
        <w:bidi w:val="0"/>
        <w:spacing w:line="240" w:lineRule="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drawing>
          <wp:inline distT="0" distB="0" distL="114300" distR="114300">
            <wp:extent cx="5269230" cy="4337050"/>
            <wp:effectExtent l="0" t="0" r="7620" b="6350"/>
            <wp:docPr id="3" name="图片 3" descr="指标完成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指标完成值"/>
                    <pic:cNvPicPr>
                      <a:picLocks noChangeAspect="1"/>
                    </pic:cNvPicPr>
                  </pic:nvPicPr>
                  <pic:blipFill>
                    <a:blip r:embed="rId6"/>
                    <a:stretch>
                      <a:fillRect/>
                    </a:stretch>
                  </pic:blipFill>
                  <pic:spPr>
                    <a:xfrm>
                      <a:off x="0" y="0"/>
                      <a:ext cx="5269230" cy="433705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方正黑体_GBK" w:hAnsi="黑体" w:eastAsia="方正黑体_GBK"/>
          <w:color w:val="auto"/>
          <w:sz w:val="32"/>
          <w:szCs w:val="32"/>
          <w:highlight w:val="none"/>
        </w:rPr>
      </w:pPr>
      <w:r>
        <w:rPr>
          <w:rFonts w:hint="eastAsia" w:ascii="方正黑体_GBK" w:hAnsi="黑体" w:eastAsia="方正黑体_GBK"/>
          <w:color w:val="auto"/>
          <w:sz w:val="32"/>
          <w:szCs w:val="32"/>
          <w:highlight w:val="none"/>
        </w:rPr>
        <w:t>四、绩效评价</w:t>
      </w:r>
      <w:r>
        <w:rPr>
          <w:rFonts w:hint="eastAsia" w:ascii="方正黑体_GBK" w:hAnsi="黑体" w:eastAsia="方正黑体_GBK"/>
          <w:color w:val="auto"/>
          <w:sz w:val="32"/>
          <w:szCs w:val="32"/>
          <w:highlight w:val="none"/>
          <w:lang w:eastAsia="zh-CN"/>
        </w:rPr>
        <w:t>情况</w:t>
      </w:r>
      <w:r>
        <w:rPr>
          <w:rFonts w:hint="eastAsia" w:ascii="方正黑体_GBK" w:hAnsi="黑体" w:eastAsia="方正黑体_GBK"/>
          <w:color w:val="auto"/>
          <w:sz w:val="32"/>
          <w:szCs w:val="32"/>
          <w:highlight w:val="none"/>
        </w:rPr>
        <w:t>分析</w:t>
      </w:r>
    </w:p>
    <w:p>
      <w:pPr>
        <w:keepNext w:val="0"/>
        <w:keepLines w:val="0"/>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（一）项目决策情况</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项目决策指标从目标内容、决策依据、2个方面对项目的立项决策目标完成情况进行考察，项目决策类指标分值5分，实际得分5分，得分率100%。项目决策指标得分情况如表所示。</w:t>
      </w:r>
    </w:p>
    <w:tbl>
      <w:tblPr>
        <w:tblStyle w:val="11"/>
        <w:tblW w:w="8522" w:type="dxa"/>
        <w:tblInd w:w="0" w:type="dxa"/>
        <w:tblLayout w:type="fixed"/>
        <w:tblCellMar>
          <w:top w:w="0" w:type="dxa"/>
          <w:left w:w="108" w:type="dxa"/>
          <w:bottom w:w="0" w:type="dxa"/>
          <w:right w:w="108" w:type="dxa"/>
        </w:tblCellMar>
      </w:tblPr>
      <w:tblGrid>
        <w:gridCol w:w="2517"/>
        <w:gridCol w:w="2269"/>
        <w:gridCol w:w="1986"/>
        <w:gridCol w:w="1750"/>
      </w:tblGrid>
      <w:tr>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shd w:val="clear" w:color="auto" w:fill="auto"/>
            <w:noWrap/>
            <w:vAlign w:val="center"/>
          </w:tcPr>
          <w:p>
            <w:pPr>
              <w:keepNext w:val="0"/>
              <w:keepLines w:val="0"/>
              <w:pageBreakBefore w:val="0"/>
              <w:kinsoku/>
              <w:wordWrap/>
              <w:overflowPunct/>
              <w:topLinePunct w:val="0"/>
              <w:bidi w:val="0"/>
              <w:spacing w:line="560" w:lineRule="exact"/>
              <w:ind w:firstLine="2880" w:firstLineChars="9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项目决策指标得分情况</w:t>
            </w:r>
          </w:p>
        </w:tc>
      </w:tr>
      <w:tr>
        <w:tblPrEx>
          <w:tblCellMar>
            <w:top w:w="0" w:type="dxa"/>
            <w:left w:w="108" w:type="dxa"/>
            <w:bottom w:w="0" w:type="dxa"/>
            <w:right w:w="108" w:type="dxa"/>
          </w:tblCellMar>
        </w:tblPrEx>
        <w:trPr>
          <w:trHeight w:val="510" w:hRule="exact"/>
        </w:trPr>
        <w:tc>
          <w:tcPr>
            <w:tcW w:w="2517" w:type="dxa"/>
            <w:tcBorders>
              <w:top w:val="nil"/>
              <w:left w:val="single" w:color="auto" w:sz="8" w:space="0"/>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三级指标</w:t>
            </w:r>
          </w:p>
        </w:tc>
        <w:tc>
          <w:tcPr>
            <w:tcW w:w="2269"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权重</w:t>
            </w:r>
          </w:p>
        </w:tc>
        <w:tc>
          <w:tcPr>
            <w:tcW w:w="1986"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得分率</w:t>
            </w:r>
          </w:p>
        </w:tc>
        <w:tc>
          <w:tcPr>
            <w:tcW w:w="1750"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实际得分</w:t>
            </w:r>
          </w:p>
        </w:tc>
      </w:tr>
      <w:tr>
        <w:tblPrEx>
          <w:tblCellMar>
            <w:top w:w="0" w:type="dxa"/>
            <w:left w:w="108" w:type="dxa"/>
            <w:bottom w:w="0" w:type="dxa"/>
            <w:right w:w="108" w:type="dxa"/>
          </w:tblCellMar>
        </w:tblPrEx>
        <w:trPr>
          <w:trHeight w:val="510" w:hRule="exact"/>
        </w:trPr>
        <w:tc>
          <w:tcPr>
            <w:tcW w:w="2517"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目标内容</w:t>
            </w:r>
          </w:p>
        </w:tc>
        <w:tc>
          <w:tcPr>
            <w:tcW w:w="2269"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2</w:t>
            </w:r>
          </w:p>
        </w:tc>
        <w:tc>
          <w:tcPr>
            <w:tcW w:w="1986"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lang w:val="en-US" w:eastAsia="zh-CN"/>
              </w:rPr>
              <w:t>100</w:t>
            </w:r>
            <w:r>
              <w:rPr>
                <w:rFonts w:hint="eastAsia" w:ascii="仿宋_GB2312" w:hAnsi="仿宋_GB2312" w:eastAsia="仿宋_GB2312" w:cs="仿宋_GB2312"/>
                <w:color w:val="auto"/>
                <w:kern w:val="0"/>
                <w:sz w:val="30"/>
                <w:szCs w:val="30"/>
                <w:highlight w:val="none"/>
              </w:rPr>
              <w:t>%</w:t>
            </w:r>
          </w:p>
        </w:tc>
        <w:tc>
          <w:tcPr>
            <w:tcW w:w="1750"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2</w:t>
            </w:r>
          </w:p>
        </w:tc>
      </w:tr>
      <w:tr>
        <w:tblPrEx>
          <w:tblCellMar>
            <w:top w:w="0" w:type="dxa"/>
            <w:left w:w="108" w:type="dxa"/>
            <w:bottom w:w="0" w:type="dxa"/>
            <w:right w:w="108" w:type="dxa"/>
          </w:tblCellMar>
        </w:tblPrEx>
        <w:trPr>
          <w:trHeight w:val="510" w:hRule="exact"/>
        </w:trPr>
        <w:tc>
          <w:tcPr>
            <w:tcW w:w="2517"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决策依据</w:t>
            </w:r>
          </w:p>
        </w:tc>
        <w:tc>
          <w:tcPr>
            <w:tcW w:w="2269"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3</w:t>
            </w:r>
          </w:p>
        </w:tc>
        <w:tc>
          <w:tcPr>
            <w:tcW w:w="1986"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100%</w:t>
            </w:r>
          </w:p>
        </w:tc>
        <w:tc>
          <w:tcPr>
            <w:tcW w:w="1750"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3</w:t>
            </w:r>
          </w:p>
        </w:tc>
      </w:tr>
      <w:tr>
        <w:tblPrEx>
          <w:tblCellMar>
            <w:top w:w="0" w:type="dxa"/>
            <w:left w:w="108" w:type="dxa"/>
            <w:bottom w:w="0" w:type="dxa"/>
            <w:right w:w="108" w:type="dxa"/>
          </w:tblCellMar>
        </w:tblPrEx>
        <w:trPr>
          <w:trHeight w:val="510" w:hRule="exact"/>
        </w:trPr>
        <w:tc>
          <w:tcPr>
            <w:tcW w:w="251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  计</w:t>
            </w:r>
          </w:p>
        </w:tc>
        <w:tc>
          <w:tcPr>
            <w:tcW w:w="2269"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5</w:t>
            </w:r>
          </w:p>
        </w:tc>
        <w:tc>
          <w:tcPr>
            <w:tcW w:w="1986"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lang w:val="en-US" w:eastAsia="zh-CN"/>
              </w:rPr>
              <w:t>100</w:t>
            </w:r>
            <w:r>
              <w:rPr>
                <w:rFonts w:hint="eastAsia" w:ascii="仿宋_GB2312" w:hAnsi="仿宋_GB2312" w:eastAsia="仿宋_GB2312" w:cs="仿宋_GB2312"/>
                <w:color w:val="auto"/>
                <w:kern w:val="0"/>
                <w:sz w:val="30"/>
                <w:szCs w:val="30"/>
                <w:highlight w:val="none"/>
              </w:rPr>
              <w:t>%</w:t>
            </w:r>
          </w:p>
        </w:tc>
        <w:tc>
          <w:tcPr>
            <w:tcW w:w="1750"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default" w:ascii="仿宋_GB2312" w:hAnsi="仿宋_GB2312" w:eastAsia="仿宋_GB2312" w:cs="仿宋_GB2312"/>
                <w:color w:val="auto"/>
                <w:kern w:val="0"/>
                <w:sz w:val="30"/>
                <w:szCs w:val="30"/>
                <w:highlight w:val="none"/>
                <w:lang w:val="en-US" w:eastAsia="zh-CN"/>
              </w:rPr>
            </w:pPr>
            <w:r>
              <w:rPr>
                <w:rFonts w:hint="eastAsia" w:ascii="仿宋_GB2312" w:hAnsi="仿宋_GB2312" w:eastAsia="仿宋_GB2312" w:cs="仿宋_GB2312"/>
                <w:color w:val="auto"/>
                <w:kern w:val="0"/>
                <w:sz w:val="30"/>
                <w:szCs w:val="30"/>
                <w:highlight w:val="none"/>
                <w:lang w:val="en-US" w:eastAsia="zh-CN"/>
              </w:rPr>
              <w:t>5</w:t>
            </w:r>
          </w:p>
        </w:tc>
      </w:tr>
    </w:tbl>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对于“目标内容”，邮政快递业安全支撑与保障项目是为强化安全基础，落实自治区寄递安全属地管理责任，提升邮政行业信息化管理水平，保障消费者合法权益，从而保障邮政行业安全平稳运行。项目的立项符合规划，根据评分标准，实际得分率为100%。</w:t>
      </w:r>
    </w:p>
    <w:p>
      <w:pPr>
        <w:keepNext w:val="0"/>
        <w:keepLines w:val="0"/>
        <w:pageBreakBefore w:val="0"/>
        <w:kinsoku/>
        <w:wordWrap/>
        <w:overflowPunct/>
        <w:topLinePunct w:val="0"/>
        <w:bidi w:val="0"/>
        <w:spacing w:line="560" w:lineRule="exact"/>
        <w:ind w:firstLine="640" w:firstLineChars="200"/>
        <w:jc w:val="both"/>
        <w:rPr>
          <w:rFonts w:hint="eastAsia" w:ascii="仿宋_GB2312" w:hAnsi="仿宋" w:eastAsia="仿宋_GB2312" w:cs="宋体"/>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对于“决策依据”，邮政快递业安全支撑与保障项目是根据《关于设立新疆维吾尔自治区安全中心的批复》（新党编办〔2017〕2020号）确定的主要职责来定的项目，根据评分标准，该指标不扣分。</w:t>
      </w:r>
    </w:p>
    <w:p>
      <w:pPr>
        <w:keepNext w:val="0"/>
        <w:keepLines w:val="0"/>
        <w:pageBreakBefore w:val="0"/>
        <w:numPr>
          <w:ilvl w:val="0"/>
          <w:numId w:val="4"/>
        </w:numPr>
        <w:kinsoku/>
        <w:wordWrap/>
        <w:overflowPunct/>
        <w:topLinePunct w:val="0"/>
        <w:autoSpaceDE/>
        <w:autoSpaceDN/>
        <w:bidi w:val="0"/>
        <w:adjustRightInd/>
        <w:snapToGrid/>
        <w:spacing w:line="560" w:lineRule="exact"/>
        <w:ind w:firstLine="640" w:firstLineChars="200"/>
        <w:contextualSpacing/>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项目过程情况</w:t>
      </w:r>
    </w:p>
    <w:p>
      <w:pPr>
        <w:keepNext w:val="0"/>
        <w:keepLines w:val="0"/>
        <w:pageBreakBefore w:val="0"/>
        <w:kinsoku/>
        <w:wordWrap/>
        <w:overflowPunct/>
        <w:topLinePunct w:val="0"/>
        <w:bidi w:val="0"/>
        <w:spacing w:line="560" w:lineRule="exact"/>
        <w:ind w:firstLine="640" w:firstLineChars="200"/>
        <w:jc w:val="left"/>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项目管理指标从项目资金的资金到位情况、过程控制2个方面对项目的管理情况进行考察。项目管理类指标分值5分，实际得分5分，得分率为100%。项目管理指标得分情况如表所示。</w:t>
      </w:r>
    </w:p>
    <w:tbl>
      <w:tblPr>
        <w:tblStyle w:val="11"/>
        <w:tblW w:w="8522" w:type="dxa"/>
        <w:tblInd w:w="0" w:type="dxa"/>
        <w:tblLayout w:type="fixed"/>
        <w:tblCellMar>
          <w:top w:w="0" w:type="dxa"/>
          <w:left w:w="108" w:type="dxa"/>
          <w:bottom w:w="0" w:type="dxa"/>
          <w:right w:w="108" w:type="dxa"/>
        </w:tblCellMar>
      </w:tblPr>
      <w:tblGrid>
        <w:gridCol w:w="2234"/>
        <w:gridCol w:w="2408"/>
        <w:gridCol w:w="1986"/>
        <w:gridCol w:w="1894"/>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shd w:val="clear" w:color="auto" w:fill="auto"/>
            <w:noWrap/>
            <w:vAlign w:val="center"/>
          </w:tcPr>
          <w:p>
            <w:pPr>
              <w:keepNext w:val="0"/>
              <w:keepLines w:val="0"/>
              <w:pageBreakBefore w:val="0"/>
              <w:kinsoku/>
              <w:wordWrap/>
              <w:overflowPunct/>
              <w:topLinePunct w:val="0"/>
              <w:bidi w:val="0"/>
              <w:spacing w:line="560" w:lineRule="exact"/>
              <w:ind w:firstLine="2560" w:firstLineChars="8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项目管理指标得分情况</w:t>
            </w:r>
          </w:p>
        </w:tc>
      </w:tr>
      <w:tr>
        <w:tblPrEx>
          <w:tblCellMar>
            <w:top w:w="0" w:type="dxa"/>
            <w:left w:w="108" w:type="dxa"/>
            <w:bottom w:w="0" w:type="dxa"/>
            <w:right w:w="108" w:type="dxa"/>
          </w:tblCellMar>
        </w:tblPrEx>
        <w:trPr>
          <w:trHeight w:val="510" w:hRule="exact"/>
          <w:tblHeader/>
        </w:trPr>
        <w:tc>
          <w:tcPr>
            <w:tcW w:w="2234" w:type="dxa"/>
            <w:tcBorders>
              <w:top w:val="nil"/>
              <w:left w:val="single" w:color="auto" w:sz="8" w:space="0"/>
              <w:bottom w:val="nil"/>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三级指标</w:t>
            </w:r>
          </w:p>
        </w:tc>
        <w:tc>
          <w:tcPr>
            <w:tcW w:w="2408"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权重</w:t>
            </w:r>
          </w:p>
        </w:tc>
        <w:tc>
          <w:tcPr>
            <w:tcW w:w="1986"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得分率</w:t>
            </w:r>
          </w:p>
        </w:tc>
        <w:tc>
          <w:tcPr>
            <w:tcW w:w="1894"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实际得分</w:t>
            </w:r>
          </w:p>
        </w:tc>
      </w:tr>
      <w:tr>
        <w:tblPrEx>
          <w:tblCellMar>
            <w:top w:w="0" w:type="dxa"/>
            <w:left w:w="108" w:type="dxa"/>
            <w:bottom w:w="0" w:type="dxa"/>
            <w:right w:w="108" w:type="dxa"/>
          </w:tblCellMar>
        </w:tblPrEx>
        <w:trPr>
          <w:trHeight w:val="510" w:hRule="exact"/>
        </w:trPr>
        <w:tc>
          <w:tcPr>
            <w:tcW w:w="223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资金到位</w:t>
            </w:r>
          </w:p>
        </w:tc>
        <w:tc>
          <w:tcPr>
            <w:tcW w:w="240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3</w:t>
            </w:r>
          </w:p>
        </w:tc>
        <w:tc>
          <w:tcPr>
            <w:tcW w:w="198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100%</w:t>
            </w:r>
          </w:p>
        </w:tc>
        <w:tc>
          <w:tcPr>
            <w:tcW w:w="189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3</w:t>
            </w:r>
          </w:p>
        </w:tc>
      </w:tr>
      <w:tr>
        <w:tblPrEx>
          <w:tblCellMar>
            <w:top w:w="0" w:type="dxa"/>
            <w:left w:w="108" w:type="dxa"/>
            <w:bottom w:w="0" w:type="dxa"/>
            <w:right w:w="108" w:type="dxa"/>
          </w:tblCellMar>
        </w:tblPrEx>
        <w:trPr>
          <w:trHeight w:val="510" w:hRule="exact"/>
        </w:trPr>
        <w:tc>
          <w:tcPr>
            <w:tcW w:w="223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eastAsia="zh-CN"/>
              </w:rPr>
              <w:t>组织机构</w:t>
            </w:r>
          </w:p>
        </w:tc>
        <w:tc>
          <w:tcPr>
            <w:tcW w:w="240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2</w:t>
            </w:r>
          </w:p>
        </w:tc>
        <w:tc>
          <w:tcPr>
            <w:tcW w:w="198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100%</w:t>
            </w:r>
          </w:p>
        </w:tc>
        <w:tc>
          <w:tcPr>
            <w:tcW w:w="189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2</w:t>
            </w:r>
          </w:p>
        </w:tc>
      </w:tr>
      <w:tr>
        <w:tblPrEx>
          <w:tblCellMar>
            <w:top w:w="0" w:type="dxa"/>
            <w:left w:w="108" w:type="dxa"/>
            <w:bottom w:w="0" w:type="dxa"/>
            <w:right w:w="108" w:type="dxa"/>
          </w:tblCellMar>
        </w:tblPrEx>
        <w:trPr>
          <w:trHeight w:val="510" w:hRule="exact"/>
        </w:trPr>
        <w:tc>
          <w:tcPr>
            <w:tcW w:w="223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  计</w:t>
            </w:r>
          </w:p>
        </w:tc>
        <w:tc>
          <w:tcPr>
            <w:tcW w:w="240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5</w:t>
            </w:r>
          </w:p>
        </w:tc>
        <w:tc>
          <w:tcPr>
            <w:tcW w:w="198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100%</w:t>
            </w:r>
          </w:p>
        </w:tc>
        <w:tc>
          <w:tcPr>
            <w:tcW w:w="189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30"/>
                <w:szCs w:val="30"/>
                <w:highlight w:val="none"/>
                <w:lang w:eastAsia="zh-CN"/>
              </w:rPr>
            </w:pPr>
            <w:r>
              <w:rPr>
                <w:rFonts w:hint="eastAsia" w:ascii="仿宋_GB2312" w:hAnsi="仿宋_GB2312" w:eastAsia="仿宋_GB2312" w:cs="仿宋_GB2312"/>
                <w:color w:val="auto"/>
                <w:kern w:val="0"/>
                <w:sz w:val="30"/>
                <w:szCs w:val="30"/>
                <w:highlight w:val="none"/>
                <w:lang w:val="en-US" w:eastAsia="zh-CN"/>
              </w:rPr>
              <w:t>5</w:t>
            </w:r>
          </w:p>
        </w:tc>
      </w:tr>
    </w:tbl>
    <w:p>
      <w:pPr>
        <w:keepNext w:val="0"/>
        <w:keepLines w:val="0"/>
        <w:pageBreakBefore w:val="0"/>
        <w:kinsoku/>
        <w:wordWrap/>
        <w:overflowPunct/>
        <w:topLinePunct w:val="0"/>
        <w:bidi w:val="0"/>
        <w:spacing w:line="560" w:lineRule="exact"/>
        <w:ind w:firstLine="640" w:firstLineChars="200"/>
        <w:jc w:val="left"/>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对于“资金到位”，新疆维吾尔自治区安全中心邮政快递业安全支撑与保障项目列入2022年预算，资金到位及时，到位率为100%。根据评分标准，该指标不扣分。</w:t>
      </w:r>
    </w:p>
    <w:p>
      <w:pPr>
        <w:keepNext w:val="0"/>
        <w:keepLines w:val="0"/>
        <w:pageBreakBefore w:val="0"/>
        <w:kinsoku/>
        <w:wordWrap/>
        <w:overflowPunct/>
        <w:topLinePunct w:val="0"/>
        <w:bidi w:val="0"/>
        <w:spacing w:line="560" w:lineRule="exact"/>
        <w:ind w:firstLine="640" w:firstLineChars="200"/>
        <w:jc w:val="left"/>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对于“组织机构”，新疆维吾尔自治区安全中心机构健全，分工明确，不存在不相容岗位兼任情况。根据评分标准，该指标不扣分。</w:t>
      </w:r>
    </w:p>
    <w:p>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640" w:firstLineChars="200"/>
        <w:contextualSpacing/>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项目产出情况</w:t>
      </w:r>
    </w:p>
    <w:p>
      <w:pPr>
        <w:keepNext w:val="0"/>
        <w:keepLines w:val="0"/>
        <w:pageBreakBefore w:val="0"/>
        <w:kinsoku/>
        <w:wordWrap/>
        <w:overflowPunct/>
        <w:topLinePunct w:val="0"/>
        <w:bidi w:val="0"/>
        <w:spacing w:line="560" w:lineRule="exact"/>
        <w:ind w:firstLine="640" w:firstLineChars="200"/>
        <w:jc w:val="left"/>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项目绩效主要从项目产出的产出数量、产出质量、产出时效、成本情况4个方面对项目的绩效情况进行评价。项目绩效类指标分值50分，实际得分48.73分，得分率为97.46%。项目绩效指标得分情况如表所示。</w:t>
      </w:r>
    </w:p>
    <w:tbl>
      <w:tblPr>
        <w:tblStyle w:val="11"/>
        <w:tblW w:w="9036" w:type="dxa"/>
        <w:tblInd w:w="0" w:type="dxa"/>
        <w:tblLayout w:type="fixed"/>
        <w:tblCellMar>
          <w:top w:w="0" w:type="dxa"/>
          <w:left w:w="108" w:type="dxa"/>
          <w:bottom w:w="0" w:type="dxa"/>
          <w:right w:w="108" w:type="dxa"/>
        </w:tblCellMar>
      </w:tblPr>
      <w:tblGrid>
        <w:gridCol w:w="864"/>
        <w:gridCol w:w="4359"/>
        <w:gridCol w:w="1091"/>
        <w:gridCol w:w="1276"/>
        <w:gridCol w:w="1446"/>
      </w:tblGrid>
      <w:tr>
        <w:tblPrEx>
          <w:tblCellMar>
            <w:top w:w="0" w:type="dxa"/>
            <w:left w:w="108" w:type="dxa"/>
            <w:bottom w:w="0" w:type="dxa"/>
            <w:right w:w="108" w:type="dxa"/>
          </w:tblCellMar>
        </w:tblPrEx>
        <w:trPr>
          <w:trHeight w:val="495" w:hRule="atLeast"/>
          <w:tblHeader/>
        </w:trPr>
        <w:tc>
          <w:tcPr>
            <w:tcW w:w="9036" w:type="dxa"/>
            <w:gridSpan w:val="5"/>
            <w:tcBorders>
              <w:top w:val="nil"/>
              <w:left w:val="nil"/>
              <w:bottom w:val="single" w:color="auto" w:sz="4" w:space="0"/>
              <w:right w:val="nil"/>
            </w:tcBorders>
            <w:shd w:val="clear" w:color="auto" w:fill="auto"/>
            <w:noWrap/>
            <w:vAlign w:val="center"/>
          </w:tcPr>
          <w:p>
            <w:pPr>
              <w:keepNext w:val="0"/>
              <w:keepLines w:val="0"/>
              <w:pageBreakBefore w:val="0"/>
              <w:kinsoku/>
              <w:wordWrap/>
              <w:overflowPunct/>
              <w:topLinePunct w:val="0"/>
              <w:bidi w:val="0"/>
              <w:spacing w:line="560" w:lineRule="exac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 xml:space="preserve">            项目绩效指标得分情况</w:t>
            </w:r>
          </w:p>
        </w:tc>
      </w:tr>
      <w:tr>
        <w:tblPrEx>
          <w:tblCellMar>
            <w:top w:w="0" w:type="dxa"/>
            <w:left w:w="108" w:type="dxa"/>
            <w:bottom w:w="0" w:type="dxa"/>
            <w:right w:w="108" w:type="dxa"/>
          </w:tblCellMar>
        </w:tblPrEx>
        <w:trPr>
          <w:trHeight w:val="510" w:hRule="exact"/>
          <w:tblHeader/>
        </w:trPr>
        <w:tc>
          <w:tcPr>
            <w:tcW w:w="864"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lang w:eastAsia="zh-CN"/>
              </w:rPr>
              <w:t>二</w:t>
            </w:r>
            <w:r>
              <w:rPr>
                <w:rFonts w:hint="eastAsia" w:ascii="仿宋_GB2312" w:hAnsi="仿宋_GB2312" w:eastAsia="仿宋_GB2312" w:cs="仿宋_GB2312"/>
                <w:b/>
                <w:bCs/>
                <w:color w:val="auto"/>
                <w:kern w:val="0"/>
                <w:sz w:val="30"/>
                <w:szCs w:val="30"/>
                <w:highlight w:val="none"/>
              </w:rPr>
              <w:t>级指标</w:t>
            </w:r>
          </w:p>
        </w:tc>
        <w:tc>
          <w:tcPr>
            <w:tcW w:w="4359"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三级明细指标</w:t>
            </w:r>
          </w:p>
        </w:tc>
        <w:tc>
          <w:tcPr>
            <w:tcW w:w="1091"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权重</w:t>
            </w:r>
          </w:p>
        </w:tc>
        <w:tc>
          <w:tcPr>
            <w:tcW w:w="1276"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得分率</w:t>
            </w:r>
          </w:p>
        </w:tc>
        <w:tc>
          <w:tcPr>
            <w:tcW w:w="1446"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实际得分</w:t>
            </w:r>
          </w:p>
        </w:tc>
      </w:tr>
      <w:tr>
        <w:tblPrEx>
          <w:tblCellMar>
            <w:top w:w="0" w:type="dxa"/>
            <w:left w:w="108" w:type="dxa"/>
            <w:bottom w:w="0" w:type="dxa"/>
            <w:right w:w="108" w:type="dxa"/>
          </w:tblCellMar>
        </w:tblPrEx>
        <w:trPr>
          <w:trHeight w:val="23" w:hRule="atLeast"/>
        </w:trPr>
        <w:tc>
          <w:tcPr>
            <w:tcW w:w="86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数量指标</w:t>
            </w:r>
          </w:p>
        </w:tc>
        <w:tc>
          <w:tcPr>
            <w:tcW w:w="435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完成培训人次</w:t>
            </w:r>
          </w:p>
        </w:tc>
        <w:tc>
          <w:tcPr>
            <w:tcW w:w="10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81.07%</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0.81</w:t>
            </w:r>
          </w:p>
        </w:tc>
      </w:tr>
      <w:tr>
        <w:tblPrEx>
          <w:tblCellMar>
            <w:top w:w="0" w:type="dxa"/>
            <w:left w:w="108" w:type="dxa"/>
            <w:bottom w:w="0" w:type="dxa"/>
            <w:right w:w="108" w:type="dxa"/>
          </w:tblCellMar>
        </w:tblPrEx>
        <w:trPr>
          <w:trHeight w:val="23" w:hRule="atLeast"/>
        </w:trPr>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left"/>
              <w:rPr>
                <w:rFonts w:hint="eastAsia" w:ascii="仿宋_GB2312" w:hAnsi="仿宋_GB2312" w:eastAsia="仿宋_GB2312" w:cs="仿宋_GB2312"/>
                <w:color w:val="auto"/>
                <w:sz w:val="28"/>
                <w:szCs w:val="28"/>
                <w:highlight w:val="none"/>
                <w:lang w:val="en-US" w:eastAsia="zh-CN" w:bidi="ar"/>
              </w:rPr>
            </w:pPr>
          </w:p>
        </w:tc>
        <w:tc>
          <w:tcPr>
            <w:tcW w:w="435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培训天数</w:t>
            </w:r>
          </w:p>
        </w:tc>
        <w:tc>
          <w:tcPr>
            <w:tcW w:w="10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2</w:t>
            </w:r>
          </w:p>
        </w:tc>
      </w:tr>
      <w:tr>
        <w:tblPrEx>
          <w:tblCellMar>
            <w:top w:w="0" w:type="dxa"/>
            <w:left w:w="108" w:type="dxa"/>
            <w:bottom w:w="0" w:type="dxa"/>
            <w:right w:w="108" w:type="dxa"/>
          </w:tblCellMar>
        </w:tblPrEx>
        <w:trPr>
          <w:trHeight w:val="23" w:hRule="atLeast"/>
        </w:trPr>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left"/>
              <w:rPr>
                <w:rFonts w:hint="eastAsia" w:ascii="仿宋_GB2312" w:hAnsi="仿宋_GB2312" w:eastAsia="仿宋_GB2312" w:cs="仿宋_GB2312"/>
                <w:color w:val="auto"/>
                <w:sz w:val="28"/>
                <w:szCs w:val="28"/>
                <w:highlight w:val="none"/>
                <w:lang w:val="en-US" w:eastAsia="zh-CN" w:bidi="ar"/>
              </w:rPr>
            </w:pPr>
          </w:p>
        </w:tc>
        <w:tc>
          <w:tcPr>
            <w:tcW w:w="435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安全监管平台系统维护数量</w:t>
            </w:r>
          </w:p>
        </w:tc>
        <w:tc>
          <w:tcPr>
            <w:tcW w:w="10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2</w:t>
            </w:r>
          </w:p>
        </w:tc>
      </w:tr>
      <w:tr>
        <w:tblPrEx>
          <w:tblCellMar>
            <w:top w:w="0" w:type="dxa"/>
            <w:left w:w="108" w:type="dxa"/>
            <w:bottom w:w="0" w:type="dxa"/>
            <w:right w:w="108" w:type="dxa"/>
          </w:tblCellMar>
        </w:tblPrEx>
        <w:trPr>
          <w:trHeight w:val="23" w:hRule="atLeast"/>
        </w:trPr>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left"/>
              <w:rPr>
                <w:rFonts w:hint="eastAsia" w:ascii="仿宋_GB2312" w:hAnsi="仿宋_GB2312" w:eastAsia="仿宋_GB2312" w:cs="仿宋_GB2312"/>
                <w:color w:val="auto"/>
                <w:sz w:val="28"/>
                <w:szCs w:val="28"/>
                <w:highlight w:val="none"/>
                <w:lang w:val="en-US" w:eastAsia="zh-CN" w:bidi="ar"/>
              </w:rPr>
            </w:pPr>
          </w:p>
        </w:tc>
        <w:tc>
          <w:tcPr>
            <w:tcW w:w="435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设备购置数量</w:t>
            </w:r>
          </w:p>
        </w:tc>
        <w:tc>
          <w:tcPr>
            <w:tcW w:w="10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2</w:t>
            </w:r>
          </w:p>
        </w:tc>
      </w:tr>
      <w:tr>
        <w:tblPrEx>
          <w:tblCellMar>
            <w:top w:w="0" w:type="dxa"/>
            <w:left w:w="108" w:type="dxa"/>
            <w:bottom w:w="0" w:type="dxa"/>
            <w:right w:w="108" w:type="dxa"/>
          </w:tblCellMar>
        </w:tblPrEx>
        <w:trPr>
          <w:trHeight w:val="23" w:hRule="atLeast"/>
        </w:trPr>
        <w:tc>
          <w:tcPr>
            <w:tcW w:w="86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质量指标</w:t>
            </w:r>
          </w:p>
        </w:tc>
        <w:tc>
          <w:tcPr>
            <w:tcW w:w="435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培训出勤率</w:t>
            </w:r>
          </w:p>
        </w:tc>
        <w:tc>
          <w:tcPr>
            <w:tcW w:w="10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r>
      <w:tr>
        <w:tblPrEx>
          <w:tblCellMar>
            <w:top w:w="0" w:type="dxa"/>
            <w:left w:w="108" w:type="dxa"/>
            <w:bottom w:w="0" w:type="dxa"/>
            <w:right w:w="108" w:type="dxa"/>
          </w:tblCellMar>
        </w:tblPrEx>
        <w:trPr>
          <w:trHeight w:val="23" w:hRule="atLeast"/>
        </w:trPr>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left"/>
              <w:rPr>
                <w:rFonts w:hint="eastAsia" w:ascii="仿宋_GB2312" w:hAnsi="仿宋_GB2312" w:eastAsia="仿宋_GB2312" w:cs="仿宋_GB2312"/>
                <w:color w:val="auto"/>
                <w:sz w:val="28"/>
                <w:szCs w:val="28"/>
                <w:highlight w:val="none"/>
                <w:lang w:val="en-US" w:eastAsia="zh-CN" w:bidi="ar"/>
              </w:rPr>
            </w:pPr>
          </w:p>
        </w:tc>
        <w:tc>
          <w:tcPr>
            <w:tcW w:w="435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全区安全监管平台稳定运行率</w:t>
            </w:r>
          </w:p>
        </w:tc>
        <w:tc>
          <w:tcPr>
            <w:tcW w:w="10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r>
      <w:tr>
        <w:tblPrEx>
          <w:tblCellMar>
            <w:top w:w="0" w:type="dxa"/>
            <w:left w:w="108" w:type="dxa"/>
            <w:bottom w:w="0" w:type="dxa"/>
            <w:right w:w="108" w:type="dxa"/>
          </w:tblCellMar>
        </w:tblPrEx>
        <w:trPr>
          <w:trHeight w:val="23" w:hRule="atLeast"/>
        </w:trPr>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left"/>
              <w:rPr>
                <w:rFonts w:hint="eastAsia" w:ascii="仿宋_GB2312" w:hAnsi="仿宋_GB2312" w:eastAsia="仿宋_GB2312" w:cs="仿宋_GB2312"/>
                <w:color w:val="auto"/>
                <w:sz w:val="28"/>
                <w:szCs w:val="28"/>
                <w:highlight w:val="none"/>
                <w:lang w:val="en-US" w:eastAsia="zh-CN" w:bidi="ar"/>
              </w:rPr>
            </w:pPr>
          </w:p>
        </w:tc>
        <w:tc>
          <w:tcPr>
            <w:tcW w:w="435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设备质量合格率</w:t>
            </w:r>
          </w:p>
        </w:tc>
        <w:tc>
          <w:tcPr>
            <w:tcW w:w="10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r>
      <w:tr>
        <w:tblPrEx>
          <w:tblCellMar>
            <w:top w:w="0" w:type="dxa"/>
            <w:left w:w="108" w:type="dxa"/>
            <w:bottom w:w="0" w:type="dxa"/>
            <w:right w:w="108" w:type="dxa"/>
          </w:tblCellMar>
        </w:tblPrEx>
        <w:trPr>
          <w:trHeight w:val="23" w:hRule="atLeast"/>
        </w:trPr>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left"/>
              <w:rPr>
                <w:rFonts w:hint="eastAsia" w:ascii="仿宋_GB2312" w:hAnsi="仿宋_GB2312" w:eastAsia="仿宋_GB2312" w:cs="仿宋_GB2312"/>
                <w:color w:val="auto"/>
                <w:sz w:val="28"/>
                <w:szCs w:val="28"/>
                <w:highlight w:val="none"/>
                <w:lang w:val="en-US" w:eastAsia="zh-CN" w:bidi="ar"/>
              </w:rPr>
            </w:pPr>
          </w:p>
        </w:tc>
        <w:tc>
          <w:tcPr>
            <w:tcW w:w="435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政府采购率</w:t>
            </w:r>
          </w:p>
        </w:tc>
        <w:tc>
          <w:tcPr>
            <w:tcW w:w="10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r>
      <w:tr>
        <w:tblPrEx>
          <w:tblCellMar>
            <w:top w:w="0" w:type="dxa"/>
            <w:left w:w="108" w:type="dxa"/>
            <w:bottom w:w="0" w:type="dxa"/>
            <w:right w:w="108" w:type="dxa"/>
          </w:tblCellMar>
        </w:tblPrEx>
        <w:trPr>
          <w:trHeight w:val="23" w:hRule="atLeast"/>
        </w:trPr>
        <w:tc>
          <w:tcPr>
            <w:tcW w:w="86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时效指标</w:t>
            </w:r>
          </w:p>
        </w:tc>
        <w:tc>
          <w:tcPr>
            <w:tcW w:w="435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培训按期完成率</w:t>
            </w:r>
          </w:p>
        </w:tc>
        <w:tc>
          <w:tcPr>
            <w:tcW w:w="10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r>
      <w:tr>
        <w:tblPrEx>
          <w:tblCellMar>
            <w:top w:w="0" w:type="dxa"/>
            <w:left w:w="108" w:type="dxa"/>
            <w:bottom w:w="0" w:type="dxa"/>
            <w:right w:w="108" w:type="dxa"/>
          </w:tblCellMar>
        </w:tblPrEx>
        <w:trPr>
          <w:trHeight w:val="23" w:hRule="atLeast"/>
        </w:trPr>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left"/>
              <w:rPr>
                <w:rFonts w:hint="eastAsia" w:ascii="仿宋_GB2312" w:hAnsi="仿宋_GB2312" w:eastAsia="仿宋_GB2312" w:cs="仿宋_GB2312"/>
                <w:color w:val="auto"/>
                <w:sz w:val="28"/>
                <w:szCs w:val="28"/>
                <w:highlight w:val="none"/>
                <w:lang w:val="en-US" w:eastAsia="zh-CN" w:bidi="ar"/>
              </w:rPr>
            </w:pPr>
          </w:p>
        </w:tc>
        <w:tc>
          <w:tcPr>
            <w:tcW w:w="435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安全监管平台系统故障修复处理时间</w:t>
            </w:r>
          </w:p>
        </w:tc>
        <w:tc>
          <w:tcPr>
            <w:tcW w:w="10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r>
      <w:tr>
        <w:tblPrEx>
          <w:tblCellMar>
            <w:top w:w="0" w:type="dxa"/>
            <w:left w:w="108" w:type="dxa"/>
            <w:bottom w:w="0" w:type="dxa"/>
            <w:right w:w="108" w:type="dxa"/>
          </w:tblCellMar>
        </w:tblPrEx>
        <w:trPr>
          <w:trHeight w:val="23" w:hRule="atLeast"/>
        </w:trPr>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left"/>
              <w:rPr>
                <w:rFonts w:hint="eastAsia" w:ascii="仿宋_GB2312" w:hAnsi="仿宋_GB2312" w:eastAsia="仿宋_GB2312" w:cs="仿宋_GB2312"/>
                <w:color w:val="auto"/>
                <w:sz w:val="28"/>
                <w:szCs w:val="28"/>
                <w:highlight w:val="none"/>
                <w:lang w:val="en-US" w:eastAsia="zh-CN" w:bidi="ar"/>
              </w:rPr>
            </w:pPr>
          </w:p>
        </w:tc>
        <w:tc>
          <w:tcPr>
            <w:tcW w:w="435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系统运行维护响应时间</w:t>
            </w:r>
          </w:p>
        </w:tc>
        <w:tc>
          <w:tcPr>
            <w:tcW w:w="10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r>
      <w:tr>
        <w:tblPrEx>
          <w:tblCellMar>
            <w:top w:w="0" w:type="dxa"/>
            <w:left w:w="108" w:type="dxa"/>
            <w:bottom w:w="0" w:type="dxa"/>
            <w:right w:w="108" w:type="dxa"/>
          </w:tblCellMar>
        </w:tblPrEx>
        <w:trPr>
          <w:trHeight w:val="23" w:hRule="atLeast"/>
        </w:trPr>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bidi="ar"/>
              </w:rPr>
            </w:pPr>
          </w:p>
        </w:tc>
        <w:tc>
          <w:tcPr>
            <w:tcW w:w="435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设备采购完成时间</w:t>
            </w:r>
          </w:p>
        </w:tc>
        <w:tc>
          <w:tcPr>
            <w:tcW w:w="109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w:t>
            </w:r>
          </w:p>
        </w:tc>
      </w:tr>
      <w:tr>
        <w:tblPrEx>
          <w:tblCellMar>
            <w:top w:w="0" w:type="dxa"/>
            <w:left w:w="108" w:type="dxa"/>
            <w:bottom w:w="0" w:type="dxa"/>
            <w:right w:w="108" w:type="dxa"/>
          </w:tblCellMar>
        </w:tblPrEx>
        <w:trPr>
          <w:trHeight w:val="23" w:hRule="atLeast"/>
        </w:trPr>
        <w:tc>
          <w:tcPr>
            <w:tcW w:w="86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成本指标</w:t>
            </w:r>
          </w:p>
        </w:tc>
        <w:tc>
          <w:tcPr>
            <w:tcW w:w="435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培训人均支出标准</w:t>
            </w:r>
          </w:p>
        </w:tc>
        <w:tc>
          <w:tcPr>
            <w:tcW w:w="109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80.82%</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280" w:firstLineChars="100"/>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0.81</w:t>
            </w:r>
          </w:p>
        </w:tc>
      </w:tr>
      <w:tr>
        <w:tblPrEx>
          <w:tblCellMar>
            <w:top w:w="0" w:type="dxa"/>
            <w:left w:w="108" w:type="dxa"/>
            <w:bottom w:w="0" w:type="dxa"/>
            <w:right w:w="108" w:type="dxa"/>
          </w:tblCellMar>
        </w:tblPrEx>
        <w:trPr>
          <w:trHeight w:val="23" w:hRule="atLeast"/>
        </w:trPr>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left"/>
              <w:rPr>
                <w:rFonts w:hint="eastAsia" w:ascii="仿宋_GB2312" w:hAnsi="仿宋_GB2312" w:eastAsia="仿宋_GB2312" w:cs="仿宋_GB2312"/>
                <w:color w:val="auto"/>
                <w:sz w:val="28"/>
                <w:szCs w:val="28"/>
                <w:highlight w:val="none"/>
                <w:lang w:val="en-US" w:eastAsia="zh-CN" w:bidi="ar"/>
              </w:rPr>
            </w:pPr>
          </w:p>
        </w:tc>
        <w:tc>
          <w:tcPr>
            <w:tcW w:w="435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系统运行维护及突发事件调查处置工作经费</w:t>
            </w:r>
          </w:p>
        </w:tc>
        <w:tc>
          <w:tcPr>
            <w:tcW w:w="109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both"/>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w:t>
            </w:r>
          </w:p>
        </w:tc>
      </w:tr>
      <w:tr>
        <w:tblPrEx>
          <w:tblCellMar>
            <w:top w:w="0" w:type="dxa"/>
            <w:left w:w="108" w:type="dxa"/>
            <w:bottom w:w="0" w:type="dxa"/>
            <w:right w:w="108" w:type="dxa"/>
          </w:tblCellMar>
        </w:tblPrEx>
        <w:trPr>
          <w:trHeight w:val="23" w:hRule="atLeast"/>
        </w:trPr>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left"/>
              <w:rPr>
                <w:rFonts w:hint="eastAsia" w:ascii="仿宋_GB2312" w:hAnsi="仿宋_GB2312" w:eastAsia="仿宋_GB2312" w:cs="仿宋_GB2312"/>
                <w:color w:val="auto"/>
                <w:sz w:val="28"/>
                <w:szCs w:val="28"/>
                <w:highlight w:val="none"/>
                <w:lang w:val="en-US" w:eastAsia="zh-CN" w:bidi="ar"/>
              </w:rPr>
            </w:pPr>
          </w:p>
        </w:tc>
        <w:tc>
          <w:tcPr>
            <w:tcW w:w="435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设备采购及软件更新成本控制数</w:t>
            </w:r>
          </w:p>
        </w:tc>
        <w:tc>
          <w:tcPr>
            <w:tcW w:w="109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100%</w:t>
            </w:r>
          </w:p>
        </w:tc>
        <w:tc>
          <w:tcPr>
            <w:tcW w:w="14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both"/>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1</w:t>
            </w:r>
          </w:p>
        </w:tc>
      </w:tr>
      <w:tr>
        <w:tblPrEx>
          <w:tblCellMar>
            <w:top w:w="0" w:type="dxa"/>
            <w:left w:w="108" w:type="dxa"/>
            <w:bottom w:w="0" w:type="dxa"/>
            <w:right w:w="108" w:type="dxa"/>
          </w:tblCellMar>
        </w:tblPrEx>
        <w:trPr>
          <w:trHeight w:val="23" w:hRule="atLeast"/>
        </w:trPr>
        <w:tc>
          <w:tcPr>
            <w:tcW w:w="52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ind w:firstLine="560" w:firstLineChars="200"/>
              <w:jc w:val="left"/>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合  计</w:t>
            </w:r>
          </w:p>
        </w:tc>
        <w:tc>
          <w:tcPr>
            <w:tcW w:w="109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50</w:t>
            </w:r>
          </w:p>
        </w:tc>
        <w:tc>
          <w:tcPr>
            <w:tcW w:w="12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97.46%</w:t>
            </w:r>
          </w:p>
        </w:tc>
        <w:tc>
          <w:tcPr>
            <w:tcW w:w="14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bidi w:val="0"/>
              <w:spacing w:line="560" w:lineRule="exact"/>
              <w:jc w:val="center"/>
              <w:rPr>
                <w:rFonts w:hint="default" w:ascii="仿宋_GB2312" w:hAnsi="仿宋_GB2312" w:eastAsia="仿宋_GB2312" w:cs="仿宋_GB2312"/>
                <w:color w:val="auto"/>
                <w:sz w:val="28"/>
                <w:szCs w:val="28"/>
                <w:highlight w:val="none"/>
                <w:lang w:val="en-US" w:eastAsia="zh-CN" w:bidi="ar"/>
              </w:rPr>
            </w:pPr>
            <w:r>
              <w:rPr>
                <w:rFonts w:hint="eastAsia" w:ascii="仿宋_GB2312" w:hAnsi="仿宋_GB2312" w:eastAsia="仿宋_GB2312" w:cs="仿宋_GB2312"/>
                <w:color w:val="auto"/>
                <w:sz w:val="28"/>
                <w:szCs w:val="28"/>
                <w:highlight w:val="none"/>
                <w:lang w:val="en-US" w:eastAsia="zh-CN" w:bidi="ar"/>
              </w:rPr>
              <w:t>48.73</w:t>
            </w:r>
          </w:p>
        </w:tc>
      </w:tr>
    </w:tbl>
    <w:p>
      <w:pPr>
        <w:keepNext w:val="0"/>
        <w:keepLines w:val="0"/>
        <w:pageBreakBefore w:val="0"/>
        <w:kinsoku/>
        <w:wordWrap/>
        <w:overflowPunct/>
        <w:topLinePunct w:val="0"/>
        <w:bidi w:val="0"/>
        <w:spacing w:line="560" w:lineRule="exact"/>
        <w:ind w:firstLine="640" w:firstLineChars="200"/>
        <w:jc w:val="both"/>
        <w:rPr>
          <w:rFonts w:hint="default"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根据年初设定的“产出数量”指标，2022年度组织开展安全生产法律法规培训1天，共计培训90人次</w:t>
      </w:r>
      <w:r>
        <w:rPr>
          <w:rFonts w:hint="eastAsia" w:ascii="仿宋" w:hAnsi="仿宋" w:eastAsia="仿宋" w:cs="仿宋"/>
          <w:b w:val="0"/>
          <w:bCs w:val="0"/>
          <w:color w:val="auto"/>
          <w:sz w:val="32"/>
          <w:szCs w:val="32"/>
          <w:highlight w:val="none"/>
          <w:lang w:eastAsia="zh-CN"/>
        </w:rPr>
        <w:t>；组织开展</w:t>
      </w:r>
      <w:r>
        <w:rPr>
          <w:rFonts w:hint="eastAsia" w:ascii="仿宋" w:hAnsi="仿宋" w:eastAsia="仿宋" w:cs="仿宋"/>
          <w:color w:val="auto"/>
          <w:sz w:val="32"/>
          <w:szCs w:val="32"/>
          <w:highlight w:val="none"/>
          <w:lang w:val="en-US" w:eastAsia="zh-CN" w:bidi="ar"/>
        </w:rPr>
        <w:t>应急管理知识培训1天，共计培训70人次，有效</w:t>
      </w:r>
      <w:r>
        <w:rPr>
          <w:rFonts w:hint="eastAsia" w:ascii="仿宋" w:hAnsi="仿宋" w:eastAsia="仿宋" w:cs="仿宋"/>
          <w:b w:val="0"/>
          <w:bCs w:val="0"/>
          <w:color w:val="auto"/>
          <w:sz w:val="32"/>
          <w:szCs w:val="32"/>
          <w:highlight w:val="none"/>
          <w:lang w:eastAsia="zh-CN"/>
        </w:rPr>
        <w:t>提升</w:t>
      </w:r>
      <w:r>
        <w:rPr>
          <w:rFonts w:hint="eastAsia" w:ascii="仿宋" w:hAnsi="仿宋" w:eastAsia="仿宋" w:cs="仿宋"/>
          <w:color w:val="auto"/>
          <w:sz w:val="32"/>
          <w:szCs w:val="32"/>
          <w:highlight w:val="none"/>
          <w:lang w:val="en-US" w:eastAsia="zh-CN" w:bidi="ar"/>
        </w:rPr>
        <w:t>参训人员安全生产意识和</w:t>
      </w:r>
      <w:r>
        <w:rPr>
          <w:rFonts w:hint="eastAsia" w:ascii="仿宋" w:hAnsi="仿宋" w:eastAsia="仿宋" w:cs="仿宋"/>
          <w:b w:val="0"/>
          <w:bCs w:val="0"/>
          <w:color w:val="auto"/>
          <w:sz w:val="32"/>
          <w:szCs w:val="32"/>
          <w:highlight w:val="none"/>
          <w:lang w:eastAsia="zh-CN"/>
        </w:rPr>
        <w:t>应急处置能力；组织开展</w:t>
      </w:r>
      <w:r>
        <w:rPr>
          <w:rFonts w:hint="eastAsia" w:ascii="仿宋" w:hAnsi="仿宋" w:eastAsia="仿宋" w:cs="仿宋"/>
          <w:color w:val="auto"/>
          <w:sz w:val="32"/>
          <w:szCs w:val="32"/>
          <w:highlight w:val="none"/>
          <w:lang w:val="en-US" w:eastAsia="zh-CN" w:bidi="ar"/>
        </w:rPr>
        <w:t>邮政快递业申诉工作人员培训1天，</w:t>
      </w:r>
      <w:r>
        <w:rPr>
          <w:rFonts w:hint="eastAsia" w:ascii="仿宋" w:hAnsi="仿宋" w:eastAsia="仿宋" w:cs="仿宋"/>
          <w:b w:val="0"/>
          <w:bCs w:val="0"/>
          <w:color w:val="auto"/>
          <w:sz w:val="32"/>
          <w:szCs w:val="32"/>
          <w:highlight w:val="none"/>
          <w:lang w:eastAsia="zh-CN"/>
        </w:rPr>
        <w:t>进一步提高</w:t>
      </w:r>
      <w:r>
        <w:rPr>
          <w:rFonts w:hint="eastAsia" w:ascii="仿宋" w:hAnsi="仿宋" w:eastAsia="仿宋" w:cs="仿宋"/>
          <w:color w:val="auto"/>
          <w:sz w:val="32"/>
          <w:szCs w:val="32"/>
          <w:highlight w:val="none"/>
          <w:lang w:val="en-US" w:eastAsia="zh-CN" w:bidi="ar"/>
        </w:rPr>
        <w:t>邮政快递业申诉处理能力</w:t>
      </w:r>
      <w:r>
        <w:rPr>
          <w:rFonts w:hint="eastAsia" w:ascii="仿宋" w:hAnsi="仿宋" w:eastAsia="仿宋" w:cs="仿宋"/>
          <w:b w:val="0"/>
          <w:bCs w:val="0"/>
          <w:color w:val="auto"/>
          <w:sz w:val="32"/>
          <w:szCs w:val="32"/>
          <w:highlight w:val="none"/>
          <w:lang w:eastAsia="zh-CN"/>
        </w:rPr>
        <w:t>。维护安全监控平台</w:t>
      </w:r>
      <w:r>
        <w:rPr>
          <w:rFonts w:hint="eastAsia" w:ascii="仿宋" w:hAnsi="仿宋" w:eastAsia="仿宋" w:cs="仿宋"/>
          <w:b w:val="0"/>
          <w:bCs w:val="0"/>
          <w:color w:val="auto"/>
          <w:sz w:val="32"/>
          <w:szCs w:val="32"/>
          <w:highlight w:val="none"/>
          <w:lang w:val="en-US" w:eastAsia="zh-CN"/>
        </w:rPr>
        <w:t>1套，采购“12305”邮政业申诉平台所需设备及配套软件</w:t>
      </w:r>
      <w:r>
        <w:rPr>
          <w:rFonts w:hint="eastAsia" w:ascii="仿宋" w:hAnsi="仿宋" w:eastAsia="仿宋" w:cs="仿宋"/>
          <w:color w:val="auto"/>
          <w:sz w:val="32"/>
          <w:szCs w:val="32"/>
          <w:highlight w:val="none"/>
          <w:lang w:val="en-US" w:eastAsia="zh-CN" w:bidi="ar"/>
        </w:rPr>
        <w:t>及配套软件3套</w:t>
      </w:r>
      <w:r>
        <w:rPr>
          <w:rFonts w:hint="eastAsia" w:ascii="仿宋" w:hAnsi="仿宋" w:eastAsia="仿宋" w:cs="仿宋"/>
          <w:b w:val="0"/>
          <w:bCs w:val="0"/>
          <w:color w:val="auto"/>
          <w:sz w:val="32"/>
          <w:szCs w:val="32"/>
          <w:highlight w:val="none"/>
          <w:lang w:val="en-US" w:eastAsia="zh-CN"/>
        </w:rPr>
        <w:t>。</w:t>
      </w:r>
      <w:r>
        <w:rPr>
          <w:rFonts w:hint="eastAsia" w:ascii="仿宋" w:hAnsi="仿宋" w:eastAsia="仿宋" w:cs="仿宋"/>
          <w:color w:val="auto"/>
          <w:sz w:val="32"/>
          <w:szCs w:val="32"/>
          <w:highlight w:val="none"/>
          <w:lang w:val="en-US" w:eastAsia="zh-CN" w:bidi="ar"/>
        </w:rPr>
        <w:t>根据评分标准，数量指标完成率100%，该指标不扣分。</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根据年初设定的“产出质量”指标，我中心为各地州市提供视频监控平台技术支撑，全区安全监管平台稳定运行占比达到,86.67%，截止2022年12月底监控平台接入率81.43%；培训人员出勤率为98.56%，有效提升</w:t>
      </w:r>
      <w:r>
        <w:rPr>
          <w:rFonts w:hint="eastAsia" w:ascii="仿宋_GB2312" w:hAnsi="仿宋_GB2312" w:eastAsia="仿宋_GB2312" w:cs="仿宋_GB2312"/>
          <w:b w:val="0"/>
          <w:bCs w:val="0"/>
          <w:color w:val="auto"/>
          <w:sz w:val="32"/>
          <w:szCs w:val="32"/>
          <w:highlight w:val="none"/>
          <w:lang w:eastAsia="zh-CN"/>
        </w:rPr>
        <w:t>参训人员安全生产意识、法律意识，进一步掌握应急救护基础知识和技能；</w:t>
      </w:r>
      <w:r>
        <w:rPr>
          <w:rFonts w:hint="eastAsia" w:ascii="仿宋" w:hAnsi="仿宋" w:eastAsia="仿宋" w:cs="仿宋"/>
          <w:color w:val="auto"/>
          <w:sz w:val="32"/>
          <w:szCs w:val="32"/>
          <w:highlight w:val="none"/>
          <w:lang w:val="en-US" w:eastAsia="zh-CN" w:bidi="ar"/>
        </w:rPr>
        <w:t>设备及配套软件验收合格率100%。根据评分标准，质量指标完成率100%，该指标不扣分。</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根据年初设定的“产出时效”指标，截止2022年12月底，全区视频监控平台出现故障维护单位反应时间小于24小时，均在3天内处理完成，设备及配套软件按计划完成采购，各个阶段工作任务均能按照计划执行，邮政快递业安全支撑与保障项目已按期完成。时效指标完成率100%，按指标评分标准，该指标不扣分。</w:t>
      </w:r>
    </w:p>
    <w:p>
      <w:pPr>
        <w:keepNext w:val="0"/>
        <w:keepLines w:val="0"/>
        <w:pageBreakBefore w:val="0"/>
        <w:kinsoku/>
        <w:wordWrap/>
        <w:overflowPunct/>
        <w:topLinePunct w:val="0"/>
        <w:bidi w:val="0"/>
        <w:spacing w:line="560" w:lineRule="exact"/>
        <w:ind w:firstLine="640" w:firstLineChars="200"/>
        <w:jc w:val="both"/>
        <w:rPr>
          <w:rFonts w:hint="eastAsia" w:ascii="仿宋_GB2312" w:hAnsi="仿宋_GB2312" w:eastAsia="仿宋_GB2312" w:cs="仿宋_GB2312"/>
          <w:color w:val="auto"/>
          <w:sz w:val="30"/>
          <w:szCs w:val="30"/>
          <w:highlight w:val="none"/>
        </w:rPr>
      </w:pPr>
      <w:r>
        <w:rPr>
          <w:rFonts w:hint="eastAsia" w:ascii="仿宋" w:hAnsi="仿宋" w:eastAsia="仿宋" w:cs="仿宋"/>
          <w:color w:val="auto"/>
          <w:sz w:val="32"/>
          <w:szCs w:val="32"/>
          <w:highlight w:val="none"/>
          <w:lang w:val="en-US" w:eastAsia="zh-CN" w:bidi="ar"/>
        </w:rPr>
        <w:t>根据年初设定的对于“成本情况”指标，截止2022年12月底，已支出培训费人均标准为161.55元/人·天，设备及软件更新成本控制数4.30万元，安全监管平台运行及突发事件调查处置工作经费18.37万元，合计26.00万元。经查阅年度会计明细账均已100%完成支出。根据评分标准，成本指标完成率100%，该指标不扣分。</w:t>
      </w:r>
    </w:p>
    <w:p>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640" w:firstLineChars="200"/>
        <w:contextualSpacing/>
        <w:jc w:val="both"/>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项目效益情况</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项目绩效主要从项目产出的效果的经济效益、社会效益、可持续影响3个方面对项目的绩效情况进行评价。项目绩效类指标分值40分，实际得分40分，得分率为100%。项目绩效指标得分情况如表所示。</w:t>
      </w:r>
    </w:p>
    <w:p>
      <w:pPr>
        <w:pStyle w:val="2"/>
        <w:rPr>
          <w:rFonts w:hint="eastAsia" w:ascii="仿宋" w:hAnsi="仿宋" w:eastAsia="仿宋" w:cs="仿宋"/>
          <w:color w:val="auto"/>
          <w:sz w:val="32"/>
          <w:szCs w:val="32"/>
          <w:highlight w:val="none"/>
          <w:lang w:val="en-US" w:eastAsia="zh-CN" w:bidi="ar"/>
        </w:rPr>
      </w:pPr>
    </w:p>
    <w:p>
      <w:pPr>
        <w:pStyle w:val="2"/>
        <w:rPr>
          <w:rFonts w:hint="eastAsia" w:ascii="仿宋" w:hAnsi="仿宋" w:eastAsia="仿宋" w:cs="仿宋"/>
          <w:color w:val="auto"/>
          <w:sz w:val="32"/>
          <w:szCs w:val="32"/>
          <w:highlight w:val="none"/>
          <w:lang w:val="en-US" w:eastAsia="zh-CN" w:bidi="ar"/>
        </w:rPr>
      </w:pPr>
    </w:p>
    <w:tbl>
      <w:tblPr>
        <w:tblStyle w:val="11"/>
        <w:tblW w:w="9036" w:type="dxa"/>
        <w:tblInd w:w="0" w:type="dxa"/>
        <w:tblLayout w:type="fixed"/>
        <w:tblCellMar>
          <w:top w:w="0" w:type="dxa"/>
          <w:left w:w="108" w:type="dxa"/>
          <w:bottom w:w="0" w:type="dxa"/>
          <w:right w:w="108" w:type="dxa"/>
        </w:tblCellMar>
      </w:tblPr>
      <w:tblGrid>
        <w:gridCol w:w="2004"/>
        <w:gridCol w:w="2586"/>
        <w:gridCol w:w="930"/>
        <w:gridCol w:w="1170"/>
        <w:gridCol w:w="2346"/>
      </w:tblGrid>
      <w:tr>
        <w:tblPrEx>
          <w:tblCellMar>
            <w:top w:w="0" w:type="dxa"/>
            <w:left w:w="108" w:type="dxa"/>
            <w:bottom w:w="0" w:type="dxa"/>
            <w:right w:w="108" w:type="dxa"/>
          </w:tblCellMar>
        </w:tblPrEx>
        <w:trPr>
          <w:trHeight w:val="495" w:hRule="atLeast"/>
          <w:tblHeader/>
        </w:trPr>
        <w:tc>
          <w:tcPr>
            <w:tcW w:w="9036" w:type="dxa"/>
            <w:gridSpan w:val="5"/>
            <w:tcBorders>
              <w:top w:val="nil"/>
              <w:left w:val="nil"/>
              <w:bottom w:val="single" w:color="auto" w:sz="8" w:space="0"/>
              <w:right w:val="nil"/>
            </w:tcBorders>
            <w:shd w:val="clear" w:color="auto" w:fill="auto"/>
            <w:noWrap/>
            <w:vAlign w:val="center"/>
          </w:tcPr>
          <w:p>
            <w:pPr>
              <w:keepNext w:val="0"/>
              <w:keepLines w:val="0"/>
              <w:pageBreakBefore w:val="0"/>
              <w:widowControl/>
              <w:kinsoku/>
              <w:wordWrap/>
              <w:overflowPunct/>
              <w:topLinePunct w:val="0"/>
              <w:bidi w:val="0"/>
              <w:spacing w:line="560" w:lineRule="exact"/>
              <w:ind w:firstLine="2240" w:firstLineChars="700"/>
              <w:jc w:val="both"/>
              <w:rPr>
                <w:rFonts w:hint="eastAsia" w:ascii="仿宋_GB2312" w:hAnsi="仿宋_GB2312" w:eastAsia="仿宋_GB2312" w:cs="仿宋_GB2312"/>
                <w:color w:val="auto"/>
                <w:kern w:val="0"/>
                <w:sz w:val="30"/>
                <w:szCs w:val="30"/>
                <w:highlight w:val="none"/>
              </w:rPr>
            </w:pPr>
            <w:r>
              <w:rPr>
                <w:rFonts w:hint="eastAsia" w:ascii="仿宋_GB2312" w:hAnsi="仿宋" w:eastAsia="仿宋_GB2312" w:cs="宋体"/>
                <w:color w:val="auto"/>
                <w:sz w:val="32"/>
                <w:szCs w:val="32"/>
                <w:highlight w:val="none"/>
                <w:lang w:val="en-US" w:eastAsia="zh-CN" w:bidi="ar"/>
              </w:rPr>
              <w:t xml:space="preserve">  项目绩效指标得分情况</w:t>
            </w:r>
          </w:p>
        </w:tc>
      </w:tr>
      <w:tr>
        <w:tblPrEx>
          <w:tblCellMar>
            <w:top w:w="0" w:type="dxa"/>
            <w:left w:w="108" w:type="dxa"/>
            <w:bottom w:w="0" w:type="dxa"/>
            <w:right w:w="108" w:type="dxa"/>
          </w:tblCellMar>
        </w:tblPrEx>
        <w:trPr>
          <w:trHeight w:val="510" w:hRule="exact"/>
          <w:tblHeader/>
        </w:trPr>
        <w:tc>
          <w:tcPr>
            <w:tcW w:w="2004" w:type="dxa"/>
            <w:tcBorders>
              <w:top w:val="nil"/>
              <w:left w:val="single" w:color="auto" w:sz="8" w:space="0"/>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lang w:eastAsia="zh-CN"/>
              </w:rPr>
              <w:t>二</w:t>
            </w:r>
            <w:r>
              <w:rPr>
                <w:rFonts w:hint="eastAsia" w:ascii="仿宋_GB2312" w:hAnsi="仿宋_GB2312" w:eastAsia="仿宋_GB2312" w:cs="仿宋_GB2312"/>
                <w:b/>
                <w:bCs/>
                <w:color w:val="auto"/>
                <w:kern w:val="0"/>
                <w:sz w:val="30"/>
                <w:szCs w:val="30"/>
                <w:highlight w:val="none"/>
              </w:rPr>
              <w:t>级指标</w:t>
            </w:r>
          </w:p>
        </w:tc>
        <w:tc>
          <w:tcPr>
            <w:tcW w:w="2586" w:type="dxa"/>
            <w:tcBorders>
              <w:top w:val="nil"/>
              <w:left w:val="nil"/>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三级明细指标</w:t>
            </w:r>
          </w:p>
        </w:tc>
        <w:tc>
          <w:tcPr>
            <w:tcW w:w="930" w:type="dxa"/>
            <w:tcBorders>
              <w:top w:val="nil"/>
              <w:left w:val="nil"/>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权重</w:t>
            </w:r>
          </w:p>
        </w:tc>
        <w:tc>
          <w:tcPr>
            <w:tcW w:w="1170" w:type="dxa"/>
            <w:tcBorders>
              <w:top w:val="nil"/>
              <w:left w:val="nil"/>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得分率</w:t>
            </w:r>
          </w:p>
        </w:tc>
        <w:tc>
          <w:tcPr>
            <w:tcW w:w="2346" w:type="dxa"/>
            <w:tcBorders>
              <w:top w:val="nil"/>
              <w:left w:val="nil"/>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实际得分</w:t>
            </w:r>
          </w:p>
        </w:tc>
      </w:tr>
      <w:tr>
        <w:tblPrEx>
          <w:tblCellMar>
            <w:top w:w="0" w:type="dxa"/>
            <w:left w:w="108" w:type="dxa"/>
            <w:bottom w:w="0" w:type="dxa"/>
            <w:right w:w="108" w:type="dxa"/>
          </w:tblCellMar>
        </w:tblPrEx>
        <w:trPr>
          <w:trHeight w:val="1180" w:hRule="exact"/>
        </w:trPr>
        <w:tc>
          <w:tcPr>
            <w:tcW w:w="20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lang w:eastAsia="zh-CN"/>
              </w:rPr>
              <w:t>经济效益指标</w:t>
            </w:r>
          </w:p>
        </w:tc>
        <w:tc>
          <w:tcPr>
            <w:tcW w:w="25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i w:val="0"/>
                <w:iCs w:val="0"/>
                <w:color w:val="auto"/>
                <w:kern w:val="0"/>
                <w:sz w:val="28"/>
                <w:szCs w:val="28"/>
                <w:u w:val="none"/>
                <w:lang w:val="en-US" w:eastAsia="zh-CN" w:bidi="ar"/>
              </w:rPr>
              <w:t>设备利用率</w:t>
            </w:r>
          </w:p>
        </w:tc>
        <w:tc>
          <w:tcPr>
            <w:tcW w:w="9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10</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lang w:eastAsia="zh-CN"/>
              </w:rPr>
              <w:t>%</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10</w:t>
            </w:r>
          </w:p>
        </w:tc>
      </w:tr>
      <w:tr>
        <w:tblPrEx>
          <w:tblCellMar>
            <w:top w:w="0" w:type="dxa"/>
            <w:left w:w="108" w:type="dxa"/>
            <w:bottom w:w="0" w:type="dxa"/>
            <w:right w:w="108" w:type="dxa"/>
          </w:tblCellMar>
        </w:tblPrEx>
        <w:trPr>
          <w:trHeight w:val="1075" w:hRule="exact"/>
        </w:trPr>
        <w:tc>
          <w:tcPr>
            <w:tcW w:w="20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eastAsia="zh-CN"/>
              </w:rPr>
              <w:t>社会效益指标</w:t>
            </w:r>
          </w:p>
        </w:tc>
        <w:tc>
          <w:tcPr>
            <w:tcW w:w="25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i w:val="0"/>
                <w:iCs w:val="0"/>
                <w:color w:val="auto"/>
                <w:kern w:val="0"/>
                <w:sz w:val="28"/>
                <w:szCs w:val="28"/>
                <w:u w:val="none"/>
                <w:lang w:val="en-US" w:eastAsia="zh-CN" w:bidi="ar"/>
              </w:rPr>
              <w:t>保障全区安全监管平台稳定运行</w:t>
            </w:r>
          </w:p>
        </w:tc>
        <w:tc>
          <w:tcPr>
            <w:tcW w:w="9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15</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100%</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15</w:t>
            </w:r>
          </w:p>
        </w:tc>
      </w:tr>
      <w:tr>
        <w:tblPrEx>
          <w:tblCellMar>
            <w:top w:w="0" w:type="dxa"/>
            <w:left w:w="108" w:type="dxa"/>
            <w:bottom w:w="0" w:type="dxa"/>
            <w:right w:w="108" w:type="dxa"/>
          </w:tblCellMar>
        </w:tblPrEx>
        <w:trPr>
          <w:trHeight w:val="1075" w:hRule="exact"/>
        </w:trPr>
        <w:tc>
          <w:tcPr>
            <w:tcW w:w="20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满意度指标</w:t>
            </w:r>
          </w:p>
        </w:tc>
        <w:tc>
          <w:tcPr>
            <w:tcW w:w="25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60" w:lineRule="exact"/>
              <w:jc w:val="left"/>
              <w:textAlignment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i w:val="0"/>
                <w:iCs w:val="0"/>
                <w:color w:val="auto"/>
                <w:kern w:val="0"/>
                <w:sz w:val="28"/>
                <w:szCs w:val="28"/>
                <w:u w:val="none"/>
                <w:lang w:val="en-US" w:eastAsia="zh-CN" w:bidi="ar"/>
              </w:rPr>
              <w:t>邮政快递业消费者申诉处理满意度</w:t>
            </w:r>
          </w:p>
        </w:tc>
        <w:tc>
          <w:tcPr>
            <w:tcW w:w="9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15</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100%</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15</w:t>
            </w:r>
          </w:p>
        </w:tc>
      </w:tr>
      <w:tr>
        <w:tblPrEx>
          <w:tblCellMar>
            <w:top w:w="0" w:type="dxa"/>
            <w:left w:w="108" w:type="dxa"/>
            <w:bottom w:w="0" w:type="dxa"/>
            <w:right w:w="108" w:type="dxa"/>
          </w:tblCellMar>
        </w:tblPrEx>
        <w:trPr>
          <w:trHeight w:val="510" w:hRule="exact"/>
        </w:trPr>
        <w:tc>
          <w:tcPr>
            <w:tcW w:w="20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  计</w:t>
            </w:r>
          </w:p>
        </w:tc>
        <w:tc>
          <w:tcPr>
            <w:tcW w:w="25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eastAsia="zh-CN"/>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40</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100%</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40</w:t>
            </w:r>
          </w:p>
        </w:tc>
      </w:tr>
    </w:tbl>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对于“经济效益”，</w:t>
      </w:r>
      <w:r>
        <w:rPr>
          <w:rFonts w:hint="eastAsia" w:ascii="仿宋" w:hAnsi="仿宋" w:eastAsia="仿宋" w:cs="仿宋"/>
          <w:color w:val="auto"/>
          <w:sz w:val="32"/>
          <w:szCs w:val="32"/>
          <w:highlight w:val="none"/>
          <w:lang w:val="en-US" w:eastAsia="zh-CN"/>
        </w:rPr>
        <w:t>2022年度采购的办公设备及配套软件全部处于在用状态，利用率100%。</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对于“</w:t>
      </w:r>
      <w:r>
        <w:rPr>
          <w:rFonts w:hint="eastAsia" w:ascii="仿宋" w:hAnsi="仿宋" w:eastAsia="仿宋" w:cs="仿宋"/>
          <w:color w:val="auto"/>
          <w:sz w:val="32"/>
          <w:szCs w:val="32"/>
          <w:highlight w:val="none"/>
          <w:lang w:eastAsia="zh-CN"/>
        </w:rPr>
        <w:t>社会</w:t>
      </w:r>
      <w:r>
        <w:rPr>
          <w:rFonts w:hint="eastAsia" w:ascii="仿宋" w:hAnsi="仿宋" w:eastAsia="仿宋" w:cs="仿宋"/>
          <w:color w:val="auto"/>
          <w:sz w:val="32"/>
          <w:szCs w:val="32"/>
          <w:highlight w:val="none"/>
        </w:rPr>
        <w:t>效益”，</w:t>
      </w:r>
      <w:r>
        <w:rPr>
          <w:rFonts w:hint="eastAsia" w:ascii="仿宋" w:hAnsi="仿宋" w:eastAsia="仿宋" w:cs="仿宋"/>
          <w:color w:val="auto"/>
          <w:sz w:val="32"/>
          <w:szCs w:val="32"/>
          <w:highlight w:val="none"/>
          <w:lang w:val="en-US" w:eastAsia="zh-CN"/>
        </w:rPr>
        <w:t>2022年各地州市监控平台出现问题后及时妥善处置，有效保障其稳定运行和作用发挥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根据指标评分标准，</w:t>
      </w:r>
      <w:r>
        <w:rPr>
          <w:rFonts w:hint="eastAsia" w:ascii="仿宋" w:hAnsi="仿宋" w:eastAsia="仿宋" w:cs="仿宋"/>
          <w:color w:val="auto"/>
          <w:sz w:val="32"/>
          <w:szCs w:val="32"/>
          <w:highlight w:val="none"/>
          <w:lang w:eastAsia="zh-CN"/>
        </w:rPr>
        <w:t>社会效益指标完成率100%，</w:t>
      </w:r>
      <w:r>
        <w:rPr>
          <w:rFonts w:hint="eastAsia" w:ascii="仿宋" w:hAnsi="仿宋" w:eastAsia="仿宋" w:cs="仿宋"/>
          <w:color w:val="auto"/>
          <w:sz w:val="32"/>
          <w:szCs w:val="32"/>
          <w:highlight w:val="none"/>
          <w:lang w:val="en-US" w:eastAsia="zh-CN"/>
        </w:rPr>
        <w:t>该指标不扣分</w:t>
      </w:r>
      <w:r>
        <w:rPr>
          <w:rFonts w:hint="eastAsia" w:ascii="仿宋" w:hAnsi="仿宋" w:eastAsia="仿宋" w:cs="仿宋"/>
          <w:color w:val="auto"/>
          <w:sz w:val="32"/>
          <w:szCs w:val="32"/>
          <w:highlight w:val="none"/>
        </w:rPr>
        <w:t>。</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对于“服务对象满意度”，截至2022年12月底，</w:t>
      </w:r>
      <w:r>
        <w:rPr>
          <w:rFonts w:hint="eastAsia" w:ascii="仿宋" w:hAnsi="仿宋" w:eastAsia="仿宋" w:cs="仿宋"/>
          <w:color w:val="auto"/>
          <w:sz w:val="32"/>
          <w:szCs w:val="32"/>
          <w:highlight w:val="none"/>
          <w:lang w:eastAsia="zh-CN"/>
        </w:rPr>
        <w:t>我中心</w:t>
      </w:r>
      <w:r>
        <w:rPr>
          <w:rFonts w:hint="eastAsia" w:ascii="仿宋" w:hAnsi="仿宋" w:eastAsia="仿宋" w:cs="仿宋"/>
          <w:color w:val="auto"/>
          <w:sz w:val="32"/>
          <w:szCs w:val="32"/>
          <w:highlight w:val="none"/>
        </w:rPr>
        <w:t>通过“12305” 邮政快递业消费者申诉平台共受理用户反映问题3835件、办理12345政务平台转办案件10317件、解答各类咨询问题7774件；为消费者挽回经济损失约150万元，用户对邮政管理部门申诉处理工作满意率为93.80%。</w:t>
      </w:r>
    </w:p>
    <w:p>
      <w:pPr>
        <w:keepNext w:val="0"/>
        <w:keepLines w:val="0"/>
        <w:pageBreakBefore w:val="0"/>
        <w:numPr>
          <w:ilvl w:val="0"/>
          <w:numId w:val="0"/>
        </w:numPr>
        <w:kinsoku/>
        <w:wordWrap/>
        <w:overflowPunct/>
        <w:topLinePunct w:val="0"/>
        <w:bidi w:val="0"/>
        <w:spacing w:line="560" w:lineRule="exact"/>
        <w:ind w:firstLine="640" w:firstLineChars="200"/>
        <w:contextualSpacing/>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eastAsia="zh-CN"/>
        </w:rPr>
        <w:t>五、</w:t>
      </w:r>
      <w:r>
        <w:rPr>
          <w:rFonts w:hint="eastAsia" w:ascii="黑体" w:hAnsi="黑体" w:eastAsia="黑体" w:cs="黑体"/>
          <w:color w:val="auto"/>
          <w:sz w:val="32"/>
          <w:szCs w:val="32"/>
          <w:highlight w:val="none"/>
        </w:rPr>
        <w:t>主要经验及做法</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我中心严格遵循把财政资金使用好、管理好的宗旨，强化项目</w:t>
      </w:r>
      <w:r>
        <w:rPr>
          <w:rFonts w:hint="eastAsia" w:ascii="仿宋" w:hAnsi="仿宋" w:eastAsia="仿宋" w:cs="仿宋"/>
          <w:color w:val="auto"/>
          <w:sz w:val="32"/>
          <w:szCs w:val="32"/>
          <w:highlight w:val="none"/>
          <w:lang w:eastAsia="zh-CN"/>
        </w:rPr>
        <w:t>支出</w:t>
      </w:r>
      <w:r>
        <w:rPr>
          <w:rFonts w:hint="eastAsia" w:ascii="仿宋" w:hAnsi="仿宋" w:eastAsia="仿宋" w:cs="仿宋"/>
          <w:color w:val="auto"/>
          <w:sz w:val="32"/>
          <w:szCs w:val="32"/>
          <w:highlight w:val="none"/>
        </w:rPr>
        <w:t>监督，做到专款专用；严格资金审批程序，把紧预算资金支出关口，确保财政资金使用安全、规范、有效。同时，加强预算资金绩效监控，做好项目支出绩效目标及各项绩效指标的细化、量化工作,有效运用绩效评价结果，进一步提升预算执行的准确性。</w:t>
      </w:r>
    </w:p>
    <w:p>
      <w:pPr>
        <w:pStyle w:val="2"/>
        <w:keepNext w:val="0"/>
        <w:keepLines w:val="0"/>
        <w:pageBreakBefore w:val="0"/>
        <w:kinsoku/>
        <w:wordWrap/>
        <w:overflowPunct/>
        <w:topLinePunct w:val="0"/>
        <w:bidi w:val="0"/>
        <w:spacing w:line="560" w:lineRule="exact"/>
        <w:rPr>
          <w:rFonts w:hint="eastAsia" w:ascii="黑体" w:hAnsi="黑体" w:eastAsia="黑体" w:cs="黑体"/>
          <w:color w:val="auto"/>
          <w:sz w:val="32"/>
          <w:szCs w:val="32"/>
          <w:lang w:eastAsia="zh-CN"/>
        </w:rPr>
      </w:pPr>
      <w:r>
        <w:rPr>
          <w:rFonts w:hint="eastAsia" w:ascii="黑体" w:hAnsi="黑体" w:eastAsia="黑体" w:cs="黑体"/>
          <w:color w:val="auto"/>
          <w:sz w:val="32"/>
          <w:szCs w:val="32"/>
          <w:highlight w:val="none"/>
          <w:lang w:eastAsia="zh-CN"/>
        </w:rPr>
        <w:t>六、</w:t>
      </w:r>
      <w:r>
        <w:rPr>
          <w:rFonts w:hint="eastAsia" w:ascii="黑体" w:hAnsi="黑体" w:eastAsia="黑体" w:cs="黑体"/>
          <w:color w:val="auto"/>
          <w:sz w:val="32"/>
          <w:szCs w:val="32"/>
          <w:highlight w:val="none"/>
        </w:rPr>
        <w:t>存在的问题及原因分析</w:t>
      </w:r>
    </w:p>
    <w:p>
      <w:pPr>
        <w:keepNext w:val="0"/>
        <w:keepLines w:val="0"/>
        <w:pageBreakBefore w:val="0"/>
        <w:kinsoku/>
        <w:wordWrap/>
        <w:overflowPunct/>
        <w:topLinePunct w:val="0"/>
        <w:bidi w:val="0"/>
        <w:spacing w:line="560" w:lineRule="exact"/>
        <w:ind w:firstLine="640" w:firstLineChars="200"/>
        <w:jc w:val="both"/>
        <w:rPr>
          <w:rFonts w:hint="eastAsia" w:ascii="仿宋" w:hAnsi="仿宋" w:eastAsia="仿宋"/>
          <w:color w:val="auto"/>
          <w:sz w:val="32"/>
          <w:szCs w:val="32"/>
          <w:highlight w:val="none"/>
        </w:rPr>
      </w:pPr>
      <w:r>
        <w:rPr>
          <w:rFonts w:hint="eastAsia" w:ascii="仿宋" w:hAnsi="仿宋" w:eastAsia="仿宋"/>
          <w:color w:val="auto"/>
          <w:sz w:val="32"/>
          <w:szCs w:val="32"/>
          <w:highlight w:val="none"/>
        </w:rPr>
        <w:t>项目设置的培训相关指标中，1个数量指标、1个成本指标完成偏差值较大，产生该问题的主要原因是在设定目标值时，对预期工作完成情况估计不够准确。</w:t>
      </w:r>
    </w:p>
    <w:p>
      <w:pPr>
        <w:keepNext w:val="0"/>
        <w:keepLines w:val="0"/>
        <w:pageBreakBefore w:val="0"/>
        <w:numPr>
          <w:ilvl w:val="0"/>
          <w:numId w:val="0"/>
        </w:numPr>
        <w:kinsoku/>
        <w:wordWrap/>
        <w:overflowPunct/>
        <w:topLinePunct w:val="0"/>
        <w:bidi w:val="0"/>
        <w:spacing w:line="560" w:lineRule="exact"/>
        <w:ind w:leftChars="200" w:firstLine="320" w:firstLineChars="100"/>
        <w:contextualSpacing/>
        <w:rPr>
          <w:rFonts w:hint="eastAsia" w:ascii="方正黑体_GBK" w:hAnsi="黑体" w:eastAsia="方正黑体_GBK"/>
          <w:color w:val="auto"/>
          <w:sz w:val="32"/>
          <w:szCs w:val="32"/>
          <w:highlight w:val="none"/>
          <w:lang w:eastAsia="zh-CN"/>
        </w:rPr>
      </w:pPr>
      <w:r>
        <w:rPr>
          <w:rFonts w:hint="eastAsia" w:ascii="方正黑体_GBK" w:hAnsi="黑体" w:eastAsia="方正黑体_GBK"/>
          <w:color w:val="auto"/>
          <w:sz w:val="32"/>
          <w:szCs w:val="32"/>
          <w:highlight w:val="none"/>
          <w:lang w:eastAsia="zh-CN"/>
        </w:rPr>
        <w:t>七、针对问题提出的建议</w:t>
      </w:r>
    </w:p>
    <w:p>
      <w:pPr>
        <w:pStyle w:val="9"/>
        <w:keepNext w:val="0"/>
        <w:keepLines w:val="0"/>
        <w:pageBreakBefore w:val="0"/>
        <w:kinsoku/>
        <w:wordWrap/>
        <w:overflowPunct/>
        <w:topLinePunct w:val="0"/>
        <w:bidi w:val="0"/>
        <w:spacing w:line="560" w:lineRule="exact"/>
        <w:ind w:firstLine="640" w:firstLineChars="200"/>
        <w:jc w:val="both"/>
        <w:rPr>
          <w:rFonts w:hint="eastAsia" w:ascii="仿宋" w:hAnsi="仿宋" w:eastAsia="仿宋" w:cs="仿宋"/>
          <w:color w:val="auto"/>
          <w:sz w:val="32"/>
          <w:szCs w:val="32"/>
          <w:highlight w:val="none"/>
          <w:lang w:val="en-US" w:eastAsia="zh-CN" w:bidi="ar"/>
        </w:rPr>
      </w:pPr>
      <w:r>
        <w:rPr>
          <w:rFonts w:hint="eastAsia" w:ascii="仿宋" w:hAnsi="仿宋" w:eastAsia="仿宋" w:cs="仿宋"/>
          <w:color w:val="auto"/>
          <w:sz w:val="32"/>
          <w:szCs w:val="32"/>
          <w:highlight w:val="none"/>
          <w:lang w:val="en-US" w:eastAsia="zh-CN" w:bidi="ar"/>
        </w:rPr>
        <w:t>一是加强项目产出评估，在设立项目绩效目标时，应充分开展调查研究，并在调查研究的基础上，合理设定预期目标，</w:t>
      </w:r>
      <w:r>
        <w:rPr>
          <w:rFonts w:hint="eastAsia" w:ascii="仿宋" w:hAnsi="仿宋" w:eastAsia="仿宋" w:cs="仿宋"/>
          <w:color w:val="auto"/>
          <w:sz w:val="32"/>
          <w:szCs w:val="32"/>
          <w:lang w:eastAsia="zh-CN"/>
        </w:rPr>
        <w:t>做好绩效指标的细化、量化工作,提高财政资金的使用效益</w:t>
      </w:r>
      <w:r>
        <w:rPr>
          <w:rFonts w:hint="eastAsia" w:ascii="仿宋" w:hAnsi="仿宋" w:eastAsia="仿宋" w:cs="仿宋"/>
          <w:color w:val="auto"/>
          <w:sz w:val="32"/>
          <w:szCs w:val="32"/>
          <w:highlight w:val="none"/>
          <w:lang w:val="en-US" w:eastAsia="zh-CN" w:bidi="ar"/>
        </w:rPr>
        <w:t>。二是加强项目执行过程中的产出管理，加强成本控制，降低绩效目标偏差，</w:t>
      </w:r>
      <w:r>
        <w:rPr>
          <w:rFonts w:hint="eastAsia" w:ascii="仿宋" w:hAnsi="仿宋" w:eastAsia="仿宋" w:cs="仿宋"/>
          <w:color w:val="auto"/>
          <w:sz w:val="32"/>
          <w:szCs w:val="32"/>
          <w:lang w:eastAsia="zh-CN"/>
        </w:rPr>
        <w:t>有效运用绩效评价结果，不断</w:t>
      </w:r>
      <w:r>
        <w:rPr>
          <w:rFonts w:ascii="仿宋" w:hAnsi="仿宋" w:eastAsia="仿宋" w:cs="仿宋"/>
          <w:color w:val="auto"/>
          <w:sz w:val="32"/>
          <w:szCs w:val="32"/>
        </w:rPr>
        <w:t>提升</w:t>
      </w:r>
      <w:r>
        <w:rPr>
          <w:rFonts w:hint="eastAsia" w:ascii="仿宋" w:hAnsi="仿宋" w:eastAsia="仿宋" w:cs="仿宋"/>
          <w:color w:val="auto"/>
          <w:sz w:val="32"/>
          <w:szCs w:val="32"/>
          <w:lang w:eastAsia="zh-CN"/>
        </w:rPr>
        <w:t>绩效管理</w:t>
      </w:r>
      <w:r>
        <w:rPr>
          <w:rFonts w:ascii="仿宋" w:hAnsi="仿宋" w:eastAsia="仿宋" w:cs="仿宋"/>
          <w:color w:val="auto"/>
          <w:sz w:val="32"/>
          <w:szCs w:val="32"/>
        </w:rPr>
        <w:t>水平</w:t>
      </w:r>
      <w:r>
        <w:rPr>
          <w:rFonts w:hint="eastAsia" w:ascii="仿宋" w:hAnsi="仿宋" w:eastAsia="仿宋" w:cs="仿宋"/>
          <w:color w:val="auto"/>
          <w:sz w:val="32"/>
          <w:szCs w:val="32"/>
          <w:highlight w:val="none"/>
          <w:lang w:val="en-US" w:eastAsia="zh-CN" w:bidi="ar"/>
        </w:rPr>
        <w:t>。</w:t>
      </w:r>
    </w:p>
    <w:p>
      <w:pPr>
        <w:keepNext w:val="0"/>
        <w:keepLines w:val="0"/>
        <w:pageBreakBefore w:val="0"/>
        <w:numPr>
          <w:ilvl w:val="0"/>
          <w:numId w:val="0"/>
        </w:numPr>
        <w:kinsoku/>
        <w:wordWrap/>
        <w:overflowPunct/>
        <w:topLinePunct w:val="0"/>
        <w:bidi w:val="0"/>
        <w:spacing w:line="560" w:lineRule="exact"/>
        <w:ind w:firstLine="640" w:firstLineChars="200"/>
        <w:contextualSpacing/>
        <w:rPr>
          <w:rFonts w:hint="eastAsia" w:ascii="方正黑体_GBK" w:hAnsi="黑体" w:eastAsia="方正黑体_GBK"/>
          <w:color w:val="auto"/>
          <w:sz w:val="32"/>
          <w:szCs w:val="32"/>
          <w:highlight w:val="none"/>
        </w:rPr>
      </w:pPr>
      <w:r>
        <w:rPr>
          <w:rFonts w:hint="eastAsia" w:ascii="方正黑体_GBK" w:hAnsi="黑体" w:eastAsia="方正黑体_GBK"/>
          <w:color w:val="auto"/>
          <w:sz w:val="32"/>
          <w:szCs w:val="32"/>
          <w:highlight w:val="none"/>
          <w:lang w:eastAsia="zh-CN"/>
        </w:rPr>
        <w:t>八、绩效评价结果应用</w:t>
      </w:r>
      <w:r>
        <w:rPr>
          <w:rFonts w:hint="eastAsia" w:ascii="方正黑体_GBK" w:hAnsi="黑体" w:eastAsia="方正黑体_GBK"/>
          <w:color w:val="auto"/>
          <w:sz w:val="32"/>
          <w:szCs w:val="32"/>
          <w:highlight w:val="none"/>
        </w:rPr>
        <w:t>建议</w:t>
      </w:r>
    </w:p>
    <w:p>
      <w:pPr>
        <w:keepNext w:val="0"/>
        <w:keepLines w:val="0"/>
        <w:pageBreakBefore w:val="0"/>
        <w:kinsoku/>
        <w:wordWrap/>
        <w:overflowPunct/>
        <w:topLinePunct w:val="0"/>
        <w:bidi w:val="0"/>
        <w:spacing w:line="560" w:lineRule="exac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无。</w:t>
      </w:r>
    </w:p>
    <w:p>
      <w:pPr>
        <w:keepNext w:val="0"/>
        <w:keepLines w:val="0"/>
        <w:pageBreakBefore w:val="0"/>
        <w:kinsoku/>
        <w:wordWrap/>
        <w:overflowPunct/>
        <w:topLinePunct w:val="0"/>
        <w:bidi w:val="0"/>
        <w:spacing w:line="560" w:lineRule="exact"/>
        <w:ind w:firstLine="640" w:firstLineChars="200"/>
        <w:contextualSpacing/>
        <w:rPr>
          <w:rFonts w:ascii="方正黑体_GBK" w:hAnsi="黑体" w:eastAsia="方正黑体_GBK"/>
          <w:color w:val="auto"/>
          <w:sz w:val="32"/>
          <w:szCs w:val="32"/>
          <w:highlight w:val="none"/>
        </w:rPr>
      </w:pPr>
      <w:r>
        <w:rPr>
          <w:rFonts w:hint="eastAsia" w:ascii="方正黑体_GBK" w:hAnsi="黑体" w:eastAsia="方正黑体_GBK"/>
          <w:color w:val="auto"/>
          <w:sz w:val="32"/>
          <w:szCs w:val="32"/>
          <w:highlight w:val="none"/>
          <w:lang w:eastAsia="zh-CN"/>
        </w:rPr>
        <w:t>九</w:t>
      </w:r>
      <w:r>
        <w:rPr>
          <w:rFonts w:hint="eastAsia" w:ascii="方正黑体_GBK" w:hAnsi="黑体" w:eastAsia="方正黑体_GBK"/>
          <w:color w:val="auto"/>
          <w:sz w:val="32"/>
          <w:szCs w:val="32"/>
          <w:highlight w:val="none"/>
        </w:rPr>
        <w:t>、其他需要说明的问题</w:t>
      </w:r>
    </w:p>
    <w:p>
      <w:pPr>
        <w:keepNext w:val="0"/>
        <w:keepLines w:val="0"/>
        <w:pageBreakBefore w:val="0"/>
        <w:kinsoku/>
        <w:wordWrap/>
        <w:overflowPunct/>
        <w:topLinePunct w:val="0"/>
        <w:bidi w:val="0"/>
        <w:spacing w:line="560" w:lineRule="exac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无。</w:t>
      </w:r>
    </w:p>
    <w:p>
      <w:pPr>
        <w:pStyle w:val="9"/>
        <w:keepNext w:val="0"/>
        <w:keepLines w:val="0"/>
        <w:pageBreakBefore w:val="0"/>
        <w:kinsoku/>
        <w:wordWrap/>
        <w:overflowPunct/>
        <w:topLinePunct w:val="0"/>
        <w:bidi w:val="0"/>
        <w:spacing w:line="560" w:lineRule="exact"/>
        <w:rPr>
          <w:rFonts w:hint="default" w:ascii="仿宋_GB2312" w:hAnsi="仿宋" w:eastAsia="仿宋_GB2312" w:cs="宋体"/>
          <w:color w:val="auto"/>
          <w:sz w:val="32"/>
          <w:szCs w:val="32"/>
          <w:highlight w:val="none"/>
          <w:lang w:val="en-US" w:eastAsia="zh-CN" w:bidi="ar"/>
        </w:rPr>
      </w:pPr>
    </w:p>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579"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right"/>
      <w:rPr>
        <w:rFonts w:hint="eastAsia" w:ascii="方正仿宋_GBK" w:eastAsia="方正仿宋_GBK"/>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p>
    <w:pPr>
      <w:pStyle w:val="7"/>
      <w:jc w:val="right"/>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hint="eastAsia" w:ascii="方正仿宋_GBK" w:eastAsia="方正仿宋_GBK"/>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WH/vPLAQAAnAMAAA4AAAAAAAAAAQAgAAAAHgEAAGRycy9lMm9E&#10;b2MueG1sUEsFBgAAAAAGAAYAWQEAAFsFA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p>
  <w:p>
    <w:pPr>
      <w:pStyle w:val="7"/>
      <w:ind w:right="360"/>
      <w:rPr>
        <w:rFonts w:ascii="宋体" w:hAnsi="宋体" w:eastAsia="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65705"/>
    <w:multiLevelType w:val="singleLevel"/>
    <w:tmpl w:val="9BB65705"/>
    <w:lvl w:ilvl="0" w:tentative="0">
      <w:start w:val="3"/>
      <w:numFmt w:val="chineseCounting"/>
      <w:suff w:val="nothing"/>
      <w:lvlText w:val="%1、"/>
      <w:lvlJc w:val="left"/>
      <w:rPr>
        <w:rFonts w:hint="eastAsia"/>
      </w:rPr>
    </w:lvl>
  </w:abstractNum>
  <w:abstractNum w:abstractNumId="1">
    <w:nsid w:val="1DA658A8"/>
    <w:multiLevelType w:val="singleLevel"/>
    <w:tmpl w:val="1DA658A8"/>
    <w:lvl w:ilvl="0" w:tentative="0">
      <w:start w:val="5"/>
      <w:numFmt w:val="chineseCounting"/>
      <w:suff w:val="nothing"/>
      <w:lvlText w:val="（%1）"/>
      <w:lvlJc w:val="left"/>
      <w:rPr>
        <w:rFonts w:hint="eastAsia"/>
      </w:rPr>
    </w:lvl>
  </w:abstractNum>
  <w:abstractNum w:abstractNumId="2">
    <w:nsid w:val="66CF663E"/>
    <w:multiLevelType w:val="singleLevel"/>
    <w:tmpl w:val="66CF663E"/>
    <w:lvl w:ilvl="0" w:tentative="0">
      <w:start w:val="2"/>
      <w:numFmt w:val="chineseCounting"/>
      <w:suff w:val="nothing"/>
      <w:lvlText w:val="（%1）"/>
      <w:lvlJc w:val="left"/>
      <w:rPr>
        <w:rFonts w:hint="eastAsia"/>
      </w:rPr>
    </w:lvl>
  </w:abstractNum>
  <w:abstractNum w:abstractNumId="3">
    <w:nsid w:val="699D7D9A"/>
    <w:multiLevelType w:val="singleLevel"/>
    <w:tmpl w:val="699D7D9A"/>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mirrorMargins w:val="1"/>
  <w:bordersDoNotSurroundHeader w:val="0"/>
  <w:bordersDoNotSurroundFooter w:val="0"/>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MDM5OWY5ZGU3NmFlMTU5MTk3NzU4NmViNjUwMTIifQ=="/>
  </w:docVars>
  <w:rsids>
    <w:rsidRoot w:val="006D0058"/>
    <w:rsid w:val="000F4112"/>
    <w:rsid w:val="002A77DA"/>
    <w:rsid w:val="003F29C1"/>
    <w:rsid w:val="00437A3B"/>
    <w:rsid w:val="006C323A"/>
    <w:rsid w:val="006D0058"/>
    <w:rsid w:val="006D391A"/>
    <w:rsid w:val="00714386"/>
    <w:rsid w:val="00725034"/>
    <w:rsid w:val="008C1578"/>
    <w:rsid w:val="008F6E3C"/>
    <w:rsid w:val="00913A39"/>
    <w:rsid w:val="00B27295"/>
    <w:rsid w:val="00E77764"/>
    <w:rsid w:val="015657C7"/>
    <w:rsid w:val="01910D9E"/>
    <w:rsid w:val="021D3A31"/>
    <w:rsid w:val="03AE3652"/>
    <w:rsid w:val="05024595"/>
    <w:rsid w:val="069F4577"/>
    <w:rsid w:val="071126B8"/>
    <w:rsid w:val="07595110"/>
    <w:rsid w:val="07D923A5"/>
    <w:rsid w:val="09736C84"/>
    <w:rsid w:val="09736F44"/>
    <w:rsid w:val="0A9D3720"/>
    <w:rsid w:val="0AD44745"/>
    <w:rsid w:val="0FDA5015"/>
    <w:rsid w:val="1064181C"/>
    <w:rsid w:val="11022138"/>
    <w:rsid w:val="114E3E92"/>
    <w:rsid w:val="17BB1DA8"/>
    <w:rsid w:val="1AFE4715"/>
    <w:rsid w:val="1CC04374"/>
    <w:rsid w:val="1E0D20D8"/>
    <w:rsid w:val="1FF82202"/>
    <w:rsid w:val="20673164"/>
    <w:rsid w:val="21673E5B"/>
    <w:rsid w:val="216A7882"/>
    <w:rsid w:val="226341DD"/>
    <w:rsid w:val="25006A47"/>
    <w:rsid w:val="2583312E"/>
    <w:rsid w:val="260C3CAA"/>
    <w:rsid w:val="26885A2A"/>
    <w:rsid w:val="27B7332E"/>
    <w:rsid w:val="2ACA4492"/>
    <w:rsid w:val="2AEA3A04"/>
    <w:rsid w:val="2BAA27FC"/>
    <w:rsid w:val="2C3420BC"/>
    <w:rsid w:val="2CCC72CB"/>
    <w:rsid w:val="30CA0176"/>
    <w:rsid w:val="30FD1D00"/>
    <w:rsid w:val="313E67A0"/>
    <w:rsid w:val="3205546E"/>
    <w:rsid w:val="381D331C"/>
    <w:rsid w:val="388F441D"/>
    <w:rsid w:val="38C348F3"/>
    <w:rsid w:val="3A101932"/>
    <w:rsid w:val="3EA21AA3"/>
    <w:rsid w:val="3F1A189A"/>
    <w:rsid w:val="3F767CFF"/>
    <w:rsid w:val="40BB059A"/>
    <w:rsid w:val="413E1964"/>
    <w:rsid w:val="43483B7A"/>
    <w:rsid w:val="43494853"/>
    <w:rsid w:val="467142D9"/>
    <w:rsid w:val="46724963"/>
    <w:rsid w:val="46C71E47"/>
    <w:rsid w:val="48A54B02"/>
    <w:rsid w:val="4981448B"/>
    <w:rsid w:val="49C42542"/>
    <w:rsid w:val="4CC35C25"/>
    <w:rsid w:val="4D7562EA"/>
    <w:rsid w:val="4E3E13F4"/>
    <w:rsid w:val="4E63665D"/>
    <w:rsid w:val="4E7C4046"/>
    <w:rsid w:val="4F0D473E"/>
    <w:rsid w:val="50243DE1"/>
    <w:rsid w:val="52E37364"/>
    <w:rsid w:val="54633DB8"/>
    <w:rsid w:val="56843B03"/>
    <w:rsid w:val="5747708B"/>
    <w:rsid w:val="57A27CEB"/>
    <w:rsid w:val="58FE1D97"/>
    <w:rsid w:val="59782D14"/>
    <w:rsid w:val="5979414B"/>
    <w:rsid w:val="5AE468D4"/>
    <w:rsid w:val="5B1A141A"/>
    <w:rsid w:val="5B2277B9"/>
    <w:rsid w:val="5B4C5CE6"/>
    <w:rsid w:val="5B5C32B0"/>
    <w:rsid w:val="5C6678D9"/>
    <w:rsid w:val="5C8B5A25"/>
    <w:rsid w:val="5D477004"/>
    <w:rsid w:val="5EC00D4B"/>
    <w:rsid w:val="6262753F"/>
    <w:rsid w:val="63BB2FBB"/>
    <w:rsid w:val="646C6612"/>
    <w:rsid w:val="64A165F6"/>
    <w:rsid w:val="6522547E"/>
    <w:rsid w:val="67B9067E"/>
    <w:rsid w:val="6877183D"/>
    <w:rsid w:val="695E3EB7"/>
    <w:rsid w:val="6C421E5A"/>
    <w:rsid w:val="6CF91FB2"/>
    <w:rsid w:val="6F7979C8"/>
    <w:rsid w:val="6F89667A"/>
    <w:rsid w:val="701650DD"/>
    <w:rsid w:val="709E4812"/>
    <w:rsid w:val="70CF18B4"/>
    <w:rsid w:val="71B11EB9"/>
    <w:rsid w:val="71C85334"/>
    <w:rsid w:val="722117DF"/>
    <w:rsid w:val="72DE27CF"/>
    <w:rsid w:val="73B66B56"/>
    <w:rsid w:val="74C71AF8"/>
    <w:rsid w:val="76340EFA"/>
    <w:rsid w:val="77184A85"/>
    <w:rsid w:val="77730C75"/>
    <w:rsid w:val="79C864F9"/>
    <w:rsid w:val="7A3C5AFC"/>
    <w:rsid w:val="7A5F36CE"/>
    <w:rsid w:val="7A74633A"/>
    <w:rsid w:val="7B5536E7"/>
    <w:rsid w:val="7B856BD3"/>
    <w:rsid w:val="7BAD07C5"/>
    <w:rsid w:val="7CA87574"/>
    <w:rsid w:val="7CC84123"/>
    <w:rsid w:val="7D7B4FBD"/>
    <w:rsid w:val="7E335CC9"/>
    <w:rsid w:val="7FD93BDF"/>
    <w:rsid w:val="7FF66F56"/>
    <w:rsid w:val="E0BBC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qFormat/>
    <w:uiPriority w:val="9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0" w:line="500" w:lineRule="exact"/>
      <w:ind w:left="0" w:leftChars="0" w:firstLine="420" w:firstLineChars="200"/>
    </w:pPr>
    <w:rPr>
      <w:rFonts w:ascii="Times New Roman" w:hAnsi="Times New Roman"/>
    </w:rPr>
  </w:style>
  <w:style w:type="paragraph" w:styleId="3">
    <w:name w:val="Body Text Indent"/>
    <w:basedOn w:val="1"/>
    <w:unhideWhenUsed/>
    <w:qFormat/>
    <w:uiPriority w:val="99"/>
    <w:pPr>
      <w:spacing w:after="120"/>
      <w:ind w:left="420" w:leftChars="200"/>
    </w:pPr>
  </w:style>
  <w:style w:type="paragraph" w:styleId="6">
    <w:name w:val="Plain Text"/>
    <w:basedOn w:val="1"/>
    <w:qFormat/>
    <w:uiPriority w:val="0"/>
    <w:rPr>
      <w:rFonts w:ascii="宋体" w:hAnsi="Courier New"/>
    </w:rPr>
  </w:style>
  <w:style w:type="paragraph" w:styleId="7">
    <w:name w:val="footer"/>
    <w:basedOn w:val="1"/>
    <w:link w:val="16"/>
    <w:qFormat/>
    <w:uiPriority w:val="99"/>
    <w:pPr>
      <w:tabs>
        <w:tab w:val="center" w:pos="4153"/>
        <w:tab w:val="right" w:pos="8306"/>
      </w:tabs>
      <w:snapToGrid w:val="0"/>
      <w:jc w:val="left"/>
    </w:pPr>
    <w:rPr>
      <w:rFonts w:eastAsia="黑体" w:asciiTheme="minorHAnsi" w:hAnsiTheme="minorHAnsi" w:cstheme="minorBidi"/>
      <w:sz w:val="18"/>
      <w:szCs w:val="18"/>
    </w:rPr>
  </w:style>
  <w:style w:type="paragraph" w:styleId="8">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footnote text"/>
    <w:basedOn w:val="1"/>
    <w:qFormat/>
    <w:uiPriority w:val="0"/>
    <w:pPr>
      <w:snapToGrid w:val="0"/>
      <w:jc w:val="left"/>
    </w:pPr>
    <w:rPr>
      <w:sz w:val="18"/>
      <w:szCs w:val="18"/>
    </w:rPr>
  </w:style>
  <w:style w:type="paragraph" w:styleId="10">
    <w:name w:val="Normal (Web)"/>
    <w:basedOn w:val="1"/>
    <w:semiHidden/>
    <w:unhideWhenUsed/>
    <w:qFormat/>
    <w:uiPriority w:val="99"/>
    <w:pPr>
      <w:spacing w:before="100" w:beforeAutospacing="1" w:after="100" w:afterAutospacing="1"/>
    </w:p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customStyle="1" w:styleId="15">
    <w:name w:val="页脚 Char"/>
    <w:link w:val="7"/>
    <w:qFormat/>
    <w:uiPriority w:val="99"/>
    <w:rPr>
      <w:rFonts w:eastAsia="黑体"/>
      <w:sz w:val="18"/>
      <w:szCs w:val="18"/>
    </w:rPr>
  </w:style>
  <w:style w:type="character" w:customStyle="1" w:styleId="16">
    <w:name w:val="页脚 Char1"/>
    <w:basedOn w:val="13"/>
    <w:link w:val="7"/>
    <w:semiHidden/>
    <w:qFormat/>
    <w:uiPriority w:val="99"/>
    <w:rPr>
      <w:rFonts w:ascii="Calibri" w:hAnsi="Calibri" w:eastAsia="宋体" w:cs="Times New Roman"/>
      <w:sz w:val="18"/>
      <w:szCs w:val="18"/>
    </w:rPr>
  </w:style>
  <w:style w:type="paragraph" w:styleId="17">
    <w:name w:val="List Paragraph"/>
    <w:basedOn w:val="1"/>
    <w:qFormat/>
    <w:uiPriority w:val="99"/>
    <w:pPr>
      <w:ind w:firstLine="420" w:firstLineChars="200"/>
    </w:pPr>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6172</Words>
  <Characters>6527</Characters>
  <Lines>2</Lines>
  <Paragraphs>1</Paragraphs>
  <TotalTime>8</TotalTime>
  <ScaleCrop>false</ScaleCrop>
  <LinksUpToDate>false</LinksUpToDate>
  <CharactersWithSpaces>6562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2020-03-25T19:26:00Z</dcterms:created>
  <dc:creator>颜娜</dc:creator>
  <cp:lastModifiedBy>SKY-20190112ZYZ1</cp:lastModifiedBy>
  <cp:lastPrinted>2021-03-23T15:50:00Z</cp:lastPrinted>
  <dcterms:modified xsi:type="dcterms:W3CDTF">2023-08-31T10:37:39Z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853533D7662C4AC0B1075EF927FD7D25_13</vt:lpwstr>
  </property>
</Properties>
</file>