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图书馆楼消防改造工程</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图书馆楼消防改造工程</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新疆社会科学院</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新疆社会科学院</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丁守庆</w:t>
      </w:r>
      <w:bookmarkStart w:id="2" w:name="_GoBack"/>
      <w:bookmarkEnd w:id="2"/>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2023</w:t>
      </w:r>
      <w:r>
        <w:rPr>
          <w:rFonts w:eastAsia="仿宋_GB2312"/>
          <w:kern w:val="0"/>
          <w:sz w:val="36"/>
          <w:szCs w:val="36"/>
        </w:rPr>
        <w:t>年</w:t>
      </w:r>
      <w:r>
        <w:rPr>
          <w:rFonts w:hint="default" w:eastAsia="仿宋_GB2312"/>
          <w:kern w:val="0"/>
          <w:sz w:val="36"/>
          <w:szCs w:val="36"/>
          <w:lang w:val="en"/>
        </w:rPr>
        <w:t>5</w:t>
      </w:r>
      <w:r>
        <w:rPr>
          <w:rFonts w:eastAsia="仿宋_GB2312"/>
          <w:kern w:val="0"/>
          <w:sz w:val="36"/>
          <w:szCs w:val="36"/>
        </w:rPr>
        <w:t>月</w:t>
      </w:r>
      <w:r>
        <w:rPr>
          <w:rFonts w:hint="default" w:eastAsia="仿宋_GB2312"/>
          <w:kern w:val="0"/>
          <w:sz w:val="36"/>
          <w:szCs w:val="36"/>
          <w:lang w:val="en"/>
        </w:rPr>
        <w:t>4</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7"/>
          <w:rFonts w:eastAsia="黑体"/>
          <w:b w:val="0"/>
          <w:spacing w:val="-4"/>
          <w:sz w:val="32"/>
          <w:szCs w:val="32"/>
        </w:rPr>
      </w:pPr>
    </w:p>
    <w:p>
      <w:pPr>
        <w:spacing w:line="540" w:lineRule="exact"/>
        <w:ind w:firstLine="640"/>
        <w:rPr>
          <w:rStyle w:val="27"/>
          <w:rFonts w:eastAsia="黑体"/>
          <w:b w:val="0"/>
          <w:spacing w:val="-4"/>
          <w:sz w:val="32"/>
          <w:szCs w:val="32"/>
        </w:rPr>
      </w:pPr>
    </w:p>
    <w:p>
      <w:pPr>
        <w:spacing w:line="540" w:lineRule="exact"/>
        <w:rPr>
          <w:rStyle w:val="27"/>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600" w:lineRule="exact"/>
        <w:ind w:firstLine="640" w:firstLineChars="200"/>
        <w:rPr>
          <w:rFonts w:eastAsia="仿宋_GB2312"/>
          <w:sz w:val="32"/>
          <w:szCs w:val="32"/>
        </w:rPr>
      </w:pPr>
      <w:r>
        <w:rPr>
          <w:rFonts w:hint="eastAsia" w:eastAsia="仿宋_GB2312"/>
          <w:sz w:val="32"/>
          <w:szCs w:val="32"/>
        </w:rPr>
        <w:t>我院图书馆楼于1993年建成投入使用，建筑面积5963平方米，地下一层，地上六层，设计用途是图书资料存放，楼内现有藏书共计约34万册，其中</w:t>
      </w:r>
      <w:r>
        <w:rPr>
          <w:rFonts w:hint="eastAsia" w:eastAsia="仿宋_GB2312"/>
          <w:sz w:val="32"/>
          <w:szCs w:val="32"/>
          <w:lang w:eastAsia="zh-CN"/>
        </w:rPr>
        <w:t>古籍</w:t>
      </w:r>
      <w:r>
        <w:rPr>
          <w:rFonts w:hint="eastAsia" w:eastAsia="仿宋_GB2312"/>
          <w:sz w:val="32"/>
          <w:szCs w:val="32"/>
        </w:rPr>
        <w:t>约5万册。目前，有图书馆、网络信息中心、杂志社</w:t>
      </w:r>
      <w:r>
        <w:rPr>
          <w:rFonts w:hint="eastAsia" w:eastAsia="仿宋_GB2312"/>
          <w:sz w:val="32"/>
          <w:szCs w:val="32"/>
          <w:lang w:eastAsia="zh-CN"/>
        </w:rPr>
        <w:t>等</w:t>
      </w:r>
      <w:r>
        <w:rPr>
          <w:rFonts w:hint="eastAsia" w:eastAsia="仿宋_GB2312"/>
          <w:sz w:val="32"/>
          <w:szCs w:val="32"/>
        </w:rPr>
        <w:t>部门在楼内办公。2021年11月30日，乌鲁木齐市消防救援支队新市区消防大队在对我院图书馆楼进行消防检查后，向我院下达了责令期限整改通知书。</w:t>
      </w:r>
    </w:p>
    <w:p>
      <w:pPr>
        <w:pStyle w:val="21"/>
        <w:numPr>
          <w:ilvl w:val="0"/>
          <w:numId w:val="1"/>
        </w:numPr>
        <w:spacing w:before="0" w:after="0" w:line="600" w:lineRule="exact"/>
        <w:ind w:firstLine="642"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600" w:lineRule="exact"/>
        <w:ind w:firstLine="640" w:firstLineChars="200"/>
        <w:rPr>
          <w:rFonts w:eastAsia="仿宋_GB2312"/>
          <w:sz w:val="32"/>
          <w:szCs w:val="32"/>
        </w:rPr>
      </w:pPr>
      <w:r>
        <w:rPr>
          <w:rFonts w:hint="eastAsia" w:eastAsia="仿宋_GB2312"/>
          <w:sz w:val="32"/>
          <w:szCs w:val="32"/>
        </w:rPr>
        <w:t>项目改造内容：1.室外消防栓管网完善，接入主楼消防水池、水箱及泵房；2.室内管网增设水泵接合器；3.室内外消防及自救式卷盘设置，增设消防控制室，设置气体灭火器、消防救援窗，防火门更换，通风、排烟及火灾报警系统重新设计；4.消防改造后的设施恢复等。</w:t>
      </w:r>
    </w:p>
    <w:p>
      <w:pPr>
        <w:spacing w:line="600" w:lineRule="exact"/>
        <w:ind w:firstLine="640" w:firstLineChars="200"/>
      </w:pPr>
      <w:r>
        <w:rPr>
          <w:rFonts w:eastAsia="仿宋_GB2312"/>
          <w:sz w:val="32"/>
          <w:szCs w:val="32"/>
        </w:rPr>
        <w:t>项目实施情况：项目目前已</w:t>
      </w:r>
      <w:r>
        <w:rPr>
          <w:rFonts w:hint="eastAsia" w:eastAsia="仿宋_GB2312"/>
          <w:sz w:val="32"/>
          <w:szCs w:val="32"/>
        </w:rPr>
        <w:t>基本</w:t>
      </w:r>
      <w:r>
        <w:rPr>
          <w:rFonts w:eastAsia="仿宋_GB2312"/>
          <w:sz w:val="32"/>
          <w:szCs w:val="32"/>
        </w:rPr>
        <w:t>完成设立的目标，项目在实施过程中严格按照目标设立的各阶段任务开展工作，在前期立项过程中严格把质量关，建立安全防护机制，保证项目实施各阶段安全顺利进行。</w:t>
      </w:r>
    </w:p>
    <w:p>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396.32</w:t>
      </w:r>
      <w:r>
        <w:rPr>
          <w:rFonts w:eastAsia="仿宋_GB2312"/>
          <w:sz w:val="32"/>
          <w:szCs w:val="32"/>
        </w:rPr>
        <w:t>万元，其中：财政本级资金</w:t>
      </w:r>
      <w:r>
        <w:rPr>
          <w:rFonts w:hint="eastAsia" w:eastAsia="仿宋_GB2312"/>
          <w:sz w:val="32"/>
          <w:szCs w:val="32"/>
        </w:rPr>
        <w:t>396.32</w:t>
      </w:r>
      <w:r>
        <w:rPr>
          <w:rFonts w:eastAsia="仿宋_GB2312"/>
          <w:sz w:val="32"/>
          <w:szCs w:val="32"/>
        </w:rPr>
        <w:t>万元。项目实际支出</w:t>
      </w:r>
      <w:r>
        <w:rPr>
          <w:rFonts w:hint="eastAsia" w:eastAsia="仿宋_GB2312"/>
          <w:sz w:val="32"/>
          <w:szCs w:val="32"/>
        </w:rPr>
        <w:t>207.7</w:t>
      </w:r>
      <w:r>
        <w:rPr>
          <w:rFonts w:hint="eastAsia" w:eastAsia="仿宋_GB2312"/>
          <w:sz w:val="32"/>
          <w:szCs w:val="32"/>
          <w:lang w:val="en-US" w:eastAsia="zh-CN"/>
        </w:rPr>
        <w:t>3</w:t>
      </w:r>
      <w:r>
        <w:rPr>
          <w:rFonts w:eastAsia="仿宋_GB2312"/>
          <w:sz w:val="32"/>
          <w:szCs w:val="32"/>
        </w:rPr>
        <w:t>万元，支出率为</w:t>
      </w:r>
      <w:r>
        <w:rPr>
          <w:rFonts w:hint="eastAsia" w:eastAsia="仿宋_GB2312"/>
          <w:sz w:val="32"/>
          <w:szCs w:val="32"/>
        </w:rPr>
        <w:t>52.41</w:t>
      </w:r>
      <w:r>
        <w:rPr>
          <w:rFonts w:eastAsia="仿宋_GB2312"/>
          <w:sz w:val="32"/>
          <w:szCs w:val="32"/>
        </w:rPr>
        <w:t>%。</w:t>
      </w:r>
    </w:p>
    <w:p>
      <w:pPr>
        <w:spacing w:line="600" w:lineRule="exact"/>
        <w:ind w:firstLine="642"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eastAsia="仿宋_GB2312"/>
          <w:sz w:val="20"/>
          <w:szCs w:val="20"/>
        </w:rPr>
      </w:pPr>
      <w:r>
        <w:rPr>
          <w:rFonts w:eastAsia="仿宋_GB2312"/>
          <w:sz w:val="32"/>
          <w:szCs w:val="32"/>
        </w:rPr>
        <w:t>（1）资金安排</w:t>
      </w:r>
    </w:p>
    <w:p>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396.32</w:t>
      </w:r>
      <w:r>
        <w:rPr>
          <w:rFonts w:eastAsia="仿宋_GB2312"/>
          <w:sz w:val="32"/>
          <w:szCs w:val="32"/>
        </w:rPr>
        <w:t>万元，按照单位财务制度等相关规定，资金支出符合</w:t>
      </w:r>
      <w:r>
        <w:rPr>
          <w:rFonts w:hint="eastAsia" w:eastAsia="仿宋_GB2312"/>
          <w:sz w:val="32"/>
          <w:szCs w:val="32"/>
        </w:rPr>
        <w:t>财政项目</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rPr>
        <w:t>财政项目</w:t>
      </w:r>
      <w:r>
        <w:rPr>
          <w:rFonts w:eastAsia="仿宋_GB2312"/>
          <w:sz w:val="32"/>
          <w:szCs w:val="32"/>
        </w:rPr>
        <w:t>资金的拨付程序，认真审核项目实施各阶段的相关材料和手续，根据项目实施进展情况</w:t>
      </w:r>
      <w:r>
        <w:rPr>
          <w:rFonts w:hint="eastAsia" w:eastAsia="仿宋_GB2312"/>
          <w:sz w:val="32"/>
          <w:szCs w:val="32"/>
        </w:rPr>
        <w:t>支付</w:t>
      </w:r>
      <w:r>
        <w:rPr>
          <w:rFonts w:eastAsia="仿宋_GB2312"/>
          <w:sz w:val="32"/>
          <w:szCs w:val="32"/>
        </w:rPr>
        <w:t>资金。</w:t>
      </w:r>
    </w:p>
    <w:p>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1"/>
        <w:spacing w:before="0" w:after="0" w:line="600" w:lineRule="exact"/>
        <w:ind w:firstLine="640" w:firstLineChars="200"/>
        <w:jc w:val="both"/>
        <w:rPr>
          <w:rFonts w:hint="default" w:ascii="Times New Roman" w:hAnsi="Times New Roman" w:eastAsia="仿宋_GB2312"/>
          <w:b w:val="0"/>
          <w:bCs w:val="0"/>
          <w:kern w:val="2"/>
          <w:lang w:val="en-US" w:eastAsia="zh-CN"/>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rPr>
        <w:t>财政拨款</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396.32</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全年执行207.7</w:t>
      </w:r>
      <w:r>
        <w:rPr>
          <w:rFonts w:hint="eastAsia" w:ascii="Times New Roman" w:hAnsi="Times New Roman" w:eastAsia="仿宋_GB2312"/>
          <w:b w:val="0"/>
          <w:bCs w:val="0"/>
          <w:kern w:val="2"/>
          <w:lang w:val="en-US" w:eastAsia="zh-CN"/>
        </w:rPr>
        <w:t>3</w:t>
      </w:r>
      <w:r>
        <w:rPr>
          <w:rFonts w:hint="eastAsia" w:ascii="Times New Roman" w:hAnsi="Times New Roman" w:eastAsia="仿宋_GB2312"/>
          <w:b w:val="0"/>
          <w:bCs w:val="0"/>
          <w:kern w:val="2"/>
        </w:rPr>
        <w:t>万元，预算执行率为52.41</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r>
        <w:rPr>
          <w:rFonts w:hint="eastAsia" w:ascii="Times New Roman" w:hAnsi="Times New Roman" w:eastAsia="仿宋_GB2312"/>
          <w:b w:val="0"/>
          <w:bCs w:val="0"/>
          <w:kern w:val="2"/>
          <w:lang w:eastAsia="zh-CN"/>
        </w:rPr>
        <w:t>：设计费</w:t>
      </w:r>
      <w:r>
        <w:rPr>
          <w:rFonts w:hint="eastAsia" w:ascii="Times New Roman" w:hAnsi="Times New Roman" w:eastAsia="仿宋_GB2312"/>
          <w:b w:val="0"/>
          <w:bCs w:val="0"/>
          <w:kern w:val="2"/>
          <w:lang w:val="en-US" w:eastAsia="zh-CN"/>
        </w:rPr>
        <w:t>14.22万元；审图费0.36万元；造价服务费2.3万元；监理费2.12万元；工程款188.73万元。</w:t>
      </w:r>
    </w:p>
    <w:p>
      <w:pPr>
        <w:spacing w:line="600" w:lineRule="exact"/>
        <w:ind w:firstLine="642"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eastAsia="仿宋_GB2312"/>
          <w:sz w:val="32"/>
          <w:szCs w:val="32"/>
        </w:rPr>
      </w:pPr>
      <w:r>
        <w:rPr>
          <w:rFonts w:hint="eastAsia" w:eastAsia="仿宋_GB2312"/>
          <w:sz w:val="32"/>
          <w:szCs w:val="32"/>
        </w:rPr>
        <w:t>完成图书馆楼消防相关设施基础改扩建、设备升级。</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w:t>
      </w:r>
      <w:r>
        <w:rPr>
          <w:rFonts w:hint="eastAsia" w:eastAsia="仿宋_GB2312"/>
          <w:sz w:val="32"/>
          <w:szCs w:val="32"/>
        </w:rPr>
        <w:t>、工程核算预算书</w:t>
      </w:r>
      <w:r>
        <w:rPr>
          <w:rFonts w:eastAsia="仿宋_GB2312"/>
          <w:sz w:val="32"/>
          <w:szCs w:val="32"/>
        </w:rPr>
        <w:t>，经项目负责人审核通过后，有序开展后续工作。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2" w:firstLineChars="200"/>
        <w:rPr>
          <w:rFonts w:eastAsia="楷体_GB2312"/>
          <w:b/>
          <w:bCs/>
          <w:sz w:val="32"/>
          <w:szCs w:val="32"/>
        </w:rPr>
      </w:pPr>
      <w:r>
        <w:rPr>
          <w:rFonts w:eastAsia="楷体_GB2312"/>
          <w:b/>
          <w:bCs/>
          <w:sz w:val="32"/>
          <w:szCs w:val="32"/>
        </w:rPr>
        <w:t>（一）绩效评价目的、对象和范围</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w:t>
      </w:r>
      <w:r>
        <w:rPr>
          <w:rFonts w:hint="eastAsia" w:eastAsia="仿宋_GB2312"/>
          <w:sz w:val="32"/>
          <w:szCs w:val="32"/>
          <w:lang w:eastAsia="zh-CN"/>
        </w:rPr>
        <w:t>全过程</w:t>
      </w:r>
      <w:r>
        <w:rPr>
          <w:rFonts w:eastAsia="仿宋_GB2312"/>
          <w:sz w:val="32"/>
          <w:szCs w:val="32"/>
        </w:rPr>
        <w:t>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开展事前绩效评估，摒除不符合规定和不必要安排的预算。围绕“厉行节约，勤俭办事业”原则，结合实际，对该项目申报的预算开展事前绩效评估。</w:t>
      </w:r>
    </w:p>
    <w:p>
      <w:pPr>
        <w:numPr>
          <w:ilvl w:val="0"/>
          <w:numId w:val="2"/>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设定绩效目标，严格规范支出。按规定要求设置项目支出绩效目标表，并根据绩效目标，在项目批复的预算额度和范围内开支。按照采购、收支、资产、项目等管理规定履行相关审核、审批程序，并提供真实、合法、有效的票据。</w:t>
      </w:r>
    </w:p>
    <w:p>
      <w:pPr>
        <w:numPr>
          <w:ilvl w:val="0"/>
          <w:numId w:val="2"/>
        </w:num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进行绩效监控，加快预算执行。按照自治区财政《关于加强和规范自治区本级项目支出“全过程”预算绩效管理结果应用的通知》等相关要求，对该项目支出预算执行进度和绩效目标完成程度实施“双监控”。</w:t>
      </w:r>
    </w:p>
    <w:p>
      <w:pPr>
        <w:numPr>
          <w:ilvl w:val="0"/>
          <w:numId w:val="2"/>
        </w:numPr>
        <w:spacing w:line="600" w:lineRule="exact"/>
        <w:ind w:firstLine="640" w:firstLineChars="200"/>
        <w:rPr>
          <w:rFonts w:eastAsia="仿宋_GB2312"/>
          <w:sz w:val="32"/>
          <w:szCs w:val="32"/>
        </w:rPr>
      </w:pPr>
      <w:r>
        <w:rPr>
          <w:rFonts w:hint="eastAsia" w:eastAsia="仿宋_GB2312"/>
          <w:sz w:val="32"/>
          <w:szCs w:val="32"/>
          <w:lang w:val="en-US" w:eastAsia="zh-CN"/>
        </w:rPr>
        <w:t>开展绩效评价和结果运用，落实“谁用款，谁负责”原则，促进提高资金绩效。</w:t>
      </w:r>
      <w:r>
        <w:rPr>
          <w:rFonts w:eastAsia="仿宋_GB2312"/>
          <w:sz w:val="32"/>
          <w:szCs w:val="32"/>
        </w:rPr>
        <w:t>通过开展有效的财政支出绩效评价管理，达到改进预算管理、控制节约成本，提高预算资金使用效益的目的。</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图书馆楼消防改造工程项目所包含的全部项目建设内容。</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图书馆楼消防改造工程项目的决策、过程、产出、效益等。</w:t>
      </w:r>
    </w:p>
    <w:p>
      <w:pPr>
        <w:spacing w:line="600" w:lineRule="exact"/>
        <w:ind w:firstLine="642" w:firstLineChars="200"/>
      </w:pPr>
      <w:r>
        <w:rPr>
          <w:rFonts w:eastAsia="楷体_GB2312"/>
          <w:b/>
          <w:bCs/>
          <w:sz w:val="32"/>
          <w:szCs w:val="32"/>
        </w:rPr>
        <w:t>（二）绩效评价原则、评价指标体系（详情见表1）、评价方法、评价标准。</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1"/>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（1）科学公正。运用科学合理的方法，按照规范的程序，对</w:t>
      </w:r>
      <w:r>
        <w:rPr>
          <w:rFonts w:hint="eastAsia" w:ascii="Times New Roman" w:hAnsi="Times New Roman" w:eastAsia="仿宋_GB2312"/>
          <w:b w:val="0"/>
          <w:bCs w:val="0"/>
          <w:lang w:eastAsia="zh-CN"/>
        </w:rPr>
        <w:t>此</w:t>
      </w:r>
      <w:r>
        <w:rPr>
          <w:rFonts w:ascii="Times New Roman" w:hAnsi="Times New Roman" w:eastAsia="仿宋_GB2312"/>
          <w:b w:val="0"/>
          <w:bCs w:val="0"/>
        </w:rPr>
        <w:t>项目绩效进行客观、公正的反映。</w:t>
      </w:r>
    </w:p>
    <w:p>
      <w:pPr>
        <w:pStyle w:val="21"/>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w:t>
      </w:r>
      <w:r>
        <w:rPr>
          <w:rFonts w:hint="eastAsia" w:ascii="Times New Roman" w:hAnsi="Times New Roman" w:eastAsia="仿宋_GB2312"/>
          <w:b w:val="0"/>
          <w:bCs w:val="0"/>
          <w:lang w:val="en-US" w:eastAsia="zh-CN"/>
        </w:rPr>
        <w:t>2</w:t>
      </w:r>
      <w:r>
        <w:rPr>
          <w:rFonts w:ascii="Times New Roman" w:hAnsi="Times New Roman" w:eastAsia="仿宋_GB2312"/>
          <w:b w:val="0"/>
          <w:bCs w:val="0"/>
        </w:rPr>
        <w:t>）公开透明。</w:t>
      </w:r>
      <w:r>
        <w:rPr>
          <w:rFonts w:hint="eastAsia" w:ascii="Times New Roman" w:hAnsi="Times New Roman" w:eastAsia="仿宋_GB2312"/>
          <w:b w:val="0"/>
          <w:bCs w:val="0"/>
          <w:lang w:eastAsia="zh-CN"/>
        </w:rPr>
        <w:t>此项目的评价结果</w:t>
      </w:r>
      <w:r>
        <w:rPr>
          <w:rFonts w:ascii="Times New Roman" w:hAnsi="Times New Roman" w:eastAsia="仿宋_GB2312"/>
          <w:b w:val="0"/>
          <w:bCs w:val="0"/>
        </w:rPr>
        <w:t>依法依规公开，并自觉接受社会监督。</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rPr>
        <w:t>20</w:t>
      </w:r>
      <w:r>
        <w:rPr>
          <w:rFonts w:eastAsia="仿宋_GB2312"/>
          <w:color w:val="000000"/>
          <w:spacing w:val="17"/>
          <w:sz w:val="32"/>
          <w:szCs w:val="32"/>
        </w:rPr>
        <w:t>分，项目过程权重为</w:t>
      </w:r>
      <w:r>
        <w:rPr>
          <w:rFonts w:hint="eastAsia" w:eastAsia="仿宋_GB2312"/>
          <w:color w:val="000000"/>
          <w:spacing w:val="17"/>
          <w:sz w:val="32"/>
          <w:szCs w:val="32"/>
        </w:rPr>
        <w:t>20</w:t>
      </w:r>
      <w:r>
        <w:rPr>
          <w:rFonts w:eastAsia="仿宋_GB2312"/>
          <w:color w:val="000000"/>
          <w:spacing w:val="17"/>
          <w:sz w:val="32"/>
          <w:szCs w:val="32"/>
        </w:rPr>
        <w:t>分，项目产出权重为</w:t>
      </w:r>
      <w:r>
        <w:rPr>
          <w:rFonts w:hint="eastAsia" w:eastAsia="仿宋_GB2312"/>
          <w:color w:val="000000"/>
          <w:spacing w:val="17"/>
          <w:sz w:val="32"/>
          <w:szCs w:val="32"/>
        </w:rPr>
        <w:t>40</w:t>
      </w:r>
      <w:r>
        <w:rPr>
          <w:rFonts w:eastAsia="仿宋_GB2312"/>
          <w:color w:val="000000"/>
          <w:spacing w:val="17"/>
          <w:sz w:val="32"/>
          <w:szCs w:val="32"/>
        </w:rPr>
        <w:t>分，项目效益权重为</w:t>
      </w:r>
      <w:r>
        <w:rPr>
          <w:rFonts w:hint="eastAsia" w:eastAsia="仿宋_GB2312"/>
          <w:color w:val="000000"/>
          <w:spacing w:val="17"/>
          <w:sz w:val="32"/>
          <w:szCs w:val="32"/>
        </w:rPr>
        <w:t>20</w:t>
      </w:r>
      <w:r>
        <w:rPr>
          <w:rFonts w:eastAsia="仿宋_GB2312"/>
          <w:color w:val="000000"/>
          <w:spacing w:val="17"/>
          <w:sz w:val="32"/>
          <w:szCs w:val="32"/>
        </w:rPr>
        <w:t>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1"/>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1"/>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hint="eastAsia" w:eastAsia="仿宋_GB2312"/>
          <w:color w:val="000000"/>
          <w:spacing w:val="17"/>
          <w:sz w:val="32"/>
          <w:szCs w:val="32"/>
          <w:lang w:eastAsia="zh-CN"/>
        </w:rPr>
      </w:pPr>
      <w:r>
        <w:rPr>
          <w:rFonts w:eastAsia="仿宋_GB2312"/>
          <w:color w:val="000000"/>
          <w:spacing w:val="17"/>
          <w:sz w:val="32"/>
          <w:szCs w:val="32"/>
        </w:rPr>
        <w:t>通过对</w:t>
      </w:r>
      <w:r>
        <w:rPr>
          <w:rFonts w:hint="eastAsia" w:eastAsia="仿宋_GB2312"/>
          <w:color w:val="000000"/>
          <w:spacing w:val="17"/>
          <w:sz w:val="32"/>
          <w:szCs w:val="32"/>
          <w:lang w:eastAsia="zh-CN"/>
        </w:rPr>
        <w:t>比</w:t>
      </w:r>
      <w:r>
        <w:rPr>
          <w:rFonts w:eastAsia="仿宋_GB2312"/>
          <w:color w:val="000000"/>
          <w:spacing w:val="17"/>
          <w:sz w:val="32"/>
          <w:szCs w:val="32"/>
        </w:rPr>
        <w:t>绩效目标与实施效果</w:t>
      </w:r>
      <w:r>
        <w:rPr>
          <w:rFonts w:hint="eastAsia" w:eastAsia="仿宋_GB2312"/>
          <w:color w:val="000000"/>
          <w:spacing w:val="17"/>
          <w:sz w:val="32"/>
          <w:szCs w:val="32"/>
          <w:lang w:eastAsia="zh-CN"/>
        </w:rPr>
        <w:t>，</w:t>
      </w:r>
      <w:r>
        <w:rPr>
          <w:rFonts w:eastAsia="仿宋_GB2312"/>
          <w:color w:val="000000"/>
          <w:spacing w:val="17"/>
          <w:sz w:val="32"/>
          <w:szCs w:val="32"/>
        </w:rPr>
        <w:t>综合分析绩效目标实现程度</w:t>
      </w:r>
      <w:r>
        <w:rPr>
          <w:rFonts w:hint="eastAsia" w:eastAsia="仿宋_GB2312"/>
          <w:color w:val="000000"/>
          <w:spacing w:val="17"/>
          <w:sz w:val="32"/>
          <w:szCs w:val="32"/>
          <w:lang w:eastAsia="zh-CN"/>
        </w:rPr>
        <w:t>，得出结论：除受不可控力疫情影响外，该项目按照改造计划进行，实施效果良好，能较好完成绩效目标，并按照施工进度及合同要求完成经费支付，未超预算。</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hint="default" w:eastAsia="仿宋_GB2312"/>
          <w:color w:val="000000"/>
          <w:spacing w:val="17"/>
          <w:sz w:val="32"/>
          <w:szCs w:val="32"/>
          <w:lang w:val="en-US" w:eastAsia="zh-CN"/>
        </w:rPr>
      </w:pPr>
      <w:r>
        <w:rPr>
          <w:rFonts w:eastAsia="仿宋_GB2312"/>
          <w:color w:val="000000"/>
          <w:spacing w:val="17"/>
          <w:sz w:val="32"/>
          <w:szCs w:val="32"/>
        </w:rPr>
        <w:t>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r>
        <w:rPr>
          <w:rFonts w:hint="eastAsia" w:eastAsia="仿宋_GB2312"/>
          <w:color w:val="000000"/>
          <w:spacing w:val="17"/>
          <w:sz w:val="32"/>
          <w:szCs w:val="32"/>
          <w:lang w:eastAsia="zh-CN"/>
        </w:rPr>
        <w:t>得出结论：受疫情影响，施工进度停滞</w:t>
      </w:r>
      <w:r>
        <w:rPr>
          <w:rFonts w:hint="eastAsia" w:eastAsia="仿宋_GB2312"/>
          <w:color w:val="000000"/>
          <w:spacing w:val="17"/>
          <w:sz w:val="32"/>
          <w:szCs w:val="32"/>
          <w:lang w:val="en-US" w:eastAsia="zh-CN"/>
        </w:rPr>
        <w:t>4个月</w:t>
      </w:r>
      <w:r>
        <w:rPr>
          <w:rFonts w:hint="eastAsia" w:eastAsia="仿宋_GB2312"/>
          <w:color w:val="000000"/>
          <w:spacing w:val="17"/>
          <w:sz w:val="32"/>
          <w:szCs w:val="32"/>
          <w:lang w:eastAsia="zh-CN"/>
        </w:rPr>
        <w:t>，经费执行进度也相应降低，预计</w:t>
      </w:r>
      <w:r>
        <w:rPr>
          <w:rFonts w:hint="eastAsia" w:eastAsia="仿宋_GB2312"/>
          <w:color w:val="000000"/>
          <w:spacing w:val="17"/>
          <w:sz w:val="32"/>
          <w:szCs w:val="32"/>
          <w:lang w:val="en-US" w:eastAsia="zh-CN"/>
        </w:rPr>
        <w:t>2023年上半年可以完成工程竣工验收及款项支付。</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1"/>
        <w:numPr>
          <w:ilvl w:val="0"/>
          <w:numId w:val="3"/>
        </w:numPr>
        <w:spacing w:before="0" w:after="0" w:line="60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我院图书馆楼消防改造工程项目领导小组，开展前期准备工作；其次明确项目绩效目标，设计绩效评价指标体系并确定绩效评价方法；接着确定评价范围、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1"/>
        <w:widowControl w:val="0"/>
        <w:spacing w:before="0" w:after="0" w:line="60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rPr>
        <w:t>对</w:t>
      </w:r>
      <w:r>
        <w:rPr>
          <w:rFonts w:hint="eastAsia" w:ascii="Times New Roman" w:hAnsi="Times New Roman" w:eastAsia="仿宋_GB2312"/>
          <w:b w:val="0"/>
          <w:bCs w:val="0"/>
        </w:rPr>
        <w:t>图书馆楼消防改造工程</w:t>
      </w:r>
      <w:r>
        <w:rPr>
          <w:rFonts w:ascii="Times New Roman" w:hAnsi="Times New Roman" w:eastAsia="仿宋_GB2312"/>
          <w:b w:val="0"/>
          <w:bCs w:val="0"/>
        </w:rPr>
        <w:t>项目进行客观评价，最终评分结果：总得分</w:t>
      </w:r>
      <w:r>
        <w:rPr>
          <w:rFonts w:ascii="Times New Roman" w:hAnsi="Times New Roman" w:eastAsia="仿宋_GB2312"/>
          <w:b w:val="0"/>
          <w:bCs w:val="0"/>
          <w:highlight w:val="none"/>
        </w:rPr>
        <w:t>为</w:t>
      </w:r>
      <w:r>
        <w:rPr>
          <w:rFonts w:hint="eastAsia" w:ascii="Times New Roman" w:hAnsi="Times New Roman" w:eastAsia="仿宋_GB2312"/>
          <w:b w:val="0"/>
          <w:bCs w:val="0"/>
          <w:highlight w:val="none"/>
        </w:rPr>
        <w:t>9</w:t>
      </w:r>
      <w:r>
        <w:rPr>
          <w:rFonts w:hint="eastAsia" w:ascii="Times New Roman" w:hAnsi="Times New Roman" w:eastAsia="仿宋_GB2312"/>
          <w:b w:val="0"/>
          <w:bCs w:val="0"/>
          <w:highlight w:val="none"/>
          <w:lang w:val="en-US" w:eastAsia="zh-CN"/>
        </w:rPr>
        <w:t>7.2</w:t>
      </w:r>
      <w:r>
        <w:rPr>
          <w:rFonts w:ascii="Times New Roman" w:hAnsi="Times New Roman" w:eastAsia="仿宋_GB2312"/>
          <w:b w:val="0"/>
          <w:bCs w:val="0"/>
        </w:rPr>
        <w:t>分，属于“</w:t>
      </w:r>
      <w:r>
        <w:rPr>
          <w:rFonts w:hint="eastAsia" w:ascii="Times New Roman" w:hAnsi="Times New Roman" w:eastAsia="仿宋_GB2312"/>
          <w:b w:val="0"/>
          <w:bCs w:val="0"/>
        </w:rPr>
        <w:t>优</w:t>
      </w:r>
      <w:r>
        <w:rPr>
          <w:rFonts w:ascii="Times New Roman" w:hAnsi="Times New Roman" w:eastAsia="仿宋_GB2312"/>
          <w:b w:val="0"/>
          <w:bCs w:val="0"/>
        </w:rPr>
        <w:t>”。其中，项目决策类指标权重为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lang w:val="en-US" w:eastAsia="zh-CN"/>
        </w:rPr>
        <w:t>19.5</w:t>
      </w:r>
      <w:r>
        <w:rPr>
          <w:rFonts w:ascii="Times New Roman" w:hAnsi="Times New Roman" w:eastAsia="仿宋_GB2312"/>
          <w:b w:val="0"/>
          <w:bCs w:val="0"/>
        </w:rPr>
        <w:t>分，得分率为</w:t>
      </w:r>
      <w:r>
        <w:rPr>
          <w:rFonts w:hint="eastAsia" w:ascii="Times New Roman" w:hAnsi="Times New Roman" w:eastAsia="仿宋_GB2312"/>
          <w:b w:val="0"/>
          <w:bCs w:val="0"/>
          <w:lang w:val="en-US" w:eastAsia="zh-CN"/>
        </w:rPr>
        <w:t>97.5</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18.1</w:t>
      </w:r>
      <w:r>
        <w:rPr>
          <w:rFonts w:ascii="Times New Roman" w:hAnsi="Times New Roman" w:eastAsia="仿宋_GB2312"/>
          <w:b w:val="0"/>
          <w:bCs w:val="0"/>
        </w:rPr>
        <w:t>分，得分率为</w:t>
      </w:r>
      <w:r>
        <w:rPr>
          <w:rFonts w:hint="eastAsia" w:ascii="Times New Roman" w:hAnsi="Times New Roman" w:eastAsia="仿宋_GB2312"/>
          <w:b w:val="0"/>
          <w:bCs w:val="0"/>
        </w:rPr>
        <w:t>90.5</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w:t>
      </w:r>
      <w:r>
        <w:rPr>
          <w:rFonts w:ascii="Times New Roman" w:hAnsi="Times New Roman" w:eastAsia="仿宋_GB2312"/>
          <w:b w:val="0"/>
          <w:bCs w:val="0"/>
          <w:highlight w:val="none"/>
        </w:rPr>
        <w:t>分为</w:t>
      </w:r>
      <w:r>
        <w:rPr>
          <w:rFonts w:hint="eastAsia" w:ascii="Times New Roman" w:hAnsi="Times New Roman" w:eastAsia="仿宋_GB2312"/>
          <w:b w:val="0"/>
          <w:bCs w:val="0"/>
          <w:highlight w:val="none"/>
        </w:rPr>
        <w:t>39.6</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rPr>
        <w:t>99</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pPr>
        <w:pStyle w:val="21"/>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5"/>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lang w:val="en-US" w:eastAsia="zh-CN"/>
              </w:rPr>
              <w:t>87.5</w:t>
            </w:r>
            <w:r>
              <w:rPr>
                <w:rFonts w:hint="eastAsia"/>
                <w:color w:val="000000"/>
                <w:kern w:val="0"/>
                <w:sz w:val="22"/>
                <w:szCs w:val="22"/>
              </w:rPr>
              <w:t>%</w:t>
            </w:r>
          </w:p>
        </w:tc>
        <w:tc>
          <w:tcPr>
            <w:tcW w:w="960" w:type="dxa"/>
            <w:shd w:val="clear" w:color="000000"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52.41</w:t>
            </w:r>
            <w:r>
              <w:rPr>
                <w:color w:val="000000"/>
                <w:kern w:val="0"/>
                <w:sz w:val="22"/>
                <w:szCs w:val="22"/>
              </w:rPr>
              <w:t>%</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52.41%</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98</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98%</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98</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98%</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100%</w:t>
            </w:r>
          </w:p>
        </w:tc>
        <w:tc>
          <w:tcPr>
            <w:tcW w:w="960"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95</w:t>
            </w:r>
            <w:r>
              <w:rPr>
                <w:color w:val="000000"/>
                <w:kern w:val="0"/>
                <w:sz w:val="22"/>
                <w:szCs w:val="22"/>
              </w:rPr>
              <w:t>%</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95</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1"/>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为消除安全隐患，节约能源资源，恢复图书馆楼使用功能，满足办公需求，我院就图书馆楼消防改造工程项目向多方请示，得到了自治区党委副书记批示及机关事务管理局复函（新管房地[2022]4号）。</w:t>
      </w:r>
    </w:p>
    <w:p>
      <w:pPr>
        <w:spacing w:line="600" w:lineRule="exact"/>
        <w:ind w:left="420" w:leftChars="200"/>
        <w:outlineLvl w:val="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zh-CN"/>
        </w:rPr>
        <w:t>立项程序规范性</w:t>
      </w:r>
    </w:p>
    <w:p>
      <w:pPr>
        <w:spacing w:line="60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rPr>
        <w:t>该项目按照规定的程序申请设立；审批文件、材料符合相关要求；事前已经过必要的可行性研究、专家论证、风险评估、绩效评估、集体决策。</w:t>
      </w:r>
    </w:p>
    <w:p>
      <w:pPr>
        <w:spacing w:line="600" w:lineRule="exac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3.绩效目标合理性</w:t>
      </w:r>
    </w:p>
    <w:p>
      <w:pPr>
        <w:spacing w:line="600" w:lineRule="exac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该项目所设定的绩效目标依据充分，符合客观实际，能反映和考核项目绩效目标与项目实施的相符情况，依据绩效目标设定的绩效指标清晰、细化、可衡量，能反映和考核项目绩效目标的明细化情况。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将项目绩效目标细化分解为具体的绩效指标，一级指标共3条，二级指标共6条，三级指标共15条，其中量化指标条数共15条，所有绩效指标均通过清晰、可衡量的指标值予以体现，并且做到了与项目目标任务数或计划数相对应。</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该项目预算编制经过科学论证；预算内容与项目内容相匹配；预算额度测算依据充分，按照项目工程预算书编制。</w:t>
      </w:r>
    </w:p>
    <w:p>
      <w:pPr>
        <w:spacing w:line="600" w:lineRule="exac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该项目预算资金分配依据充分；资金分配额度基本合理，实际执行时成本指标值未超出预期值。</w:t>
      </w:r>
    </w:p>
    <w:p>
      <w:pPr>
        <w:pStyle w:val="21"/>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实际到位资金396.32万元，预算资金396.32万元，资金到位率100%。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年初预算数0万元，全年预算数369.32万元，全年执行数270.7万元，预算执行率为52.41%。</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该项目资金使用符合国家财经法规和财务管理制度以及有关专项资金管理办法的规定；资金的拨付具有完整的审批程序和手续；符合项目预算批复或合同规定的用途；不存在截留、挤占、挪用、虚列支出等情况。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我院</w:t>
      </w:r>
      <w:r>
        <w:rPr>
          <w:rFonts w:hint="eastAsia" w:ascii="仿宋_GB2312" w:hAnsi="仿宋_GB2312" w:eastAsia="仿宋_GB2312" w:cs="仿宋_GB2312"/>
          <w:sz w:val="32"/>
          <w:szCs w:val="32"/>
          <w:lang w:eastAsia="zh-CN"/>
        </w:rPr>
        <w:t>在国家、自治区已有财务制度的基础上，结合我院内控要求，</w:t>
      </w:r>
      <w:r>
        <w:rPr>
          <w:rFonts w:hint="eastAsia" w:ascii="仿宋_GB2312" w:hAnsi="仿宋_GB2312" w:eastAsia="仿宋_GB2312" w:cs="仿宋_GB2312"/>
          <w:sz w:val="32"/>
          <w:szCs w:val="32"/>
        </w:rPr>
        <w:t>制定</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《新疆社会科学院财务管理办法》、《新疆社会科学院采购管理办法》等，相应的财务和业务管理制度具有合法性、合规性、完整性。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完全遵守相关法律法规和相关管理规定；项目调整及支出调整手续完备；项目支出所需附件，如：合同书、验收报告、技术鉴定等资料齐全并及时归档；项目实施的人员条件、场地设备、信息支撑等均落实到位。</w:t>
      </w:r>
    </w:p>
    <w:p>
      <w:pPr>
        <w:pStyle w:val="21"/>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数量指标方面：</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指标1：图书馆楼消防设施改造工程量，指标值：&gt;=5963平方米，实际完成值：5963平方米，指标完成率：100%；</w:t>
      </w:r>
    </w:p>
    <w:p>
      <w:pPr>
        <w:spacing w:line="600" w:lineRule="exact"/>
        <w:ind w:firstLine="708" w:firstLineChars="200"/>
        <w:outlineLvl w:val="0"/>
        <w:rPr>
          <w:rFonts w:eastAsia="仿宋_GB2312"/>
          <w:color w:val="000000"/>
          <w:spacing w:val="17"/>
          <w:sz w:val="32"/>
          <w:szCs w:val="32"/>
        </w:rPr>
      </w:pPr>
      <w:r>
        <w:rPr>
          <w:rFonts w:hint="eastAsia" w:eastAsia="仿宋_GB2312"/>
          <w:color w:val="000000"/>
          <w:spacing w:val="17"/>
          <w:sz w:val="32"/>
          <w:szCs w:val="32"/>
        </w:rPr>
        <w:t>指标2：消防设施改造项目数，指标值：=1个，实际完成值：1个，指标完成率：100%；</w:t>
      </w:r>
    </w:p>
    <w:p>
      <w:pPr>
        <w:spacing w:line="600" w:lineRule="exact"/>
        <w:ind w:firstLine="708" w:firstLineChars="200"/>
        <w:outlineLvl w:val="0"/>
      </w:pPr>
      <w:r>
        <w:rPr>
          <w:rFonts w:hint="eastAsia" w:eastAsia="仿宋_GB2312"/>
          <w:color w:val="000000"/>
          <w:spacing w:val="17"/>
          <w:sz w:val="32"/>
          <w:szCs w:val="32"/>
        </w:rPr>
        <w:t>指标3：建设消防救援窗，指标值：&gt;=12个，实际完成值：12个，指标完成率：100%；</w:t>
      </w:r>
    </w:p>
    <w:p>
      <w:pPr>
        <w:spacing w:line="600" w:lineRule="exact"/>
        <w:ind w:firstLine="708" w:firstLineChars="200"/>
        <w:outlineLvl w:val="0"/>
      </w:pPr>
      <w:r>
        <w:rPr>
          <w:rFonts w:hint="eastAsia" w:eastAsia="仿宋_GB2312"/>
          <w:color w:val="000000"/>
          <w:spacing w:val="17"/>
          <w:sz w:val="32"/>
          <w:szCs w:val="32"/>
        </w:rPr>
        <w:t>指标4：建设消防救援窗，指标值：&gt;=28个，实际完成值：29个，指标完成率：103.5%；</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指标5：项目造价书，指标值：=1份，实际完成值：1份，指标完成率：100%；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质量指标方面：</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指标1：项目资金支付率，指标值：&gt;=60%，实际完成值：52.4%，指标完成率：87.3%；按照合同约定分次支付费用；</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指标2：设备验收合格率（%），指标值：100%，实际完成值：100%，指标完成率：100%；</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指标3：竣工验收合格率（%），指标值：95%，实际完成值：0%，指标完成率：0%；该项目尚未进行竣工验收；</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成本指标方面：</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指标1：项目前期费用，指标值：&lt;=30万元，实际完成值：19万元，指标完成率：63.3%；按照合同约定分次支付费用；</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指标2：工程建设费用，指标值：&lt;=208万元，实际完成值：188.7万元，指标完成率：90.7%；按照合同约定分次支付费用；</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时效指标方面：</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指标1：项目按计划开始时间，指标值：2022年6月，实际完成值：2022年6月，指标完成率：100%；</w:t>
      </w:r>
    </w:p>
    <w:p>
      <w:pPr>
        <w:spacing w:line="600" w:lineRule="exact"/>
        <w:ind w:firstLine="708" w:firstLineChars="200"/>
        <w:outlineLvl w:val="0"/>
      </w:pPr>
      <w:r>
        <w:rPr>
          <w:rFonts w:hint="eastAsia" w:eastAsia="仿宋_GB2312"/>
          <w:color w:val="000000"/>
          <w:spacing w:val="17"/>
          <w:sz w:val="32"/>
          <w:szCs w:val="32"/>
        </w:rPr>
        <w:t>指标2：项目前期费用，指标值：2023年12月，实际完成值：2022年12月，指标完成率：50%；该项目为基建项目，计划2023年12月前完成基建工程及竣工手续；</w:t>
      </w:r>
    </w:p>
    <w:p>
      <w:pPr>
        <w:pStyle w:val="21"/>
        <w:ind w:firstLine="321" w:firstLineChars="100"/>
        <w:jc w:val="both"/>
        <w:rPr>
          <w:rFonts w:ascii="Times New Roman" w:hAnsi="Times New Roman"/>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rPr>
          <w:rStyle w:val="57"/>
          <w:rFonts w:ascii="Times New Roman" w:hAnsi="Times New Roman" w:cs="Times New Roman"/>
          <w:color w:val="auto"/>
        </w:rPr>
      </w:pPr>
      <w:r>
        <w:rPr>
          <w:rStyle w:val="57"/>
          <w:rFonts w:ascii="Times New Roman" w:hAnsi="Times New Roman" w:cs="Times New Roman"/>
          <w:color w:val="auto"/>
        </w:rPr>
        <w:t>社会效益指标方面：</w:t>
      </w:r>
    </w:p>
    <w:p>
      <w:pPr>
        <w:spacing w:line="600" w:lineRule="exact"/>
        <w:ind w:firstLine="708" w:firstLineChars="200"/>
        <w:outlineLvl w:val="0"/>
        <w:rPr>
          <w:rFonts w:ascii="仿宋_GB2312" w:hAnsi="仿宋_GB2312" w:eastAsia="仿宋_GB2312" w:cs="仿宋_GB2312"/>
          <w:sz w:val="32"/>
          <w:szCs w:val="32"/>
        </w:rPr>
      </w:pPr>
      <w:r>
        <w:rPr>
          <w:rFonts w:hint="eastAsia" w:eastAsia="仿宋_GB2312"/>
          <w:color w:val="000000"/>
          <w:spacing w:val="17"/>
          <w:sz w:val="32"/>
          <w:szCs w:val="32"/>
        </w:rPr>
        <w:t>指标1：图书馆楼正常运转率，指标值：95%，实际完成值：95%，指标完成率：100%；</w:t>
      </w:r>
    </w:p>
    <w:p>
      <w:pPr>
        <w:spacing w:line="600" w:lineRule="exact"/>
        <w:ind w:firstLine="708" w:firstLineChars="200"/>
        <w:outlineLvl w:val="0"/>
      </w:pPr>
      <w:r>
        <w:rPr>
          <w:rFonts w:hint="eastAsia" w:eastAsia="仿宋_GB2312"/>
          <w:color w:val="000000"/>
          <w:spacing w:val="17"/>
          <w:sz w:val="32"/>
          <w:szCs w:val="32"/>
        </w:rPr>
        <w:t>指标2：项目收益人数，指标值：&gt;=50人，实际完成值：44人，指标完成率：88%；目前在图书馆楼正常办公人数44人；</w:t>
      </w:r>
    </w:p>
    <w:p>
      <w:pPr>
        <w:spacing w:line="600" w:lineRule="exact"/>
        <w:ind w:firstLine="640" w:firstLineChars="200"/>
        <w:rPr>
          <w:rStyle w:val="57"/>
          <w:rFonts w:ascii="Times New Roman" w:hAnsi="Times New Roman" w:cs="Times New Roman"/>
          <w:color w:val="auto"/>
        </w:rPr>
      </w:pPr>
      <w:r>
        <w:rPr>
          <w:rStyle w:val="57"/>
          <w:rFonts w:ascii="Times New Roman" w:hAnsi="Times New Roman" w:cs="Times New Roman"/>
          <w:color w:val="auto"/>
        </w:rPr>
        <w:t>满意度指标方面：</w:t>
      </w:r>
    </w:p>
    <w:p>
      <w:pPr>
        <w:spacing w:line="600" w:lineRule="exact"/>
        <w:ind w:firstLine="708" w:firstLineChars="200"/>
        <w:outlineLvl w:val="0"/>
        <w:rPr>
          <w:rFonts w:eastAsia="仿宋_GB2312"/>
          <w:color w:val="000000"/>
          <w:spacing w:val="17"/>
          <w:sz w:val="32"/>
          <w:szCs w:val="32"/>
        </w:rPr>
      </w:pPr>
      <w:r>
        <w:rPr>
          <w:rFonts w:hint="eastAsia" w:eastAsia="仿宋_GB2312"/>
          <w:color w:val="000000"/>
          <w:spacing w:val="17"/>
          <w:sz w:val="32"/>
          <w:szCs w:val="32"/>
        </w:rPr>
        <w:t>指标1：职工满意度，指标值：95%，实际完成值：95%，指标完成率：100%；</w:t>
      </w:r>
    </w:p>
    <w:tbl>
      <w:tblPr>
        <w:tblStyle w:val="25"/>
        <w:tblW w:w="0" w:type="auto"/>
        <w:tblInd w:w="93" w:type="dxa"/>
        <w:tblLayout w:type="fixed"/>
        <w:tblCellMar>
          <w:top w:w="0" w:type="dxa"/>
          <w:left w:w="108" w:type="dxa"/>
          <w:bottom w:w="0" w:type="dxa"/>
          <w:right w:w="108" w:type="dxa"/>
        </w:tblCellMar>
      </w:tblPr>
      <w:tblGrid>
        <w:gridCol w:w="509"/>
        <w:gridCol w:w="457"/>
        <w:gridCol w:w="1443"/>
        <w:gridCol w:w="2049"/>
        <w:gridCol w:w="932"/>
        <w:gridCol w:w="889"/>
        <w:gridCol w:w="577"/>
        <w:gridCol w:w="920"/>
        <w:gridCol w:w="895"/>
      </w:tblGrid>
      <w:tr>
        <w:tblPrEx>
          <w:tblCellMar>
            <w:top w:w="0" w:type="dxa"/>
            <w:left w:w="108" w:type="dxa"/>
            <w:bottom w:w="0" w:type="dxa"/>
            <w:right w:w="108" w:type="dxa"/>
          </w:tblCellMar>
        </w:tblPrEx>
        <w:trPr>
          <w:trHeight w:val="420" w:hRule="atLeast"/>
        </w:trPr>
        <w:tc>
          <w:tcPr>
            <w:tcW w:w="8671" w:type="dxa"/>
            <w:gridSpan w:val="9"/>
            <w:tcBorders>
              <w:top w:val="nil"/>
              <w:left w:val="nil"/>
              <w:bottom w:val="nil"/>
              <w:right w:val="nil"/>
            </w:tcBorders>
            <w:shd w:val="clear" w:color="auto" w:fill="auto"/>
            <w:vAlign w:val="center"/>
          </w:tcPr>
          <w:p>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项目支出绩效自评表</w:t>
            </w:r>
          </w:p>
        </w:tc>
      </w:tr>
      <w:tr>
        <w:tblPrEx>
          <w:tblCellMar>
            <w:top w:w="0" w:type="dxa"/>
            <w:left w:w="108" w:type="dxa"/>
            <w:bottom w:w="0" w:type="dxa"/>
            <w:right w:w="108" w:type="dxa"/>
          </w:tblCellMar>
        </w:tblPrEx>
        <w:trPr>
          <w:trHeight w:val="270" w:hRule="atLeast"/>
        </w:trPr>
        <w:tc>
          <w:tcPr>
            <w:tcW w:w="8671" w:type="dxa"/>
            <w:gridSpan w:val="9"/>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(2022年度)</w:t>
            </w:r>
          </w:p>
        </w:tc>
      </w:tr>
      <w:tr>
        <w:tblPrEx>
          <w:tblCellMar>
            <w:top w:w="0" w:type="dxa"/>
            <w:left w:w="108" w:type="dxa"/>
            <w:bottom w:w="0" w:type="dxa"/>
            <w:right w:w="108" w:type="dxa"/>
          </w:tblCellMar>
        </w:tblPrEx>
        <w:trPr>
          <w:trHeight w:val="270" w:hRule="atLeast"/>
        </w:trPr>
        <w:tc>
          <w:tcPr>
            <w:tcW w:w="9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770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新疆社会科学院图书馆楼消防设施维修改造项目</w:t>
            </w:r>
          </w:p>
        </w:tc>
      </w:tr>
      <w:tr>
        <w:tblPrEx>
          <w:tblCellMar>
            <w:top w:w="0" w:type="dxa"/>
            <w:left w:w="108" w:type="dxa"/>
            <w:bottom w:w="0" w:type="dxa"/>
            <w:right w:w="108" w:type="dxa"/>
          </w:tblCellMar>
        </w:tblPrEx>
        <w:trPr>
          <w:trHeight w:val="270" w:hRule="atLeast"/>
        </w:trPr>
        <w:tc>
          <w:tcPr>
            <w:tcW w:w="9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4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新疆维吾尔自治区社会科学院</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2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新疆维吾尔自治区社会科学院</w:t>
            </w:r>
          </w:p>
        </w:tc>
      </w:tr>
      <w:tr>
        <w:tblPrEx>
          <w:tblCellMar>
            <w:top w:w="0" w:type="dxa"/>
            <w:left w:w="108" w:type="dxa"/>
            <w:bottom w:w="0" w:type="dxa"/>
            <w:right w:w="108" w:type="dxa"/>
          </w:tblCellMar>
        </w:tblPrEx>
        <w:trPr>
          <w:trHeight w:val="540" w:hRule="atLeast"/>
        </w:trPr>
        <w:tc>
          <w:tcPr>
            <w:tcW w:w="9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39" w:hRule="atLeast"/>
        </w:trPr>
        <w:tc>
          <w:tcPr>
            <w:tcW w:w="9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396.32</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396.32</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kern w:val="0"/>
                <w:sz w:val="20"/>
                <w:szCs w:val="20"/>
                <w:lang w:bidi="ar"/>
              </w:rPr>
              <w:t>207.7</w:t>
            </w:r>
            <w:r>
              <w:rPr>
                <w:rFonts w:hint="eastAsia" w:ascii="宋体" w:hAnsi="宋体" w:cs="宋体"/>
                <w:color w:val="000000"/>
                <w:kern w:val="0"/>
                <w:sz w:val="20"/>
                <w:szCs w:val="20"/>
                <w:lang w:val="en-US" w:eastAsia="zh-CN" w:bidi="ar"/>
              </w:rPr>
              <w:t>3</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52.41%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5.24分</w:t>
            </w:r>
          </w:p>
        </w:tc>
      </w:tr>
      <w:tr>
        <w:tblPrEx>
          <w:tblCellMar>
            <w:top w:w="0" w:type="dxa"/>
            <w:left w:w="108" w:type="dxa"/>
            <w:bottom w:w="0" w:type="dxa"/>
            <w:right w:w="108" w:type="dxa"/>
          </w:tblCellMar>
        </w:tblPrEx>
        <w:trPr>
          <w:trHeight w:val="439" w:hRule="atLeast"/>
        </w:trPr>
        <w:tc>
          <w:tcPr>
            <w:tcW w:w="9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396.32</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396.32</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kern w:val="0"/>
                <w:sz w:val="20"/>
                <w:szCs w:val="20"/>
                <w:lang w:bidi="ar"/>
              </w:rPr>
              <w:t>207.7</w:t>
            </w:r>
            <w:r>
              <w:rPr>
                <w:rFonts w:hint="eastAsia" w:ascii="宋体" w:hAnsi="宋体" w:cs="宋体"/>
                <w:color w:val="000000"/>
                <w:kern w:val="0"/>
                <w:sz w:val="20"/>
                <w:szCs w:val="20"/>
                <w:lang w:val="en-US" w:eastAsia="zh-CN" w:bidi="ar"/>
              </w:rPr>
              <w:t>3</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39" w:hRule="atLeast"/>
        </w:trPr>
        <w:tc>
          <w:tcPr>
            <w:tcW w:w="9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39" w:hRule="atLeast"/>
        </w:trPr>
        <w:tc>
          <w:tcPr>
            <w:tcW w:w="9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其他资金</w:t>
            </w: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270" w:hRule="atLeast"/>
        </w:trPr>
        <w:tc>
          <w:tcPr>
            <w:tcW w:w="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48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32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54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881" w:type="dxa"/>
            <w:gridSpan w:val="4"/>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cs="宋体"/>
                <w:color w:val="000000"/>
                <w:sz w:val="20"/>
                <w:szCs w:val="20"/>
              </w:rPr>
            </w:pPr>
            <w:r>
              <w:rPr>
                <w:rFonts w:hint="eastAsia" w:ascii="宋体" w:hAnsi="宋体" w:cs="宋体"/>
                <w:color w:val="000000"/>
                <w:kern w:val="0"/>
                <w:sz w:val="20"/>
                <w:szCs w:val="20"/>
                <w:lang w:bidi="ar"/>
              </w:rPr>
              <w:t>完成图书馆楼消防相关设施基础改扩建、设备升级。</w:t>
            </w:r>
          </w:p>
        </w:tc>
        <w:tc>
          <w:tcPr>
            <w:tcW w:w="3281" w:type="dxa"/>
            <w:gridSpan w:val="4"/>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cs="宋体"/>
                <w:color w:val="000000"/>
                <w:sz w:val="20"/>
                <w:szCs w:val="20"/>
              </w:rPr>
            </w:pPr>
            <w:r>
              <w:rPr>
                <w:rFonts w:hint="eastAsia" w:ascii="宋体" w:hAnsi="宋体" w:cs="宋体"/>
                <w:color w:val="000000"/>
                <w:kern w:val="0"/>
                <w:sz w:val="20"/>
                <w:szCs w:val="20"/>
                <w:lang w:bidi="ar"/>
              </w:rPr>
              <w:t>图书馆楼消防系统已通过联调联试，维保公司已介入维保，待天气条件达到后，进一步完成室外土建工程。</w:t>
            </w:r>
          </w:p>
        </w:tc>
      </w:tr>
      <w:tr>
        <w:tblPrEx>
          <w:tblCellMar>
            <w:top w:w="0" w:type="dxa"/>
            <w:left w:w="108" w:type="dxa"/>
            <w:bottom w:w="0" w:type="dxa"/>
            <w:right w:w="108" w:type="dxa"/>
          </w:tblCellMar>
        </w:tblPrEx>
        <w:trPr>
          <w:trHeight w:val="312" w:hRule="atLeast"/>
        </w:trPr>
        <w:tc>
          <w:tcPr>
            <w:tcW w:w="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1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w:t>
            </w:r>
          </w:p>
        </w:tc>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5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8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31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2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5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年度绩效指标完成情况</w:t>
            </w: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图书馆楼消防设施改造工程量</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&gt;=5963平方米</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5963平方米</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消防设施改造项目数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建设消防救援窗</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&gt;=12个</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12个</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建设室内消防栓</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&gt;=28个</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29个</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项目造价书</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=1份</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1份</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项目资金支付率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&gt;=60%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52.4%</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4.37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设备验收合格率（%）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&gt;=100%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竣工验收合格率（%）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&gt;=95%</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该项目尚未进行竣工验收</w:t>
            </w: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项目按计划开始时间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2022年6月</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2022年6月</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项目按计划完成时间</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2022年12月</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该项目为基建项目，计划2023年12月前完成基建工程及竣工手续</w:t>
            </w: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项目前期费用</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&lt;=30万元</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19万元</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按照合同约定分次支付费用</w:t>
            </w: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工程建设费用</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&lt;=208万元</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188.7万元</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2.72</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图书馆楼正常运转率</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&gt;=95%</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项目收益人数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&gt;=50人</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44人</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12.95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02"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2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职工满意度</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&gt;=95%</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270" w:hRule="atLeast"/>
        </w:trPr>
        <w:tc>
          <w:tcPr>
            <w:tcW w:w="62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86.68分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bl>
    <w:p>
      <w:pPr>
        <w:pStyle w:val="20"/>
        <w:rPr>
          <w:rFonts w:eastAsia="仿宋_GB2312"/>
          <w:color w:val="000000"/>
          <w:spacing w:val="17"/>
          <w:sz w:val="32"/>
          <w:szCs w:val="32"/>
        </w:rPr>
      </w:pPr>
    </w:p>
    <w:p>
      <w:pPr>
        <w:pStyle w:val="20"/>
      </w:pPr>
    </w:p>
    <w:p>
      <w:pPr>
        <w:spacing w:line="600" w:lineRule="exact"/>
        <w:ind w:firstLine="640" w:firstLineChars="200"/>
        <w:rPr>
          <w:rStyle w:val="57"/>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6"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w:t>
      </w:r>
      <w:r>
        <w:rPr>
          <w:rFonts w:hint="eastAsia" w:eastAsia="仿宋_GB2312"/>
          <w:bCs/>
          <w:sz w:val="32"/>
          <w:szCs w:val="32"/>
        </w:rPr>
        <w:t>我院</w:t>
      </w:r>
      <w:r>
        <w:rPr>
          <w:rFonts w:hint="eastAsia" w:eastAsia="仿宋_GB2312"/>
          <w:sz w:val="32"/>
          <w:szCs w:val="32"/>
        </w:rPr>
        <w:t>成立了</w:t>
      </w:r>
      <w:r>
        <w:rPr>
          <w:rFonts w:hint="eastAsia" w:eastAsia="仿宋_GB2312"/>
          <w:bCs/>
          <w:sz w:val="32"/>
          <w:szCs w:val="32"/>
        </w:rPr>
        <w:t>图书馆楼消防改造工程项目领导小组负责统一指挥工程项目实施，并下设办公室负责具体工作。</w:t>
      </w:r>
      <w:r>
        <w:rPr>
          <w:rFonts w:eastAsia="仿宋_GB2312"/>
          <w:sz w:val="32"/>
          <w:szCs w:val="32"/>
        </w:rPr>
        <w:t>在项目实施</w:t>
      </w:r>
      <w:r>
        <w:rPr>
          <w:rFonts w:hint="eastAsia" w:eastAsia="仿宋_GB2312"/>
          <w:sz w:val="32"/>
          <w:szCs w:val="32"/>
        </w:rPr>
        <w:t>全</w:t>
      </w:r>
      <w:r>
        <w:rPr>
          <w:rFonts w:eastAsia="仿宋_GB2312"/>
          <w:sz w:val="32"/>
          <w:szCs w:val="32"/>
        </w:rPr>
        <w:t>过程</w:t>
      </w:r>
      <w:r>
        <w:rPr>
          <w:rFonts w:hint="eastAsia" w:eastAsia="仿宋_GB2312"/>
          <w:sz w:val="32"/>
          <w:szCs w:val="32"/>
        </w:rPr>
        <w:t>都要在机关纪委的监督之下进行</w:t>
      </w:r>
      <w:r>
        <w:rPr>
          <w:rFonts w:eastAsia="仿宋_GB2312"/>
          <w:sz w:val="32"/>
          <w:szCs w:val="32"/>
        </w:rPr>
        <w:t>，严格按照项目管理规范进行，在项目资金使用过程中，严格落实把关，按照项目资金使用范围做好审核工作，让项目资金落于实处。在项目完成后，做好受益群众民意调查及项目防范工作。</w:t>
      </w:r>
    </w:p>
    <w:p>
      <w:pPr>
        <w:keepNext/>
        <w:keepLines/>
        <w:numPr>
          <w:ilvl w:val="0"/>
          <w:numId w:val="6"/>
        </w:numPr>
        <w:spacing w:line="600" w:lineRule="exact"/>
        <w:ind w:firstLine="642" w:firstLineChars="200"/>
        <w:rPr>
          <w:rFonts w:eastAsia="楷体_GB2312"/>
          <w:b/>
          <w:bCs/>
          <w:sz w:val="32"/>
          <w:szCs w:val="32"/>
        </w:rPr>
      </w:pPr>
      <w:r>
        <w:rPr>
          <w:rFonts w:eastAsia="楷体_GB2312"/>
          <w:b/>
          <w:bCs/>
          <w:sz w:val="32"/>
          <w:szCs w:val="32"/>
        </w:rPr>
        <w:t>存在的问题及原因分析</w:t>
      </w:r>
    </w:p>
    <w:p>
      <w:pPr>
        <w:rPr>
          <w:rFonts w:eastAsia="仿宋_GB2312"/>
          <w:sz w:val="32"/>
          <w:szCs w:val="32"/>
        </w:rPr>
      </w:pPr>
      <w:r>
        <w:rPr>
          <w:rFonts w:hint="eastAsia" w:eastAsia="仿宋_GB2312"/>
          <w:sz w:val="32"/>
          <w:szCs w:val="32"/>
        </w:rPr>
        <w:t xml:space="preserve">    项目实施前期已根据项目建设内容设置绩效目标，但项目绩效目标级绩效指标设置不够科学全面，绩效评价时未能完全反应出项目进展情况。绩效评价手段和方法有待优化，绩效自评组织实施还不够规范等问题，在今后的工作中需要进一步加以改进和完善。</w:t>
      </w:r>
    </w:p>
    <w:p>
      <w:pPr>
        <w:numPr>
          <w:ilvl w:val="0"/>
          <w:numId w:val="7"/>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科研工作考核建立绩效工作考核制度，加大全局对全面实施预算绩效管理和绩效管理工作的学习力度，让“花钱必问效，无效必问责”的理念深入工作每个环节。</w:t>
      </w:r>
    </w:p>
    <w:p>
      <w:pPr>
        <w:numPr>
          <w:ilvl w:val="0"/>
          <w:numId w:val="7"/>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24"/>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p>
      <w:pPr>
        <w:spacing w:line="600" w:lineRule="exact"/>
        <w:rPr>
          <w:bCs/>
          <w:sz w:val="32"/>
          <w:szCs w:val="32"/>
        </w:rPr>
      </w:pPr>
      <w:r>
        <w:rPr>
          <w:bCs/>
          <w:sz w:val="32"/>
          <w:szCs w:val="32"/>
        </w:rPr>
        <w:t>附件1</w:t>
      </w:r>
    </w:p>
    <w:tbl>
      <w:tblPr>
        <w:tblStyle w:val="2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highlight w:val="none"/>
              </w:rPr>
            </w:pPr>
          </w:p>
        </w:tc>
        <w:tc>
          <w:tcPr>
            <w:tcW w:w="302"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highlight w:val="none"/>
              </w:rPr>
            </w:pPr>
          </w:p>
        </w:tc>
        <w:tc>
          <w:tcPr>
            <w:tcW w:w="302"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2"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2"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highlight w:val="none"/>
              </w:rPr>
            </w:pPr>
          </w:p>
        </w:tc>
        <w:tc>
          <w:tcPr>
            <w:tcW w:w="302" w:type="pc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highlight w:val="none"/>
              </w:rPr>
            </w:pPr>
          </w:p>
        </w:tc>
        <w:tc>
          <w:tcPr>
            <w:tcW w:w="302"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2"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4"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highlight w:val="none"/>
              </w:rPr>
            </w:pPr>
          </w:p>
        </w:tc>
        <w:tc>
          <w:tcPr>
            <w:tcW w:w="302"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1"/>
        <w:rPr>
          <w:rFonts w:ascii="Times New Roman" w:hAnsi="Times New Roman"/>
          <w:highlight w:val="none"/>
        </w:rPr>
      </w:pPr>
    </w:p>
    <w:p/>
    <w:p>
      <w:pPr>
        <w:spacing w:line="540" w:lineRule="exact"/>
        <w:ind w:firstLine="640"/>
        <w:rPr>
          <w:rStyle w:val="27"/>
          <w:rFonts w:eastAsia="黑体"/>
          <w:bCs w:val="0"/>
          <w:spacing w:val="-4"/>
          <w:sz w:val="32"/>
          <w:szCs w:val="32"/>
        </w:rPr>
      </w:pPr>
    </w:p>
    <w:p>
      <w:pPr>
        <w:spacing w:line="540" w:lineRule="exact"/>
        <w:ind w:firstLine="640"/>
        <w:rPr>
          <w:rStyle w:val="27"/>
          <w:rFonts w:eastAsia="黑体"/>
          <w:bCs w:val="0"/>
          <w:spacing w:val="-4"/>
          <w:sz w:val="32"/>
          <w:szCs w:val="32"/>
        </w:rPr>
      </w:pPr>
    </w:p>
    <w:p>
      <w:pPr>
        <w:spacing w:line="540" w:lineRule="exact"/>
        <w:ind w:firstLine="640"/>
        <w:rPr>
          <w:rStyle w:val="27"/>
          <w:rFonts w:eastAsia="黑体"/>
          <w:bCs w:val="0"/>
          <w:spacing w:val="-4"/>
          <w:sz w:val="32"/>
          <w:szCs w:val="32"/>
        </w:rPr>
      </w:pPr>
    </w:p>
    <w:p>
      <w:pPr>
        <w:spacing w:line="540" w:lineRule="exact"/>
        <w:rPr>
          <w:rStyle w:val="27"/>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r>
          <w:fldChar w:fldCharType="begin"/>
        </w:r>
        <w:r>
          <w:instrText xml:space="preserve">PAGE   \* MERGEFORMAT</w:instrText>
        </w:r>
        <w:r>
          <w:fldChar w:fldCharType="separate"/>
        </w:r>
        <w:r>
          <w:rPr>
            <w:lang w:val="zh-CN"/>
          </w:rPr>
          <w:t>8</w:t>
        </w:r>
        <w: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0E50F0"/>
    <w:rsid w:val="000E586C"/>
    <w:rsid w:val="00121AE4"/>
    <w:rsid w:val="00146AAD"/>
    <w:rsid w:val="001B3A40"/>
    <w:rsid w:val="001C0F39"/>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8F52F5"/>
    <w:rsid w:val="00922CB9"/>
    <w:rsid w:val="009E5CD9"/>
    <w:rsid w:val="00A21DAF"/>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257FE"/>
    <w:rsid w:val="00E31565"/>
    <w:rsid w:val="00E46C51"/>
    <w:rsid w:val="00E659F7"/>
    <w:rsid w:val="00E769FE"/>
    <w:rsid w:val="00EA2CBE"/>
    <w:rsid w:val="00F20494"/>
    <w:rsid w:val="00F26953"/>
    <w:rsid w:val="00F32FEE"/>
    <w:rsid w:val="00F71278"/>
    <w:rsid w:val="00FA15E9"/>
    <w:rsid w:val="00FB10BB"/>
    <w:rsid w:val="051A56F5"/>
    <w:rsid w:val="066D6EAA"/>
    <w:rsid w:val="06DC1681"/>
    <w:rsid w:val="08C662D4"/>
    <w:rsid w:val="09BD4D95"/>
    <w:rsid w:val="0B0F58D6"/>
    <w:rsid w:val="0F8D41CB"/>
    <w:rsid w:val="0FEE2F21"/>
    <w:rsid w:val="11C75270"/>
    <w:rsid w:val="12637CC3"/>
    <w:rsid w:val="12E657C5"/>
    <w:rsid w:val="133C6E2A"/>
    <w:rsid w:val="167C7687"/>
    <w:rsid w:val="168B3546"/>
    <w:rsid w:val="19765630"/>
    <w:rsid w:val="1A2374E0"/>
    <w:rsid w:val="1C317CE2"/>
    <w:rsid w:val="1DD45808"/>
    <w:rsid w:val="1DED42AC"/>
    <w:rsid w:val="20005763"/>
    <w:rsid w:val="20FB313D"/>
    <w:rsid w:val="220B4804"/>
    <w:rsid w:val="278B653F"/>
    <w:rsid w:val="27FF5668"/>
    <w:rsid w:val="282475E3"/>
    <w:rsid w:val="29E421D9"/>
    <w:rsid w:val="2C6100C1"/>
    <w:rsid w:val="2EFD9B90"/>
    <w:rsid w:val="3235157C"/>
    <w:rsid w:val="3264220D"/>
    <w:rsid w:val="32A83563"/>
    <w:rsid w:val="34A53EB7"/>
    <w:rsid w:val="38872456"/>
    <w:rsid w:val="3963178C"/>
    <w:rsid w:val="3CED0699"/>
    <w:rsid w:val="3EB02FD6"/>
    <w:rsid w:val="41CC2676"/>
    <w:rsid w:val="46B21672"/>
    <w:rsid w:val="4BFFB483"/>
    <w:rsid w:val="4F552460"/>
    <w:rsid w:val="4FCC6863"/>
    <w:rsid w:val="500A214A"/>
    <w:rsid w:val="522D604D"/>
    <w:rsid w:val="5297585E"/>
    <w:rsid w:val="52AD7D6F"/>
    <w:rsid w:val="5549519D"/>
    <w:rsid w:val="5557596B"/>
    <w:rsid w:val="5B596DFC"/>
    <w:rsid w:val="5DAE6D00"/>
    <w:rsid w:val="5DF03945"/>
    <w:rsid w:val="5EBF45D8"/>
    <w:rsid w:val="5F03526B"/>
    <w:rsid w:val="5FFA5276"/>
    <w:rsid w:val="62E515AF"/>
    <w:rsid w:val="637C2815"/>
    <w:rsid w:val="666B4FDC"/>
    <w:rsid w:val="67FF63AE"/>
    <w:rsid w:val="682144B7"/>
    <w:rsid w:val="6B503F77"/>
    <w:rsid w:val="6E311968"/>
    <w:rsid w:val="734FFA5B"/>
    <w:rsid w:val="73DDE0D6"/>
    <w:rsid w:val="7597AE24"/>
    <w:rsid w:val="77FB85CF"/>
    <w:rsid w:val="77FF6C1F"/>
    <w:rsid w:val="7A353D0B"/>
    <w:rsid w:val="7CB927D8"/>
    <w:rsid w:val="7D3A5E2F"/>
    <w:rsid w:val="7D3F6A40"/>
    <w:rsid w:val="7FD13A5A"/>
    <w:rsid w:val="7FFBF18B"/>
    <w:rsid w:val="9FCF5210"/>
    <w:rsid w:val="A1FDD422"/>
    <w:rsid w:val="BA7B23C6"/>
    <w:rsid w:val="BBFF3643"/>
    <w:rsid w:val="DB6F564E"/>
    <w:rsid w:val="DFDE6E14"/>
    <w:rsid w:val="E767B0FD"/>
    <w:rsid w:val="EB67030C"/>
    <w:rsid w:val="EFDC32F8"/>
    <w:rsid w:val="FAF75181"/>
    <w:rsid w:val="FBDFE7AA"/>
    <w:rsid w:val="FE734873"/>
    <w:rsid w:val="FEE7E77C"/>
    <w:rsid w:val="FFE9F5FF"/>
    <w:rsid w:val="FFFAF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3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3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3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3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3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3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3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6">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style>
  <w:style w:type="paragraph" w:styleId="3">
    <w:name w:val="index 5"/>
    <w:basedOn w:val="1"/>
    <w:next w:val="1"/>
    <w:qFormat/>
    <w:uiPriority w:val="0"/>
    <w:pPr>
      <w:ind w:left="1680"/>
    </w:pPr>
    <w:rPr>
      <w:rFonts w:ascii="楷体" w:eastAsia="楷体"/>
    </w:rPr>
  </w:style>
  <w:style w:type="paragraph" w:styleId="13">
    <w:name w:val="annotation text"/>
    <w:basedOn w:val="1"/>
    <w:link w:val="58"/>
    <w:semiHidden/>
    <w:unhideWhenUsed/>
    <w:qFormat/>
    <w:uiPriority w:val="99"/>
    <w:pPr>
      <w:jc w:val="left"/>
    </w:pPr>
  </w:style>
  <w:style w:type="paragraph" w:styleId="14">
    <w:name w:val="Body Text"/>
    <w:basedOn w:val="1"/>
    <w:qFormat/>
    <w:uiPriority w:val="0"/>
    <w:pPr>
      <w:spacing w:after="120"/>
    </w:pPr>
  </w:style>
  <w:style w:type="paragraph" w:styleId="15">
    <w:name w:val="Body Text Indent"/>
    <w:basedOn w:val="1"/>
    <w:qFormat/>
    <w:uiPriority w:val="0"/>
    <w:pPr>
      <w:spacing w:after="120"/>
      <w:ind w:left="420" w:leftChars="200"/>
    </w:pPr>
    <w:rPr>
      <w:rFonts w:ascii="Calibri" w:hAnsi="Calibri"/>
    </w:rPr>
  </w:style>
  <w:style w:type="paragraph" w:styleId="16">
    <w:name w:val="Balloon Text"/>
    <w:basedOn w:val="1"/>
    <w:link w:val="55"/>
    <w:semiHidden/>
    <w:unhideWhenUsed/>
    <w:qFormat/>
    <w:uiPriority w:val="99"/>
    <w:rPr>
      <w:sz w:val="18"/>
      <w:szCs w:val="18"/>
    </w:rPr>
  </w:style>
  <w:style w:type="paragraph" w:styleId="17">
    <w:name w:val="footer"/>
    <w:basedOn w:val="1"/>
    <w:link w:val="54"/>
    <w:unhideWhenUsed/>
    <w:qFormat/>
    <w:uiPriority w:val="99"/>
    <w:pPr>
      <w:tabs>
        <w:tab w:val="center" w:pos="4153"/>
        <w:tab w:val="right" w:pos="8306"/>
      </w:tabs>
      <w:snapToGrid w:val="0"/>
      <w:jc w:val="left"/>
    </w:pPr>
    <w:rPr>
      <w:rFonts w:ascii="Calibri" w:hAnsi="Calibri"/>
      <w:sz w:val="18"/>
      <w:szCs w:val="18"/>
    </w:rPr>
  </w:style>
  <w:style w:type="paragraph" w:styleId="18">
    <w:name w:val="header"/>
    <w:basedOn w:val="1"/>
    <w:link w:val="5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40"/>
    <w:qFormat/>
    <w:uiPriority w:val="11"/>
    <w:pPr>
      <w:widowControl/>
      <w:spacing w:after="60"/>
      <w:jc w:val="center"/>
      <w:outlineLvl w:val="1"/>
    </w:pPr>
    <w:rPr>
      <w:rFonts w:asciiTheme="majorHAnsi" w:hAnsiTheme="majorHAnsi" w:eastAsiaTheme="majorEastAsia"/>
      <w:kern w:val="0"/>
      <w:sz w:val="24"/>
    </w:rPr>
  </w:style>
  <w:style w:type="paragraph" w:styleId="20">
    <w:name w:val="footnote text"/>
    <w:basedOn w:val="1"/>
    <w:qFormat/>
    <w:uiPriority w:val="0"/>
    <w:pPr>
      <w:snapToGrid w:val="0"/>
      <w:jc w:val="left"/>
    </w:pPr>
    <w:rPr>
      <w:sz w:val="18"/>
      <w:szCs w:val="18"/>
    </w:rPr>
  </w:style>
  <w:style w:type="paragraph" w:styleId="21">
    <w:name w:val="Title"/>
    <w:basedOn w:val="1"/>
    <w:next w:val="1"/>
    <w:link w:val="39"/>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2">
    <w:name w:val="annotation subject"/>
    <w:basedOn w:val="13"/>
    <w:next w:val="13"/>
    <w:link w:val="59"/>
    <w:semiHidden/>
    <w:unhideWhenUsed/>
    <w:qFormat/>
    <w:uiPriority w:val="99"/>
    <w:rPr>
      <w:b/>
      <w:bCs/>
    </w:rPr>
  </w:style>
  <w:style w:type="paragraph" w:styleId="23">
    <w:name w:val="Body Text First Indent"/>
    <w:basedOn w:val="14"/>
    <w:qFormat/>
    <w:uiPriority w:val="0"/>
    <w:pPr>
      <w:spacing w:after="0"/>
      <w:ind w:firstLine="200" w:firstLineChars="200"/>
    </w:pPr>
  </w:style>
  <w:style w:type="paragraph" w:styleId="24">
    <w:name w:val="Body Text First Indent 2"/>
    <w:basedOn w:val="15"/>
    <w:qFormat/>
    <w:uiPriority w:val="0"/>
    <w:pPr>
      <w:ind w:firstLine="420" w:firstLineChars="200"/>
    </w:pPr>
  </w:style>
  <w:style w:type="character" w:styleId="27">
    <w:name w:val="Strong"/>
    <w:basedOn w:val="26"/>
    <w:qFormat/>
    <w:uiPriority w:val="0"/>
    <w:rPr>
      <w:b/>
      <w:bCs/>
    </w:rPr>
  </w:style>
  <w:style w:type="character" w:styleId="28">
    <w:name w:val="Emphasis"/>
    <w:basedOn w:val="26"/>
    <w:qFormat/>
    <w:uiPriority w:val="20"/>
    <w:rPr>
      <w:rFonts w:asciiTheme="minorHAnsi" w:hAnsiTheme="minorHAnsi"/>
      <w:b/>
      <w:i/>
      <w:iCs/>
    </w:rPr>
  </w:style>
  <w:style w:type="character" w:styleId="29">
    <w:name w:val="annotation reference"/>
    <w:basedOn w:val="26"/>
    <w:semiHidden/>
    <w:unhideWhenUsed/>
    <w:qFormat/>
    <w:uiPriority w:val="99"/>
    <w:rPr>
      <w:sz w:val="21"/>
      <w:szCs w:val="21"/>
    </w:rPr>
  </w:style>
  <w:style w:type="character" w:customStyle="1" w:styleId="30">
    <w:name w:val="标题 1 字符"/>
    <w:basedOn w:val="26"/>
    <w:link w:val="4"/>
    <w:qFormat/>
    <w:uiPriority w:val="9"/>
    <w:rPr>
      <w:rFonts w:asciiTheme="majorHAnsi" w:hAnsiTheme="majorHAnsi" w:eastAsiaTheme="majorEastAsia"/>
      <w:b/>
      <w:bCs/>
      <w:kern w:val="32"/>
      <w:sz w:val="32"/>
      <w:szCs w:val="32"/>
    </w:rPr>
  </w:style>
  <w:style w:type="character" w:customStyle="1" w:styleId="31">
    <w:name w:val="标题 2 字符"/>
    <w:basedOn w:val="26"/>
    <w:link w:val="5"/>
    <w:semiHidden/>
    <w:qFormat/>
    <w:uiPriority w:val="9"/>
    <w:rPr>
      <w:rFonts w:asciiTheme="majorHAnsi" w:hAnsiTheme="majorHAnsi" w:eastAsiaTheme="majorEastAsia"/>
      <w:b/>
      <w:bCs/>
      <w:i/>
      <w:iCs/>
      <w:sz w:val="28"/>
      <w:szCs w:val="28"/>
    </w:rPr>
  </w:style>
  <w:style w:type="character" w:customStyle="1" w:styleId="32">
    <w:name w:val="标题 3 字符"/>
    <w:basedOn w:val="26"/>
    <w:link w:val="6"/>
    <w:semiHidden/>
    <w:qFormat/>
    <w:uiPriority w:val="9"/>
    <w:rPr>
      <w:rFonts w:asciiTheme="majorHAnsi" w:hAnsiTheme="majorHAnsi" w:eastAsiaTheme="majorEastAsia"/>
      <w:b/>
      <w:bCs/>
      <w:sz w:val="26"/>
      <w:szCs w:val="26"/>
    </w:rPr>
  </w:style>
  <w:style w:type="character" w:customStyle="1" w:styleId="33">
    <w:name w:val="标题 4 字符"/>
    <w:basedOn w:val="26"/>
    <w:link w:val="7"/>
    <w:semiHidden/>
    <w:qFormat/>
    <w:uiPriority w:val="9"/>
    <w:rPr>
      <w:b/>
      <w:bCs/>
      <w:sz w:val="28"/>
      <w:szCs w:val="28"/>
    </w:rPr>
  </w:style>
  <w:style w:type="character" w:customStyle="1" w:styleId="34">
    <w:name w:val="标题 5 字符"/>
    <w:basedOn w:val="26"/>
    <w:link w:val="8"/>
    <w:semiHidden/>
    <w:qFormat/>
    <w:uiPriority w:val="9"/>
    <w:rPr>
      <w:b/>
      <w:bCs/>
      <w:i/>
      <w:iCs/>
      <w:sz w:val="26"/>
      <w:szCs w:val="26"/>
    </w:rPr>
  </w:style>
  <w:style w:type="character" w:customStyle="1" w:styleId="35">
    <w:name w:val="标题 6 字符"/>
    <w:basedOn w:val="26"/>
    <w:link w:val="9"/>
    <w:semiHidden/>
    <w:qFormat/>
    <w:uiPriority w:val="9"/>
    <w:rPr>
      <w:b/>
      <w:bCs/>
    </w:rPr>
  </w:style>
  <w:style w:type="character" w:customStyle="1" w:styleId="36">
    <w:name w:val="标题 7 字符"/>
    <w:basedOn w:val="26"/>
    <w:link w:val="10"/>
    <w:semiHidden/>
    <w:qFormat/>
    <w:uiPriority w:val="9"/>
    <w:rPr>
      <w:sz w:val="24"/>
      <w:szCs w:val="24"/>
    </w:rPr>
  </w:style>
  <w:style w:type="character" w:customStyle="1" w:styleId="37">
    <w:name w:val="标题 8 字符"/>
    <w:basedOn w:val="26"/>
    <w:link w:val="11"/>
    <w:semiHidden/>
    <w:qFormat/>
    <w:uiPriority w:val="9"/>
    <w:rPr>
      <w:i/>
      <w:iCs/>
      <w:sz w:val="24"/>
      <w:szCs w:val="24"/>
    </w:rPr>
  </w:style>
  <w:style w:type="character" w:customStyle="1" w:styleId="38">
    <w:name w:val="标题 9 字符"/>
    <w:basedOn w:val="26"/>
    <w:link w:val="12"/>
    <w:semiHidden/>
    <w:qFormat/>
    <w:uiPriority w:val="9"/>
    <w:rPr>
      <w:rFonts w:asciiTheme="majorHAnsi" w:hAnsiTheme="majorHAnsi" w:eastAsiaTheme="majorEastAsia"/>
    </w:rPr>
  </w:style>
  <w:style w:type="character" w:customStyle="1" w:styleId="39">
    <w:name w:val="标题 字符"/>
    <w:basedOn w:val="26"/>
    <w:link w:val="21"/>
    <w:qFormat/>
    <w:uiPriority w:val="10"/>
    <w:rPr>
      <w:rFonts w:asciiTheme="majorHAnsi" w:hAnsiTheme="majorHAnsi" w:eastAsiaTheme="majorEastAsia"/>
      <w:b/>
      <w:bCs/>
      <w:kern w:val="28"/>
      <w:sz w:val="32"/>
      <w:szCs w:val="32"/>
    </w:rPr>
  </w:style>
  <w:style w:type="character" w:customStyle="1" w:styleId="40">
    <w:name w:val="副标题 字符"/>
    <w:basedOn w:val="26"/>
    <w:link w:val="19"/>
    <w:qFormat/>
    <w:uiPriority w:val="11"/>
    <w:rPr>
      <w:rFonts w:asciiTheme="majorHAnsi" w:hAnsiTheme="majorHAnsi" w:eastAsiaTheme="majorEastAsia"/>
      <w:sz w:val="24"/>
      <w:szCs w:val="24"/>
    </w:rPr>
  </w:style>
  <w:style w:type="paragraph" w:styleId="4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4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3">
    <w:name w:val="Quote"/>
    <w:basedOn w:val="1"/>
    <w:next w:val="1"/>
    <w:link w:val="44"/>
    <w:qFormat/>
    <w:uiPriority w:val="29"/>
    <w:pPr>
      <w:widowControl/>
      <w:jc w:val="left"/>
    </w:pPr>
    <w:rPr>
      <w:rFonts w:asciiTheme="minorHAnsi" w:hAnsiTheme="minorHAnsi" w:eastAsiaTheme="minorEastAsia"/>
      <w:i/>
      <w:kern w:val="0"/>
      <w:sz w:val="24"/>
    </w:rPr>
  </w:style>
  <w:style w:type="character" w:customStyle="1" w:styleId="44">
    <w:name w:val="引用 字符"/>
    <w:basedOn w:val="26"/>
    <w:link w:val="43"/>
    <w:qFormat/>
    <w:uiPriority w:val="29"/>
    <w:rPr>
      <w:i/>
      <w:sz w:val="24"/>
      <w:szCs w:val="24"/>
    </w:rPr>
  </w:style>
  <w:style w:type="paragraph" w:styleId="45">
    <w:name w:val="Intense Quote"/>
    <w:basedOn w:val="1"/>
    <w:next w:val="1"/>
    <w:link w:val="46"/>
    <w:qFormat/>
    <w:uiPriority w:val="30"/>
    <w:pPr>
      <w:widowControl/>
      <w:ind w:left="720" w:right="720"/>
      <w:jc w:val="left"/>
    </w:pPr>
    <w:rPr>
      <w:rFonts w:asciiTheme="minorHAnsi" w:hAnsiTheme="minorHAnsi" w:eastAsiaTheme="minorEastAsia"/>
      <w:b/>
      <w:i/>
      <w:kern w:val="0"/>
      <w:sz w:val="24"/>
      <w:szCs w:val="22"/>
    </w:rPr>
  </w:style>
  <w:style w:type="character" w:customStyle="1" w:styleId="46">
    <w:name w:val="明显引用 字符"/>
    <w:basedOn w:val="26"/>
    <w:link w:val="45"/>
    <w:qFormat/>
    <w:uiPriority w:val="30"/>
    <w:rPr>
      <w:b/>
      <w:i/>
      <w:sz w:val="24"/>
    </w:rPr>
  </w:style>
  <w:style w:type="character" w:customStyle="1" w:styleId="4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8">
    <w:name w:val="明显强调1"/>
    <w:basedOn w:val="26"/>
    <w:qFormat/>
    <w:uiPriority w:val="21"/>
    <w:rPr>
      <w:b/>
      <w:i/>
      <w:sz w:val="24"/>
      <w:szCs w:val="24"/>
      <w:u w:val="single"/>
    </w:rPr>
  </w:style>
  <w:style w:type="character" w:customStyle="1" w:styleId="49">
    <w:name w:val="不明显参考1"/>
    <w:basedOn w:val="26"/>
    <w:qFormat/>
    <w:uiPriority w:val="31"/>
    <w:rPr>
      <w:sz w:val="24"/>
      <w:szCs w:val="24"/>
      <w:u w:val="single"/>
    </w:rPr>
  </w:style>
  <w:style w:type="character" w:customStyle="1" w:styleId="50">
    <w:name w:val="明显参考1"/>
    <w:basedOn w:val="26"/>
    <w:qFormat/>
    <w:uiPriority w:val="32"/>
    <w:rPr>
      <w:b/>
      <w:sz w:val="24"/>
      <w:u w:val="single"/>
    </w:rPr>
  </w:style>
  <w:style w:type="character" w:customStyle="1" w:styleId="51">
    <w:name w:val="书籍标题1"/>
    <w:basedOn w:val="26"/>
    <w:qFormat/>
    <w:uiPriority w:val="33"/>
    <w:rPr>
      <w:rFonts w:asciiTheme="majorHAnsi" w:hAnsiTheme="majorHAnsi" w:eastAsiaTheme="majorEastAsia"/>
      <w:b/>
      <w:i/>
      <w:sz w:val="24"/>
      <w:szCs w:val="24"/>
    </w:rPr>
  </w:style>
  <w:style w:type="paragraph" w:customStyle="1" w:styleId="52">
    <w:name w:val="TOC 标题1"/>
    <w:basedOn w:val="4"/>
    <w:next w:val="1"/>
    <w:semiHidden/>
    <w:unhideWhenUsed/>
    <w:qFormat/>
    <w:uiPriority w:val="39"/>
    <w:pPr>
      <w:outlineLvl w:val="9"/>
    </w:pPr>
    <w:rPr>
      <w:lang w:eastAsia="en-US" w:bidi="en-US"/>
    </w:rPr>
  </w:style>
  <w:style w:type="character" w:customStyle="1" w:styleId="53">
    <w:name w:val="页眉 字符"/>
    <w:basedOn w:val="26"/>
    <w:link w:val="18"/>
    <w:qFormat/>
    <w:uiPriority w:val="99"/>
    <w:rPr>
      <w:rFonts w:ascii="Calibri" w:hAnsi="Calibri" w:eastAsia="宋体"/>
      <w:kern w:val="2"/>
      <w:sz w:val="18"/>
      <w:szCs w:val="18"/>
    </w:rPr>
  </w:style>
  <w:style w:type="character" w:customStyle="1" w:styleId="54">
    <w:name w:val="页脚 字符"/>
    <w:basedOn w:val="26"/>
    <w:link w:val="17"/>
    <w:qFormat/>
    <w:uiPriority w:val="99"/>
    <w:rPr>
      <w:rFonts w:ascii="Calibri" w:hAnsi="Calibri" w:eastAsia="宋体"/>
      <w:kern w:val="2"/>
      <w:sz w:val="18"/>
      <w:szCs w:val="18"/>
    </w:rPr>
  </w:style>
  <w:style w:type="character" w:customStyle="1" w:styleId="55">
    <w:name w:val="批注框文本 字符"/>
    <w:basedOn w:val="26"/>
    <w:link w:val="16"/>
    <w:semiHidden/>
    <w:qFormat/>
    <w:uiPriority w:val="99"/>
    <w:rPr>
      <w:rFonts w:ascii="Times New Roman" w:hAnsi="Times New Roman" w:eastAsia="宋体"/>
      <w:kern w:val="2"/>
      <w:sz w:val="18"/>
      <w:szCs w:val="18"/>
    </w:rPr>
  </w:style>
  <w:style w:type="paragraph" w:customStyle="1" w:styleId="56">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7">
    <w:name w:val="fontstyle01"/>
    <w:qFormat/>
    <w:uiPriority w:val="0"/>
    <w:rPr>
      <w:rFonts w:ascii="仿宋_GB2312" w:hAnsi="仿宋_GB2312" w:eastAsia="仿宋_GB2312" w:cs="仿宋_GB2312"/>
      <w:color w:val="000000"/>
      <w:sz w:val="32"/>
      <w:szCs w:val="32"/>
    </w:rPr>
  </w:style>
  <w:style w:type="character" w:customStyle="1" w:styleId="58">
    <w:name w:val="批注文字 字符"/>
    <w:basedOn w:val="26"/>
    <w:link w:val="13"/>
    <w:semiHidden/>
    <w:qFormat/>
    <w:uiPriority w:val="99"/>
    <w:rPr>
      <w:kern w:val="2"/>
      <w:sz w:val="21"/>
      <w:szCs w:val="24"/>
    </w:rPr>
  </w:style>
  <w:style w:type="character" w:customStyle="1" w:styleId="59">
    <w:name w:val="批注主题 字符"/>
    <w:basedOn w:val="58"/>
    <w:link w:val="22"/>
    <w:semiHidden/>
    <w:qFormat/>
    <w:uiPriority w:val="99"/>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1432</Words>
  <Characters>8163</Characters>
  <Lines>68</Lines>
  <Paragraphs>19</Paragraphs>
  <TotalTime>93</TotalTime>
  <ScaleCrop>false</ScaleCrop>
  <LinksUpToDate>false</LinksUpToDate>
  <CharactersWithSpaces>9576</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2023-04-05T03:07:00Z</dcterms:created>
  <dc:creator>赵 恺（预算处）</dc:creator>
  <cp:lastModifiedBy>sky</cp:lastModifiedBy>
  <cp:lastPrinted>2023-08-29T00:02:00Z</cp:lastPrinted>
  <dcterms:modified xsi:type="dcterms:W3CDTF">2023-12-18T13:45:54Z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013360FACCE1418B80C968824022A9DF</vt:lpwstr>
  </property>
  <property fmtid="{D5CDD505-2E9C-101B-9397-08002B2CF9AE}" pid="4" name="KSOSaveFontToCloudKey">
    <vt:lpwstr>0_btnclosed</vt:lpwstr>
  </property>
</Properties>
</file>