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w:t>
      </w:r>
      <w:r>
        <w:rPr>
          <w:rStyle w:val="19"/>
          <w:rFonts w:hint="eastAsia" w:ascii="楷体" w:hAnsi="楷体" w:eastAsia="楷体"/>
          <w:spacing w:val="-4"/>
          <w:sz w:val="32"/>
          <w:szCs w:val="32"/>
          <w:lang w:val="en-US" w:eastAsia="zh-CN"/>
        </w:rPr>
        <w:t>2</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自治区、乌鲁木齐市联合接访中心运行经费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新疆维吾尔自治区信访局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新疆维吾尔自治区信访局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w:t>
      </w:r>
      <w:r>
        <w:rPr>
          <w:rStyle w:val="19"/>
          <w:rFonts w:hint="eastAsia" w:ascii="楷体" w:hAnsi="楷体" w:eastAsia="楷体"/>
          <w:spacing w:val="-4"/>
          <w:sz w:val="32"/>
          <w:szCs w:val="32"/>
          <w:lang w:val="en-US" w:eastAsia="zh-CN"/>
        </w:rPr>
        <w:t>3</w:t>
      </w:r>
      <w:r>
        <w:rPr>
          <w:rStyle w:val="19"/>
          <w:rFonts w:hint="eastAsia" w:ascii="楷体" w:hAnsi="楷体" w:eastAsia="楷体"/>
          <w:spacing w:val="-4"/>
          <w:sz w:val="32"/>
          <w:szCs w:val="32"/>
        </w:rPr>
        <w:t>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hint="eastAsia"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w:t>
      </w:r>
    </w:p>
    <w:p>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val="en-US" w:eastAsia="zh-CN"/>
        </w:rPr>
        <w:t>1.</w:t>
      </w:r>
      <w:r>
        <w:rPr>
          <w:rStyle w:val="19"/>
          <w:rFonts w:hint="eastAsia" w:ascii="仿宋_GB2312" w:hAnsi="仿宋_GB2312" w:eastAsia="仿宋_GB2312" w:cs="仿宋_GB2312"/>
          <w:b/>
          <w:bCs/>
          <w:spacing w:val="-4"/>
          <w:sz w:val="32"/>
          <w:szCs w:val="32"/>
        </w:rPr>
        <w:t>项目背景：</w:t>
      </w:r>
      <w:r>
        <w:rPr>
          <w:rStyle w:val="19"/>
          <w:rFonts w:hint="eastAsia" w:ascii="仿宋_GB2312" w:hAnsi="仿宋_GB2312" w:eastAsia="仿宋_GB2312" w:cs="仿宋_GB2312"/>
          <w:b w:val="0"/>
          <w:bCs w:val="0"/>
          <w:spacing w:val="-4"/>
          <w:sz w:val="32"/>
          <w:szCs w:val="32"/>
        </w:rPr>
        <w:t>为贯彻落实中央关于信访工作决策部署，根据（信联办呈[2015]39号）要求，结合自治区信访工作实际，健全完善联合接访模式，按照方便群众、布局合理、功能完善、环境友好的要求，组织职能部门入驻并制定信访问题责任清单，打造联合接访、联合调处新模式。全面开展联合接防，实现信访工作“一站式接访，一条龙办理，一揽子解决”，力争把群众反映诉求解决，使信访部门真正成为解决信访问题的“终点站”和化解矛盾的“稳压阀”。项目主要内容：发挥直接联系群众的工作优势，推动工作重心下移、关口前移，及时发现调处信访苗头隐患，坚持和发展新时代“枫桥经验”，健全常态化、网格化、信息化信访隐患和矛盾纠纷排查化解机制，做到“小事不出村、大事不出镇、矛盾不上交”。通过广泛的工作触角听取民声、收集民意，利用信访大数据对群众工作进行动态分析，为各级党委政府完善政策、改进工作提供第一手决策参考。坚持“以群众诉求为工作中心”的理念，把群众的事放在心上，以解决问题实际成效践行群众工作路线、赢得群众肯定和支持。严格落实“属地管理、分级负责、分类处理，谁主管、谁负责”的原则，引导督促入驻部门制定信访问题责任清单，由原来将信访问题向部门“转办”“交办”，变为由入驻部门按照法定职责直接办理，大大提高了信访事项解决的效率和质量。变“中转站”为“终点站”，实现群众工作机制“全融合”。此外，建立各级领导干部接访约访、包案督访机制，定期到群众工作中心听取群众意见建议，化解信访案件，帮助解决实际困难，受到广大群众好评。</w:t>
      </w:r>
    </w:p>
    <w:p>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val="en-US" w:eastAsia="zh-CN"/>
        </w:rPr>
        <w:t>2.</w:t>
      </w:r>
      <w:r>
        <w:rPr>
          <w:rStyle w:val="19"/>
          <w:rFonts w:hint="eastAsia" w:ascii="仿宋_GB2312" w:hAnsi="仿宋_GB2312" w:eastAsia="仿宋_GB2312" w:cs="仿宋_GB2312"/>
          <w:b/>
          <w:bCs/>
          <w:spacing w:val="-4"/>
          <w:sz w:val="32"/>
          <w:szCs w:val="32"/>
        </w:rPr>
        <w:t>实施情况：</w:t>
      </w:r>
      <w:r>
        <w:rPr>
          <w:rStyle w:val="19"/>
          <w:rFonts w:hint="eastAsia" w:ascii="仿宋_GB2312" w:hAnsi="仿宋_GB2312" w:eastAsia="仿宋_GB2312" w:cs="仿宋_GB2312"/>
          <w:b w:val="0"/>
          <w:bCs w:val="0"/>
          <w:spacing w:val="-4"/>
          <w:sz w:val="32"/>
          <w:szCs w:val="32"/>
        </w:rPr>
        <w:t>202</w:t>
      </w: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年，自治区、乌鲁木齐市联合接访中心运行经费40万元。主要用于自治区联合接访中心日常运行维护等相关支出。按照《自治区信访局财务管理办法》及局党组会议制度执行，严格落实“三重一大”事项管理规定，涉及经费使用的，均按程序报请驻政法委纪检组派员列席会议，集体讨论，逐一表态通过。切实做到“花钱必问效、无效必问责”。在实施过程中，按照“有多少钱、办多少事”的原则管理使用项目资金，严格控制审批、支付流程，不断健全预算管理体系，提升预算管理水平，确保各项工作的正常开展和运行。</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cs="Times New Roman"/>
          <w:b w:val="0"/>
          <w:spacing w:val="-4"/>
          <w:kern w:val="2"/>
          <w:sz w:val="32"/>
          <w:szCs w:val="32"/>
          <w:lang w:val="en-US" w:eastAsia="zh-CN" w:bidi="ar-SA"/>
        </w:rPr>
      </w:pPr>
      <w:r>
        <w:rPr>
          <w:rStyle w:val="19"/>
          <w:rFonts w:hint="eastAsia" w:ascii="仿宋_GB2312" w:hAnsi="楷体" w:eastAsia="仿宋_GB2312" w:cs="Times New Roman"/>
          <w:b w:val="0"/>
          <w:spacing w:val="-4"/>
          <w:kern w:val="2"/>
          <w:sz w:val="32"/>
          <w:szCs w:val="32"/>
          <w:lang w:val="en-US" w:eastAsia="zh-CN" w:bidi="ar-SA"/>
        </w:rPr>
        <w:t>该项目资金投入40万元，资金来源为一般公共预算拨款；受疫情影响，部分项目未能按期实施，全年项目支出38.96万元，预算完成率97.4%。</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贯彻落实中央关于信访工作决策部署，健全完善联合接访模式，按照方便群众、布局合理、功能完善、环境友好的要求，全面开展联合接防，实现信访工作“一站式接访，一条龙办理，一揽子解决”，力争把群众反映诉求解决，使信访部门真正成为解决信访问题的“终点站”和化解矛盾的“稳压阀”。</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1、绩效评价目的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通过绩效评价，客观地评判项目的管理绩效，了解和掌握</w:t>
      </w:r>
      <w:r>
        <w:rPr>
          <w:rFonts w:hint="eastAsia" w:ascii="仿宋_GB2312" w:hAnsi="仿宋" w:eastAsia="仿宋_GB2312"/>
          <w:sz w:val="32"/>
          <w:szCs w:val="32"/>
          <w:lang w:eastAsia="zh-CN"/>
        </w:rPr>
        <w:t>自治区信访业务智能辅助系统建设一期项目</w:t>
      </w:r>
      <w:r>
        <w:rPr>
          <w:rStyle w:val="19"/>
          <w:rFonts w:hint="eastAsia" w:ascii="仿宋_GB2312" w:hAnsi="楷体" w:eastAsia="仿宋_GB2312"/>
          <w:b w:val="0"/>
          <w:spacing w:val="-4"/>
          <w:sz w:val="32"/>
          <w:szCs w:val="32"/>
        </w:rPr>
        <w:t>资金的具体情况，评价项目资金安排的科学性、合理性、规范性和资金的使用成效，及时总结项目管理经验，完善项目管理办法，提高项目管理水平和资金使用效益。根据绩效评价中发现的问题，认真加以整改，及时调整和完善单位的工作计划和绩效目标并加强项目管理，提高管理水平，同时为项目后续资金投入、分配和管理提供决策依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2、绩效评价对象</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绩效评价的对象主要是</w:t>
      </w:r>
      <w:r>
        <w:rPr>
          <w:rStyle w:val="19"/>
          <w:rFonts w:hint="eastAsia" w:ascii="仿宋_GB2312" w:hAnsi="楷体" w:eastAsia="仿宋_GB2312"/>
          <w:b w:val="0"/>
          <w:spacing w:val="-4"/>
          <w:sz w:val="32"/>
          <w:szCs w:val="32"/>
          <w:lang w:val="en-US" w:eastAsia="zh-CN"/>
        </w:rPr>
        <w:t>上访群众</w:t>
      </w:r>
      <w:r>
        <w:rPr>
          <w:rStyle w:val="19"/>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3、绩效评价范围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本次评价从项目决策（包括绩效目标、决策过程）、项目管理（包括项目资金、项目实施）、项目产出（包括项目产出数量、产出质量、产出时效和产出成本）项目效益四个维度进行评价，评价核心为专项资金的支出完成情况和效果，包括用户数量、 矛盾化解率、隐患消除情况</w:t>
      </w:r>
      <w:r>
        <w:rPr>
          <w:rStyle w:val="19"/>
          <w:rFonts w:hint="eastAsia" w:ascii="仿宋_GB2312" w:hAnsi="楷体" w:eastAsia="仿宋_GB2312"/>
          <w:b w:val="0"/>
          <w:spacing w:val="-4"/>
          <w:sz w:val="32"/>
          <w:szCs w:val="32"/>
          <w:lang w:eastAsia="zh-CN"/>
        </w:rPr>
        <w:t>、</w:t>
      </w:r>
      <w:r>
        <w:rPr>
          <w:rStyle w:val="19"/>
          <w:rFonts w:hint="eastAsia" w:ascii="仿宋_GB2312" w:hAnsi="楷体" w:eastAsia="仿宋_GB2312"/>
          <w:b w:val="0"/>
          <w:spacing w:val="-4"/>
          <w:sz w:val="32"/>
          <w:szCs w:val="32"/>
        </w:rPr>
        <w:t>业务水平提升率</w:t>
      </w:r>
      <w:r>
        <w:rPr>
          <w:rStyle w:val="19"/>
          <w:rFonts w:hint="eastAsia" w:ascii="仿宋_GB2312" w:hAnsi="楷体" w:eastAsia="仿宋_GB2312"/>
          <w:b w:val="0"/>
          <w:spacing w:val="-4"/>
          <w:sz w:val="32"/>
          <w:szCs w:val="32"/>
          <w:lang w:eastAsia="zh-CN"/>
        </w:rPr>
        <w:t>和信访干部满意度</w:t>
      </w:r>
      <w:r>
        <w:rPr>
          <w:rStyle w:val="19"/>
          <w:rFonts w:hint="eastAsia" w:ascii="仿宋_GB2312" w:hAnsi="楷体" w:eastAsia="仿宋_GB2312"/>
          <w:b w:val="0"/>
          <w:spacing w:val="-4"/>
          <w:sz w:val="32"/>
          <w:szCs w:val="32"/>
        </w:rPr>
        <w:t>。</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1</w:t>
      </w:r>
      <w:r>
        <w:rPr>
          <w:rStyle w:val="19"/>
          <w:rFonts w:hint="eastAsia" w:ascii="仿宋_GB2312" w:hAnsi="楷体" w:eastAsia="仿宋_GB2312"/>
          <w:b w:val="0"/>
          <w:spacing w:val="-4"/>
          <w:sz w:val="32"/>
          <w:szCs w:val="32"/>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2</w:t>
      </w:r>
      <w:r>
        <w:rPr>
          <w:rStyle w:val="19"/>
          <w:rFonts w:hint="eastAsia" w:ascii="仿宋_GB2312" w:hAnsi="楷体" w:eastAsia="仿宋_GB2312"/>
          <w:b w:val="0"/>
          <w:spacing w:val="-4"/>
          <w:sz w:val="32"/>
          <w:szCs w:val="32"/>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3</w:t>
      </w:r>
      <w:r>
        <w:rPr>
          <w:rStyle w:val="19"/>
          <w:rFonts w:hint="eastAsia" w:ascii="仿宋_GB2312" w:hAnsi="楷体" w:eastAsia="仿宋_GB2312"/>
          <w:b w:val="0"/>
          <w:spacing w:val="-4"/>
          <w:sz w:val="32"/>
          <w:szCs w:val="32"/>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4</w:t>
      </w:r>
      <w:r>
        <w:rPr>
          <w:rStyle w:val="19"/>
          <w:rFonts w:hint="eastAsia" w:ascii="仿宋_GB2312" w:hAnsi="楷体" w:eastAsia="仿宋_GB2312"/>
          <w:b w:val="0"/>
          <w:spacing w:val="-4"/>
          <w:sz w:val="32"/>
          <w:szCs w:val="32"/>
        </w:rPr>
        <w:t>）公开透明。绩效评价结果应依法依规公开，并自觉接受社会监督。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2、评价指标体系</w:t>
      </w:r>
    </w:p>
    <w:tbl>
      <w:tblPr>
        <w:tblStyle w:val="17"/>
        <w:tblW w:w="8488" w:type="dxa"/>
        <w:tblInd w:w="96" w:type="dxa"/>
        <w:tblLayout w:type="fixed"/>
        <w:tblCellMar>
          <w:top w:w="0" w:type="dxa"/>
          <w:left w:w="108" w:type="dxa"/>
          <w:bottom w:w="0" w:type="dxa"/>
          <w:right w:w="108" w:type="dxa"/>
        </w:tblCellMar>
      </w:tblPr>
      <w:tblGrid>
        <w:gridCol w:w="947"/>
        <w:gridCol w:w="1016"/>
        <w:gridCol w:w="964"/>
        <w:gridCol w:w="1222"/>
        <w:gridCol w:w="835"/>
        <w:gridCol w:w="2057"/>
        <w:gridCol w:w="1447"/>
      </w:tblGrid>
      <w:tr>
        <w:tblPrEx>
          <w:tblCellMar>
            <w:top w:w="0" w:type="dxa"/>
            <w:left w:w="108" w:type="dxa"/>
            <w:bottom w:w="0" w:type="dxa"/>
            <w:right w:w="108" w:type="dxa"/>
          </w:tblCellMar>
        </w:tblPrEx>
        <w:trPr>
          <w:trHeight w:val="402" w:hRule="atLeast"/>
        </w:trPr>
        <w:tc>
          <w:tcPr>
            <w:tcW w:w="8488" w:type="dxa"/>
            <w:gridSpan w:val="7"/>
            <w:tcBorders>
              <w:top w:val="single" w:color="auto" w:sz="4" w:space="0"/>
              <w:left w:val="single" w:color="auto" w:sz="4" w:space="0"/>
              <w:bottom w:val="nil"/>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60" w:lineRule="exact"/>
              <w:jc w:val="center"/>
              <w:textAlignment w:val="bottom"/>
              <w:rPr>
                <w:rFonts w:ascii="宋体" w:hAnsi="宋体" w:cs="宋体"/>
                <w:b/>
                <w:bCs/>
                <w:color w:val="000000"/>
                <w:sz w:val="32"/>
                <w:szCs w:val="32"/>
              </w:rPr>
            </w:pPr>
            <w:r>
              <w:rPr>
                <w:rStyle w:val="47"/>
                <w:rFonts w:hint="default"/>
              </w:rPr>
              <w:t xml:space="preserve">项  目  支  出  绩  效  </w:t>
            </w:r>
            <w:r>
              <w:rPr>
                <w:rStyle w:val="47"/>
              </w:rPr>
              <w:t>目 标 表</w:t>
            </w:r>
          </w:p>
        </w:tc>
      </w:tr>
      <w:tr>
        <w:tblPrEx>
          <w:tblCellMar>
            <w:top w:w="0" w:type="dxa"/>
            <w:left w:w="108" w:type="dxa"/>
            <w:bottom w:w="0" w:type="dxa"/>
            <w:right w:w="108" w:type="dxa"/>
          </w:tblCellMar>
        </w:tblPrEx>
        <w:trPr>
          <w:trHeight w:val="705" w:hRule="atLeast"/>
        </w:trPr>
        <w:tc>
          <w:tcPr>
            <w:tcW w:w="94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预算单位</w:t>
            </w:r>
          </w:p>
        </w:tc>
        <w:tc>
          <w:tcPr>
            <w:tcW w:w="3202"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eastAsia="zh-CN"/>
              </w:rPr>
              <w:t>自治区信访局</w:t>
            </w:r>
          </w:p>
        </w:tc>
        <w:tc>
          <w:tcPr>
            <w:tcW w:w="8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名称</w:t>
            </w:r>
          </w:p>
        </w:tc>
        <w:tc>
          <w:tcPr>
            <w:tcW w:w="350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rPr>
              <w:t>自治区信访业务项目</w:t>
            </w:r>
            <w:r>
              <w:rPr>
                <w:rFonts w:hint="eastAsia" w:ascii="宋体" w:hAnsi="宋体" w:cs="宋体"/>
                <w:color w:val="000000"/>
                <w:kern w:val="0"/>
                <w:sz w:val="18"/>
                <w:szCs w:val="18"/>
                <w:lang w:eastAsia="zh-CN"/>
              </w:rPr>
              <w:t>经费</w:t>
            </w:r>
          </w:p>
        </w:tc>
      </w:tr>
      <w:tr>
        <w:tblPrEx>
          <w:tblCellMar>
            <w:top w:w="0" w:type="dxa"/>
            <w:left w:w="108" w:type="dxa"/>
            <w:bottom w:w="0" w:type="dxa"/>
            <w:right w:w="108" w:type="dxa"/>
          </w:tblCellMar>
        </w:tblPrEx>
        <w:trPr>
          <w:trHeight w:val="402"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项目资金（万元）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年度资</w:t>
            </w:r>
          </w:p>
          <w:p>
            <w:pPr>
              <w:keepNext w:val="0"/>
              <w:keepLines w:val="0"/>
              <w:pageBreakBefore w:val="0"/>
              <w:widowControl/>
              <w:kinsoku/>
              <w:wordWrap/>
              <w:overflowPunct/>
              <w:topLinePunct w:val="0"/>
              <w:autoSpaceDE/>
              <w:autoSpaceDN/>
              <w:bidi w:val="0"/>
              <w:adjustRightInd/>
              <w:snapToGrid/>
              <w:spacing w:line="560" w:lineRule="exact"/>
              <w:jc w:val="both"/>
              <w:textAlignment w:val="center"/>
              <w:rPr>
                <w:rFonts w:ascii="宋体" w:hAnsi="宋体" w:cs="宋体"/>
                <w:color w:val="000000"/>
                <w:sz w:val="18"/>
                <w:szCs w:val="18"/>
              </w:rPr>
            </w:pPr>
            <w:r>
              <w:rPr>
                <w:rFonts w:hint="eastAsia" w:ascii="宋体" w:hAnsi="宋体" w:cs="宋体"/>
                <w:color w:val="000000"/>
                <w:kern w:val="0"/>
                <w:sz w:val="18"/>
                <w:szCs w:val="18"/>
              </w:rPr>
              <w:t>金总额：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rPr>
              <w:t>440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其中：财政拨款</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rPr>
              <w:t>440</w:t>
            </w: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其他资金</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0</w:t>
            </w:r>
          </w:p>
        </w:tc>
      </w:tr>
      <w:tr>
        <w:tblPrEx>
          <w:tblCellMar>
            <w:top w:w="0" w:type="dxa"/>
            <w:left w:w="108" w:type="dxa"/>
            <w:bottom w:w="0" w:type="dxa"/>
            <w:right w:w="108" w:type="dxa"/>
          </w:tblCellMar>
        </w:tblPrEx>
        <w:trPr>
          <w:trHeight w:val="855"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项目总体目标</w:t>
            </w:r>
          </w:p>
        </w:tc>
        <w:tc>
          <w:tcPr>
            <w:tcW w:w="7541" w:type="dxa"/>
            <w:gridSpan w:val="6"/>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napToGrid/>
              <w:spacing w:line="560" w:lineRule="exact"/>
              <w:jc w:val="left"/>
              <w:textAlignment w:val="top"/>
              <w:rPr>
                <w:rFonts w:ascii="宋体" w:hAnsi="宋体" w:cs="宋体"/>
                <w:color w:val="000000"/>
                <w:sz w:val="18"/>
                <w:szCs w:val="18"/>
              </w:rPr>
            </w:pPr>
            <w:r>
              <w:rPr>
                <w:rFonts w:hint="eastAsia" w:ascii="宋体" w:hAnsi="宋体" w:cs="宋体"/>
                <w:color w:val="000000"/>
                <w:kern w:val="0"/>
                <w:sz w:val="18"/>
                <w:szCs w:val="18"/>
              </w:rPr>
              <w:t>自治区信访局坚持以习近平新时代中国特色社会主义思想为指导，深入贯彻落实习近平总书记关于加强和改进人民信访工作的重要思想，坚持以人民为中心，始终把“了解民情、集中民智、维护民利、凝聚民心”作为信访工作的出发点和落脚点，在服务保障社会稳定、人民安宁方面取得了明显成效。全区持续推进信访制度改革，阳光信访，责任信访、法治信访成效显著，坚持和发展新时代“枫桥经验”，加大依法及时就地解决群众合理诉求力度，深入开展信访矛盾化解攻坚，解决了一大批事关群众切身利益的信访问题。时刻牢记为民解难、为党分忧的政治责任，坚守人民情怀，坚持底线思维，履行服务党和国家大局、维护群众合法权益、化解信访突出问题、促进自治区社会和谐稳定的职能，持续推进信访工作法治化、信息化、科学化，畅通和规范群众诉求表达、利益协调和权益保障通道。</w:t>
            </w:r>
          </w:p>
        </w:tc>
      </w:tr>
      <w:tr>
        <w:tblPrEx>
          <w:tblCellMar>
            <w:top w:w="0" w:type="dxa"/>
            <w:left w:w="108" w:type="dxa"/>
            <w:bottom w:w="0" w:type="dxa"/>
            <w:right w:w="108" w:type="dxa"/>
          </w:tblCellMar>
        </w:tblPrEx>
        <w:trPr>
          <w:trHeight w:val="750"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一级指标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二级指标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三级指标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指标值（包含数字及文字描述）</w:t>
            </w:r>
          </w:p>
        </w:tc>
      </w:tr>
      <w:tr>
        <w:tblPrEx>
          <w:tblCellMar>
            <w:top w:w="0" w:type="dxa"/>
            <w:left w:w="108" w:type="dxa"/>
            <w:bottom w:w="0" w:type="dxa"/>
            <w:right w:w="108" w:type="dxa"/>
          </w:tblCellMar>
        </w:tblPrEx>
        <w:trPr>
          <w:trHeight w:val="402" w:hRule="atLeast"/>
        </w:trPr>
        <w:tc>
          <w:tcPr>
            <w:tcW w:w="94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b w:val="0"/>
                <w:bCs w:val="0"/>
                <w:color w:val="000000"/>
                <w:sz w:val="18"/>
                <w:szCs w:val="18"/>
              </w:rPr>
            </w:pPr>
            <w:r>
              <w:rPr>
                <w:rFonts w:hint="eastAsia" w:ascii="宋体" w:hAnsi="宋体" w:cs="宋体"/>
                <w:b w:val="0"/>
                <w:bCs w:val="0"/>
                <w:color w:val="000000"/>
                <w:kern w:val="0"/>
                <w:sz w:val="18"/>
                <w:szCs w:val="18"/>
              </w:rPr>
              <w:t>产出指标</w:t>
            </w:r>
          </w:p>
        </w:tc>
        <w:tc>
          <w:tcPr>
            <w:tcW w:w="101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房屋建筑物缴纳水、电面积</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&gt;=2315平方米</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保障办公人员数量</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&lt;=60人</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接访中心环境整洁率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&gt;=95%</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时效指标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资公用经费支付及时性</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&gt;=95%</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人均运转经费数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&lt;=0.8万元</w:t>
            </w:r>
          </w:p>
        </w:tc>
      </w:tr>
      <w:tr>
        <w:tblPrEx>
          <w:tblCellMar>
            <w:top w:w="0" w:type="dxa"/>
            <w:left w:w="108" w:type="dxa"/>
            <w:bottom w:w="0" w:type="dxa"/>
            <w:right w:w="108" w:type="dxa"/>
          </w:tblCellMar>
        </w:tblPrEx>
        <w:trPr>
          <w:trHeight w:val="402" w:hRule="atLeast"/>
        </w:trPr>
        <w:tc>
          <w:tcPr>
            <w:tcW w:w="9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r>
              <w:rPr>
                <w:rFonts w:hint="eastAsia" w:ascii="宋体" w:hAnsi="宋体" w:cs="宋体"/>
                <w:b w:val="0"/>
                <w:bCs w:val="0"/>
                <w:color w:val="000000"/>
                <w:sz w:val="18"/>
                <w:szCs w:val="18"/>
              </w:rPr>
              <w:t>效益指标</w:t>
            </w:r>
          </w:p>
        </w:tc>
        <w:tc>
          <w:tcPr>
            <w:tcW w:w="1016"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black"/>
              </w:rPr>
            </w:pPr>
            <w:r>
              <w:rPr>
                <w:rFonts w:hint="eastAsia" w:ascii="宋体" w:hAnsi="宋体" w:eastAsia="宋体" w:cs="宋体"/>
                <w:i w:val="0"/>
                <w:iCs w:val="0"/>
                <w:color w:val="000000"/>
                <w:kern w:val="0"/>
                <w:sz w:val="18"/>
                <w:szCs w:val="18"/>
                <w:u w:val="none"/>
                <w:lang w:val="en-US" w:eastAsia="zh-CN" w:bidi="ar"/>
              </w:rPr>
              <w:t>社会效益指标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提升接访中心公共服务水平</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有效提升</w:t>
            </w:r>
          </w:p>
        </w:tc>
      </w:tr>
      <w:tr>
        <w:tblPrEx>
          <w:tblCellMar>
            <w:top w:w="0" w:type="dxa"/>
            <w:left w:w="108" w:type="dxa"/>
            <w:bottom w:w="0" w:type="dxa"/>
            <w:right w:w="108" w:type="dxa"/>
          </w:tblCellMar>
        </w:tblPrEx>
        <w:trPr>
          <w:trHeight w:val="402" w:hRule="atLeast"/>
        </w:trPr>
        <w:tc>
          <w:tcPr>
            <w:tcW w:w="94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vMerge w:val="continue"/>
            <w:tcBorders>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矛盾化解隐患消除率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02" w:hRule="atLeast"/>
        </w:trPr>
        <w:tc>
          <w:tcPr>
            <w:tcW w:w="94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vMerge w:val="continue"/>
            <w:tcBorders>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black"/>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一站式接访完成率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02" w:hRule="atLeast"/>
        </w:trPr>
        <w:tc>
          <w:tcPr>
            <w:tcW w:w="947"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r>
              <w:rPr>
                <w:rFonts w:hint="eastAsia" w:ascii="宋体" w:hAnsi="宋体" w:cs="宋体"/>
                <w:b w:val="0"/>
                <w:bCs w:val="0"/>
                <w:color w:val="000000"/>
                <w:sz w:val="18"/>
                <w:szCs w:val="18"/>
              </w:rPr>
              <w:t>满意度指标</w:t>
            </w:r>
          </w:p>
        </w:tc>
        <w:tc>
          <w:tcPr>
            <w:tcW w:w="1016"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满意度指标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系统使用人员满意度</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93" w:hRule="atLeast"/>
        </w:trPr>
        <w:tc>
          <w:tcPr>
            <w:tcW w:w="947"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上访群众满意度</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&gt;=90%</w:t>
            </w:r>
          </w:p>
        </w:tc>
      </w:tr>
    </w:tbl>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3、评价方法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因素分析法。通过分析家评审意见、监理反馈、验收意见才能更准确、有效地对项目进行评估和整改，并最大限度的提高项目的可用性。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4、评价标准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sz w:val="32"/>
          <w:szCs w:val="32"/>
          <w:lang w:eastAsia="zh-CN"/>
        </w:rPr>
        <w:t>信访业务项目经费</w:t>
      </w:r>
      <w:r>
        <w:rPr>
          <w:rFonts w:hint="eastAsia" w:ascii="仿宋_GB2312" w:hAnsi="仿宋" w:eastAsia="仿宋_GB2312"/>
          <w:sz w:val="32"/>
          <w:szCs w:val="32"/>
        </w:rPr>
        <w:t>严格遵守由自治区党委网信办审核的项目建设方案执行，主要是在自治区信访信息系统的基础上，结合信访数据和业务特点，搭建信访业务智能辅助系统，将最新的信息化技术应用到信访工作领域，进一步推动新时代信访工作信息化高质量发展。</w:t>
      </w:r>
      <w:r>
        <w:rPr>
          <w:rFonts w:ascii="仿宋_GB2312" w:hAnsi="仿宋" w:eastAsia="仿宋_GB2312" w:cs="Times New Roman"/>
          <w:sz w:val="32"/>
          <w:szCs w:val="32"/>
        </w:rPr>
        <w:t>项目建设完成后，由自治区信访局按照项目验收程序组织开展对项目的验收。</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自治区信访局成立了部门绩效评价小组，结合</w:t>
      </w:r>
      <w:r>
        <w:rPr>
          <w:rStyle w:val="19"/>
          <w:rFonts w:hint="eastAsia" w:ascii="仿宋_GB2312" w:hAnsi="楷体" w:eastAsia="仿宋_GB2312"/>
          <w:b w:val="0"/>
          <w:spacing w:val="-4"/>
          <w:sz w:val="32"/>
          <w:szCs w:val="32"/>
          <w:lang w:eastAsia="zh-CN"/>
        </w:rPr>
        <w:t>信访</w:t>
      </w:r>
      <w:r>
        <w:rPr>
          <w:rStyle w:val="19"/>
          <w:rFonts w:hint="eastAsia" w:ascii="仿宋_GB2312" w:hAnsi="楷体" w:eastAsia="仿宋_GB2312"/>
          <w:b w:val="0"/>
          <w:spacing w:val="-4"/>
          <w:sz w:val="32"/>
          <w:szCs w:val="32"/>
        </w:rPr>
        <w:t>工作实际，紧紧围绕绩效管理工作要点，不断提升绩效管理工作质量。一是增强认识，夯实基础。</w:t>
      </w:r>
      <w:r>
        <w:rPr>
          <w:rStyle w:val="19"/>
          <w:rFonts w:hint="eastAsia" w:ascii="仿宋_GB2312" w:hAnsi="楷体" w:eastAsia="仿宋_GB2312"/>
          <w:b w:val="0"/>
          <w:spacing w:val="-4"/>
          <w:sz w:val="32"/>
          <w:szCs w:val="32"/>
          <w:lang w:eastAsia="zh-CN"/>
        </w:rPr>
        <w:t>处</w:t>
      </w:r>
      <w:r>
        <w:rPr>
          <w:rStyle w:val="19"/>
          <w:rFonts w:hint="eastAsia" w:ascii="仿宋_GB2312" w:hAnsi="楷体" w:eastAsia="仿宋_GB2312"/>
          <w:b w:val="0"/>
          <w:spacing w:val="-4"/>
          <w:sz w:val="32"/>
          <w:szCs w:val="32"/>
        </w:rPr>
        <w:t>室负责人对预算绩效管理工作进行专题研究部署，统筹协调全部室全力做好绩效管理基础工作，带头落实预算绩效管理工作，助推</w:t>
      </w:r>
      <w:r>
        <w:rPr>
          <w:rStyle w:val="19"/>
          <w:rFonts w:hint="eastAsia" w:ascii="仿宋_GB2312" w:hAnsi="楷体" w:eastAsia="仿宋_GB2312"/>
          <w:b w:val="0"/>
          <w:spacing w:val="-4"/>
          <w:sz w:val="32"/>
          <w:szCs w:val="32"/>
          <w:lang w:eastAsia="zh-CN"/>
        </w:rPr>
        <w:t>局</w:t>
      </w:r>
      <w:r>
        <w:rPr>
          <w:rStyle w:val="19"/>
          <w:rFonts w:hint="eastAsia" w:ascii="仿宋_GB2312" w:hAnsi="楷体" w:eastAsia="仿宋_GB2312"/>
          <w:b w:val="0"/>
          <w:spacing w:val="-4"/>
          <w:sz w:val="32"/>
          <w:szCs w:val="32"/>
        </w:rPr>
        <w:t>机关预算绩效管理工作得以顺利实施。二是精心组织，着力推进。及时调整绩效目标。按照绩效目标设定，坚持履行规定的程序和手续，确保相关项目资金合理使用，做到专款专用，严格审批，公开透明。</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textAlignment w:val="auto"/>
        <w:rPr>
          <w:rStyle w:val="19"/>
          <w:rFonts w:hint="eastAsia"/>
          <w:spacing w:val="-4"/>
          <w:sz w:val="32"/>
          <w:szCs w:val="32"/>
        </w:rPr>
      </w:pPr>
      <w:r>
        <w:rPr>
          <w:rStyle w:val="19"/>
          <w:rFonts w:hint="eastAsia"/>
          <w:spacing w:val="-4"/>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本项目严格按照科学公正、统筹兼顾、激励约束、公开透明绩效评价原则，采用因素分析评价方法，坚持计划标准对本项目的立项、项绩效目标、资金投入、资金管理、组织实施、产出数量、产出质量、产出时效、产出成本、项目效益进行了综合评价。</w:t>
      </w:r>
    </w:p>
    <w:p>
      <w:pPr>
        <w:keepNext w:val="0"/>
        <w:keepLines w:val="0"/>
        <w:pageBreakBefore w:val="0"/>
        <w:kinsoku/>
        <w:wordWrap/>
        <w:overflowPunct/>
        <w:topLinePunct w:val="0"/>
        <w:autoSpaceDE/>
        <w:autoSpaceDN/>
        <w:bidi w:val="0"/>
        <w:adjustRightInd/>
        <w:snapToGrid/>
        <w:spacing w:line="560" w:lineRule="exact"/>
        <w:ind w:firstLine="567"/>
        <w:jc w:val="center"/>
        <w:rPr>
          <w:rStyle w:val="19"/>
          <w:rFonts w:ascii="仿宋_GB2312" w:hAnsi="楷体" w:eastAsia="仿宋_GB2312"/>
          <w:b w:val="0"/>
          <w:spacing w:val="-4"/>
          <w:sz w:val="24"/>
          <w:szCs w:val="24"/>
        </w:rPr>
      </w:pPr>
      <w:r>
        <w:rPr>
          <w:rStyle w:val="19"/>
          <w:rFonts w:hint="eastAsia" w:ascii="仿宋_GB2312" w:hAnsi="楷体" w:eastAsia="仿宋_GB2312"/>
          <w:b w:val="0"/>
          <w:spacing w:val="-4"/>
          <w:sz w:val="24"/>
          <w:szCs w:val="24"/>
          <w:lang w:eastAsia="zh-CN"/>
        </w:rPr>
        <w:t>自治区信访业务项目</w:t>
      </w:r>
      <w:r>
        <w:rPr>
          <w:rStyle w:val="19"/>
          <w:rFonts w:hint="eastAsia" w:ascii="仿宋_GB2312" w:hAnsi="楷体" w:eastAsia="仿宋_GB2312"/>
          <w:b w:val="0"/>
          <w:spacing w:val="-4"/>
          <w:sz w:val="24"/>
          <w:szCs w:val="24"/>
        </w:rPr>
        <w:t>资金评价得分情况</w:t>
      </w:r>
    </w:p>
    <w:tbl>
      <w:tblPr>
        <w:tblStyle w:val="17"/>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产出指标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50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50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效益指标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eastAsia="仿宋_GB2312"/>
                <w:sz w:val="22"/>
              </w:rPr>
            </w:pPr>
            <w:r>
              <w:rPr>
                <w:rFonts w:hint="eastAsia"/>
                <w:sz w:val="22"/>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满意度指标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eastAsia" w:eastAsia="宋体"/>
                <w:sz w:val="22"/>
                <w:lang w:eastAsia="zh-CN"/>
              </w:rPr>
            </w:pPr>
            <w:r>
              <w:rPr>
                <w:rFonts w:hint="eastAsia"/>
                <w:sz w:val="22"/>
              </w:rPr>
              <w:t>项目资金</w:t>
            </w:r>
            <w:r>
              <w:rPr>
                <w:rFonts w:hint="eastAsia"/>
                <w:sz w:val="22"/>
                <w:lang w:eastAsia="zh-CN"/>
              </w:rPr>
              <w:t>执行</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eastAsia="仿宋_GB2312"/>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hint="default" w:eastAsia="仿宋_GB2312"/>
                <w:b/>
                <w:bCs/>
                <w:sz w:val="22"/>
                <w:lang w:val="en-US" w:eastAsia="zh-CN"/>
              </w:rPr>
            </w:pPr>
            <w:r>
              <w:rPr>
                <w:rFonts w:hint="default" w:eastAsia="仿宋_GB2312"/>
                <w:b/>
                <w:bCs/>
                <w:sz w:val="22"/>
                <w:lang w:val="en-US" w:eastAsia="zh-CN"/>
              </w:rPr>
              <w:t>9</w:t>
            </w:r>
            <w:r>
              <w:rPr>
                <w:rFonts w:hint="eastAsia" w:eastAsia="仿宋_GB2312"/>
                <w:b/>
                <w:bCs/>
                <w:sz w:val="22"/>
                <w:lang w:val="en-US" w:eastAsia="zh-CN"/>
              </w:rPr>
              <w:t>9</w:t>
            </w:r>
          </w:p>
        </w:tc>
      </w:tr>
    </w:tbl>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b w:val="0"/>
          <w:spacing w:val="-4"/>
          <w:sz w:val="32"/>
          <w:szCs w:val="32"/>
          <w:lang w:eastAsia="zh-CN"/>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lang w:eastAsia="zh-CN"/>
        </w:rPr>
        <w:t>经局绩效评价小组综合评价，得分为9</w:t>
      </w:r>
      <w:r>
        <w:rPr>
          <w:rStyle w:val="19"/>
          <w:rFonts w:hint="eastAsia" w:ascii="仿宋_GB2312" w:hAnsi="楷体" w:eastAsia="仿宋_GB2312"/>
          <w:b w:val="0"/>
          <w:spacing w:val="-4"/>
          <w:sz w:val="32"/>
          <w:szCs w:val="32"/>
          <w:lang w:val="en-US" w:eastAsia="zh-CN"/>
        </w:rPr>
        <w:t>9</w:t>
      </w:r>
      <w:bookmarkStart w:id="0" w:name="_GoBack"/>
      <w:bookmarkEnd w:id="0"/>
      <w:r>
        <w:rPr>
          <w:rStyle w:val="19"/>
          <w:rFonts w:hint="eastAsia" w:ascii="仿宋_GB2312" w:hAnsi="楷体" w:eastAsia="仿宋_GB2312"/>
          <w:b w:val="0"/>
          <w:spacing w:val="-4"/>
          <w:sz w:val="32"/>
          <w:szCs w:val="32"/>
          <w:lang w:eastAsia="zh-CN"/>
        </w:rPr>
        <w:t>分，评价等级为优秀。</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1、立项依据充分性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lang w:eastAsia="zh-CN"/>
        </w:rPr>
        <w:t>自治区信访业务智能辅助系统建设一期项目</w:t>
      </w:r>
      <w:r>
        <w:rPr>
          <w:rStyle w:val="19"/>
          <w:rFonts w:hint="eastAsia" w:ascii="仿宋_GB2312" w:hAnsi="楷体" w:eastAsia="仿宋_GB2312"/>
          <w:b w:val="0"/>
          <w:spacing w:val="-4"/>
          <w:sz w:val="32"/>
          <w:szCs w:val="32"/>
        </w:rPr>
        <w:t>立项依据</w:t>
      </w:r>
      <w:r>
        <w:rPr>
          <w:rStyle w:val="19"/>
          <w:rFonts w:hint="eastAsia" w:ascii="仿宋_GB2312" w:hAnsi="楷体" w:eastAsia="仿宋_GB2312"/>
          <w:b w:val="0"/>
          <w:spacing w:val="-4"/>
          <w:sz w:val="32"/>
          <w:szCs w:val="32"/>
          <w:lang w:eastAsia="zh-CN"/>
        </w:rPr>
        <w:t>国家信访局</w:t>
      </w:r>
      <w:r>
        <w:rPr>
          <w:rStyle w:val="19"/>
          <w:rFonts w:hint="eastAsia" w:ascii="仿宋_GB2312" w:hAnsi="楷体" w:eastAsia="仿宋_GB2312"/>
          <w:b w:val="0"/>
          <w:spacing w:val="-4"/>
          <w:sz w:val="32"/>
          <w:szCs w:val="32"/>
        </w:rPr>
        <w:t>工作要求，按照职责范围界定，精心编制资金项目预算申报书，并经</w:t>
      </w:r>
      <w:r>
        <w:rPr>
          <w:rStyle w:val="19"/>
          <w:rFonts w:hint="eastAsia" w:ascii="仿宋_GB2312" w:hAnsi="楷体" w:eastAsia="仿宋_GB2312"/>
          <w:b w:val="0"/>
          <w:spacing w:val="-4"/>
          <w:sz w:val="32"/>
          <w:szCs w:val="32"/>
          <w:lang w:eastAsia="zh-CN"/>
        </w:rPr>
        <w:t>局党组研究</w:t>
      </w:r>
      <w:r>
        <w:rPr>
          <w:rStyle w:val="19"/>
          <w:rFonts w:hint="eastAsia" w:ascii="仿宋_GB2312" w:hAnsi="楷体" w:eastAsia="仿宋_GB2312"/>
          <w:b w:val="0"/>
          <w:spacing w:val="-4"/>
          <w:sz w:val="32"/>
          <w:szCs w:val="32"/>
        </w:rPr>
        <w:t>审核。</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2、立项程序规范性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9"/>
          <w:rFonts w:ascii="仿宋_GB2312" w:hAnsi="楷体" w:eastAsia="仿宋_GB2312"/>
          <w:b w:val="0"/>
          <w:spacing w:val="-4"/>
          <w:sz w:val="32"/>
          <w:szCs w:val="32"/>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rPr>
        <w:t>均严格按照规定的程序申请设立，审批文件、材料是否符合相关要求，并经过可行性研究，部室集体讨论研究通过。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3、绩效目标合理性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9"/>
          <w:rFonts w:ascii="仿宋_GB2312" w:hAnsi="楷体" w:eastAsia="仿宋_GB2312"/>
          <w:b w:val="0"/>
          <w:spacing w:val="-4"/>
          <w:sz w:val="32"/>
          <w:szCs w:val="32"/>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rPr>
        <w:t>绩效目标，与</w:t>
      </w:r>
      <w:r>
        <w:rPr>
          <w:rStyle w:val="19"/>
          <w:rFonts w:hint="eastAsia" w:ascii="仿宋_GB2312" w:hAnsi="楷体" w:eastAsia="仿宋_GB2312"/>
          <w:b w:val="0"/>
          <w:spacing w:val="-4"/>
          <w:sz w:val="32"/>
          <w:szCs w:val="32"/>
          <w:lang w:eastAsia="zh-CN"/>
        </w:rPr>
        <w:t>局</w:t>
      </w:r>
      <w:r>
        <w:rPr>
          <w:rStyle w:val="19"/>
          <w:rFonts w:hint="eastAsia" w:ascii="仿宋_GB2312" w:hAnsi="楷体" w:eastAsia="仿宋_GB2312"/>
          <w:b w:val="0"/>
          <w:spacing w:val="-4"/>
          <w:sz w:val="32"/>
          <w:szCs w:val="32"/>
        </w:rPr>
        <w:t>各项重点工作均具有相关性，项目的预期产出效益和效果也均能符合正常的业绩水平，并且与预算确定的项目投资额或资金量相匹配。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4、绩效指标明确性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9"/>
          <w:rFonts w:ascii="仿宋_GB2312" w:hAnsi="楷体" w:eastAsia="仿宋_GB2312"/>
          <w:b w:val="0"/>
          <w:spacing w:val="-4"/>
          <w:sz w:val="32"/>
          <w:szCs w:val="32"/>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rPr>
        <w:t>绩效目标细化分解为具体的绩效指标，一级指标共3条，二级指标共</w:t>
      </w:r>
      <w:r>
        <w:rPr>
          <w:rStyle w:val="19"/>
          <w:rFonts w:hint="eastAsia" w:ascii="仿宋_GB2312" w:hAnsi="楷体" w:eastAsia="仿宋_GB2312"/>
          <w:b w:val="0"/>
          <w:spacing w:val="-4"/>
          <w:sz w:val="32"/>
          <w:szCs w:val="32"/>
          <w:lang w:val="en-US" w:eastAsia="zh-CN"/>
        </w:rPr>
        <w:t>6</w:t>
      </w:r>
      <w:r>
        <w:rPr>
          <w:rStyle w:val="19"/>
          <w:rFonts w:hint="eastAsia" w:ascii="仿宋_GB2312" w:hAnsi="楷体" w:eastAsia="仿宋_GB2312"/>
          <w:b w:val="0"/>
          <w:spacing w:val="-4"/>
          <w:sz w:val="32"/>
          <w:szCs w:val="32"/>
        </w:rPr>
        <w:t>条，三级指标共</w:t>
      </w:r>
      <w:r>
        <w:rPr>
          <w:rStyle w:val="19"/>
          <w:rFonts w:hint="eastAsia" w:ascii="仿宋_GB2312" w:hAnsi="楷体" w:eastAsia="仿宋_GB2312"/>
          <w:b w:val="0"/>
          <w:spacing w:val="-4"/>
          <w:sz w:val="32"/>
          <w:szCs w:val="32"/>
          <w:lang w:val="en-US" w:eastAsia="zh-CN"/>
        </w:rPr>
        <w:t>20</w:t>
      </w:r>
      <w:r>
        <w:rPr>
          <w:rStyle w:val="19"/>
          <w:rFonts w:hint="eastAsia" w:ascii="仿宋_GB2312" w:hAnsi="楷体" w:eastAsia="仿宋_GB2312"/>
          <w:b w:val="0"/>
          <w:spacing w:val="-4"/>
          <w:sz w:val="32"/>
          <w:szCs w:val="32"/>
        </w:rPr>
        <w:t>条，其中量化指标条数共</w:t>
      </w:r>
      <w:r>
        <w:rPr>
          <w:rStyle w:val="19"/>
          <w:rFonts w:hint="eastAsia" w:ascii="仿宋_GB2312" w:hAnsi="楷体" w:eastAsia="仿宋_GB2312"/>
          <w:b w:val="0"/>
          <w:spacing w:val="-4"/>
          <w:sz w:val="32"/>
          <w:szCs w:val="32"/>
          <w:lang w:val="en-US" w:eastAsia="zh-CN"/>
        </w:rPr>
        <w:t>20</w:t>
      </w:r>
      <w:r>
        <w:rPr>
          <w:rStyle w:val="19"/>
          <w:rFonts w:hint="eastAsia" w:ascii="仿宋_GB2312" w:hAnsi="楷体" w:eastAsia="仿宋_GB2312"/>
          <w:b w:val="0"/>
          <w:spacing w:val="-4"/>
          <w:sz w:val="32"/>
          <w:szCs w:val="32"/>
        </w:rPr>
        <w:t>条，所有绩效指标均通过清晰、可衡量的指标值予以体现，并且做到了与项目目标任务数或计划数相对应。</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5、预算编制科学性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lang w:eastAsia="zh-CN"/>
        </w:rPr>
        <w:t>自治区信访业务智能辅助系统建设一期项目</w:t>
      </w:r>
      <w:r>
        <w:rPr>
          <w:rStyle w:val="19"/>
          <w:rFonts w:hint="eastAsia" w:ascii="仿宋_GB2312" w:hAnsi="楷体" w:eastAsia="仿宋_GB2312"/>
          <w:b w:val="0"/>
          <w:spacing w:val="-4"/>
          <w:sz w:val="32"/>
          <w:szCs w:val="32"/>
        </w:rPr>
        <w:t>资金预算均按照标准编制，并经过科学论证，与项目内容匹配，预算确定的项目投资额与工作任务相匹配。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6、资金分配合理性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预算资金分配依据充分，资金分配额度合理，与实际相适应。</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1、资金到位率：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实际到位资金</w:t>
      </w:r>
      <w:r>
        <w:rPr>
          <w:rStyle w:val="19"/>
          <w:rFonts w:hint="eastAsia" w:ascii="仿宋_GB2312" w:hAnsi="楷体" w:eastAsia="仿宋_GB2312"/>
          <w:b w:val="0"/>
          <w:spacing w:val="-4"/>
          <w:sz w:val="32"/>
          <w:szCs w:val="32"/>
          <w:lang w:val="en-US" w:eastAsia="zh-CN"/>
        </w:rPr>
        <w:t>40</w:t>
      </w:r>
      <w:r>
        <w:rPr>
          <w:rStyle w:val="19"/>
          <w:rFonts w:hint="eastAsia" w:ascii="仿宋_GB2312" w:hAnsi="楷体" w:eastAsia="仿宋_GB2312"/>
          <w:b w:val="0"/>
          <w:spacing w:val="-4"/>
          <w:sz w:val="32"/>
          <w:szCs w:val="32"/>
        </w:rPr>
        <w:t>万元，预算资金</w:t>
      </w:r>
      <w:r>
        <w:rPr>
          <w:rStyle w:val="19"/>
          <w:rFonts w:hint="eastAsia" w:ascii="仿宋_GB2312" w:hAnsi="楷体" w:eastAsia="仿宋_GB2312"/>
          <w:b w:val="0"/>
          <w:spacing w:val="-4"/>
          <w:sz w:val="32"/>
          <w:szCs w:val="32"/>
          <w:lang w:val="en-US" w:eastAsia="zh-CN"/>
        </w:rPr>
        <w:t>40</w:t>
      </w:r>
      <w:r>
        <w:rPr>
          <w:rStyle w:val="19"/>
          <w:rFonts w:hint="eastAsia" w:ascii="仿宋_GB2312" w:hAnsi="楷体" w:eastAsia="仿宋_GB2312"/>
          <w:b w:val="0"/>
          <w:spacing w:val="-4"/>
          <w:sz w:val="32"/>
          <w:szCs w:val="32"/>
        </w:rPr>
        <w:t>万元，资金到位率100%（资金到位率=（实际到位资金/预算资金）×100%）</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2、预算执行率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年初预算数</w:t>
      </w:r>
      <w:r>
        <w:rPr>
          <w:rStyle w:val="19"/>
          <w:rFonts w:hint="eastAsia" w:ascii="仿宋_GB2312" w:hAnsi="楷体" w:eastAsia="仿宋_GB2312"/>
          <w:b w:val="0"/>
          <w:spacing w:val="-4"/>
          <w:sz w:val="32"/>
          <w:szCs w:val="32"/>
          <w:lang w:val="en-US" w:eastAsia="zh-CN"/>
        </w:rPr>
        <w:t>40</w:t>
      </w:r>
      <w:r>
        <w:rPr>
          <w:rStyle w:val="19"/>
          <w:rFonts w:hint="eastAsia" w:ascii="仿宋_GB2312" w:hAnsi="楷体" w:eastAsia="仿宋_GB2312"/>
          <w:b w:val="0"/>
          <w:spacing w:val="-4"/>
          <w:sz w:val="32"/>
          <w:szCs w:val="32"/>
        </w:rPr>
        <w:t>万元，全年预算数</w:t>
      </w:r>
      <w:r>
        <w:rPr>
          <w:rStyle w:val="19"/>
          <w:rFonts w:hint="eastAsia" w:ascii="仿宋_GB2312" w:hAnsi="楷体" w:eastAsia="仿宋_GB2312"/>
          <w:b w:val="0"/>
          <w:spacing w:val="-4"/>
          <w:sz w:val="32"/>
          <w:szCs w:val="32"/>
          <w:lang w:val="en-US" w:eastAsia="zh-CN"/>
        </w:rPr>
        <w:t>40</w:t>
      </w:r>
      <w:r>
        <w:rPr>
          <w:rStyle w:val="19"/>
          <w:rFonts w:hint="eastAsia" w:ascii="仿宋_GB2312" w:hAnsi="楷体" w:eastAsia="仿宋_GB2312"/>
          <w:b w:val="0"/>
          <w:spacing w:val="-4"/>
          <w:sz w:val="32"/>
          <w:szCs w:val="32"/>
        </w:rPr>
        <w:t>万元（有年中追加资金，全年预算数=年初预算数+追加资金），全年执行数</w:t>
      </w:r>
      <w:r>
        <w:rPr>
          <w:rStyle w:val="19"/>
          <w:rFonts w:hint="eastAsia" w:ascii="仿宋_GB2312" w:hAnsi="楷体" w:eastAsia="仿宋_GB2312"/>
          <w:b w:val="0"/>
          <w:spacing w:val="-4"/>
          <w:sz w:val="32"/>
          <w:szCs w:val="32"/>
          <w:lang w:val="en-US" w:eastAsia="zh-CN"/>
        </w:rPr>
        <w:t>38.96</w:t>
      </w:r>
      <w:r>
        <w:rPr>
          <w:rStyle w:val="19"/>
          <w:rFonts w:hint="eastAsia" w:ascii="仿宋_GB2312" w:hAnsi="楷体" w:eastAsia="仿宋_GB2312"/>
          <w:b w:val="0"/>
          <w:spacing w:val="-4"/>
          <w:sz w:val="32"/>
          <w:szCs w:val="32"/>
        </w:rPr>
        <w:t>万元，预算执行率为</w:t>
      </w:r>
      <w:r>
        <w:rPr>
          <w:rStyle w:val="19"/>
          <w:rFonts w:hint="eastAsia" w:ascii="仿宋_GB2312" w:hAnsi="楷体" w:eastAsia="仿宋_GB2312"/>
          <w:b w:val="0"/>
          <w:spacing w:val="-4"/>
          <w:sz w:val="32"/>
          <w:szCs w:val="32"/>
          <w:lang w:val="en-US" w:eastAsia="zh-CN"/>
        </w:rPr>
        <w:t>97.4</w:t>
      </w:r>
      <w:r>
        <w:rPr>
          <w:rStyle w:val="19"/>
          <w:rFonts w:hint="eastAsia" w:ascii="仿宋_GB2312" w:hAnsi="楷体" w:eastAsia="仿宋_GB2312"/>
          <w:b w:val="0"/>
          <w:spacing w:val="-4"/>
          <w:sz w:val="32"/>
          <w:szCs w:val="32"/>
        </w:rPr>
        <w:t>%（预算执行率=全年执行数/全年预算数）</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3、资金使用合规性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资金使用符合国家财经法规和财务管理制度以及有关专项资金管理办法的规定；资金的拨付严格按照相关规定具备完整的审批程序和手续；符合项目预算批复或合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4、管理制度健全性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已制定或具有相应的财务和业务管理制度；财务和业务管理制度合法、合规、完整。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5、制度执行有效性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严格遵守相关法律法规和相关管理规定；项目调整及支出调整手续完备；项目合同书、验收报告、技术鉴定等资料齐全并及时归档；项目实施的人员条件、场地设备、信息支撑等落实到位。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hint="eastAsia" w:ascii="楷体" w:hAnsi="楷体" w:eastAsia="楷体"/>
          <w:b/>
          <w:spacing w:val="-4"/>
          <w:sz w:val="32"/>
          <w:szCs w:val="32"/>
          <w:lang w:eastAsia="zh-CN"/>
        </w:rPr>
      </w:pPr>
      <w:r>
        <w:rPr>
          <w:rFonts w:hint="eastAsia" w:ascii="楷体" w:hAnsi="楷体" w:eastAsia="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项目产出情况小计得分</w:t>
      </w:r>
      <w:r>
        <w:rPr>
          <w:rStyle w:val="19"/>
          <w:rFonts w:hint="eastAsia" w:ascii="仿宋_GB2312" w:hAnsi="楷体" w:eastAsia="仿宋_GB2312"/>
          <w:b w:val="0"/>
          <w:spacing w:val="-4"/>
          <w:sz w:val="32"/>
          <w:szCs w:val="32"/>
          <w:lang w:val="en-US" w:eastAsia="zh-CN"/>
        </w:rPr>
        <w:t>50</w:t>
      </w:r>
      <w:r>
        <w:rPr>
          <w:rStyle w:val="19"/>
          <w:rFonts w:hint="eastAsia" w:ascii="仿宋_GB2312" w:hAnsi="楷体" w:eastAsia="仿宋_GB2312"/>
          <w:b w:val="0"/>
          <w:spacing w:val="-4"/>
          <w:sz w:val="32"/>
          <w:szCs w:val="32"/>
        </w:rPr>
        <w:t>分，其中：1. 数量指标分析：项目实际完成率100%，得分1</w:t>
      </w:r>
      <w:r>
        <w:rPr>
          <w:rStyle w:val="19"/>
          <w:rFonts w:hint="eastAsia" w:ascii="仿宋_GB2312" w:hAnsi="楷体" w:eastAsia="仿宋_GB2312"/>
          <w:b w:val="0"/>
          <w:spacing w:val="-4"/>
          <w:sz w:val="32"/>
          <w:szCs w:val="32"/>
          <w:lang w:val="en-US" w:eastAsia="zh-CN"/>
        </w:rPr>
        <w:t>5</w:t>
      </w:r>
      <w:r>
        <w:rPr>
          <w:rStyle w:val="19"/>
          <w:rFonts w:hint="eastAsia" w:ascii="仿宋_GB2312" w:hAnsi="楷体" w:eastAsia="仿宋_GB2312"/>
          <w:b w:val="0"/>
          <w:spacing w:val="-4"/>
          <w:sz w:val="32"/>
          <w:szCs w:val="32"/>
        </w:rPr>
        <w:t>分；2. 质量指标分析：项目预设指标为大于等于90%，实际完成情况为90%，项目无偏差，偏差值0，得分1</w:t>
      </w:r>
      <w:r>
        <w:rPr>
          <w:rStyle w:val="19"/>
          <w:rFonts w:hint="eastAsia" w:ascii="仿宋_GB2312" w:hAnsi="楷体" w:eastAsia="仿宋_GB2312"/>
          <w:b w:val="0"/>
          <w:spacing w:val="-4"/>
          <w:sz w:val="32"/>
          <w:szCs w:val="32"/>
          <w:lang w:val="en-US" w:eastAsia="zh-CN"/>
        </w:rPr>
        <w:t>5</w:t>
      </w:r>
      <w:r>
        <w:rPr>
          <w:rStyle w:val="19"/>
          <w:rFonts w:hint="eastAsia" w:ascii="仿宋_GB2312" w:hAnsi="楷体" w:eastAsia="仿宋_GB2312"/>
          <w:b w:val="0"/>
          <w:spacing w:val="-4"/>
          <w:sz w:val="32"/>
          <w:szCs w:val="32"/>
        </w:rPr>
        <w:t>分；3. 时效指标分析：项目完成期限预设指标为202</w:t>
      </w:r>
      <w:r>
        <w:rPr>
          <w:rStyle w:val="19"/>
          <w:rFonts w:hint="eastAsia" w:ascii="仿宋_GB2312" w:hAnsi="楷体" w:eastAsia="仿宋_GB2312"/>
          <w:b w:val="0"/>
          <w:spacing w:val="-4"/>
          <w:sz w:val="32"/>
          <w:szCs w:val="32"/>
          <w:lang w:val="en-US" w:eastAsia="zh-CN"/>
        </w:rPr>
        <w:t>2</w:t>
      </w:r>
      <w:r>
        <w:rPr>
          <w:rStyle w:val="19"/>
          <w:rFonts w:hint="eastAsia" w:ascii="仿宋_GB2312" w:hAnsi="楷体" w:eastAsia="仿宋_GB2312"/>
          <w:b w:val="0"/>
          <w:spacing w:val="-4"/>
          <w:sz w:val="32"/>
          <w:szCs w:val="32"/>
        </w:rPr>
        <w:t>年12月31日，实际完成情况为202</w:t>
      </w:r>
      <w:r>
        <w:rPr>
          <w:rStyle w:val="19"/>
          <w:rFonts w:hint="eastAsia" w:ascii="仿宋_GB2312" w:hAnsi="楷体" w:eastAsia="仿宋_GB2312"/>
          <w:b w:val="0"/>
          <w:spacing w:val="-4"/>
          <w:sz w:val="32"/>
          <w:szCs w:val="32"/>
          <w:lang w:val="en-US" w:eastAsia="zh-CN"/>
        </w:rPr>
        <w:t>2</w:t>
      </w:r>
      <w:r>
        <w:rPr>
          <w:rStyle w:val="19"/>
          <w:rFonts w:hint="eastAsia" w:ascii="仿宋_GB2312" w:hAnsi="楷体" w:eastAsia="仿宋_GB2312"/>
          <w:b w:val="0"/>
          <w:spacing w:val="-4"/>
          <w:sz w:val="32"/>
          <w:szCs w:val="32"/>
        </w:rPr>
        <w:t>年12月31日，项目按规定及时完成，偏差值0，得分10分；4. 成本指标分析：实现目标总支出预设指标为小于等于</w:t>
      </w:r>
      <w:r>
        <w:rPr>
          <w:rStyle w:val="19"/>
          <w:rFonts w:hint="eastAsia" w:ascii="仿宋_GB2312" w:hAnsi="楷体" w:eastAsia="仿宋_GB2312"/>
          <w:b w:val="0"/>
          <w:spacing w:val="-4"/>
          <w:sz w:val="32"/>
          <w:szCs w:val="32"/>
          <w:lang w:val="en-US" w:eastAsia="zh-CN"/>
        </w:rPr>
        <w:t>40</w:t>
      </w:r>
      <w:r>
        <w:rPr>
          <w:rStyle w:val="19"/>
          <w:rFonts w:hint="eastAsia" w:ascii="仿宋_GB2312" w:hAnsi="楷体" w:eastAsia="仿宋_GB2312"/>
          <w:b w:val="0"/>
          <w:spacing w:val="-4"/>
          <w:sz w:val="32"/>
          <w:szCs w:val="32"/>
        </w:rPr>
        <w:t>万元，实际完成</w:t>
      </w:r>
      <w:r>
        <w:rPr>
          <w:rStyle w:val="19"/>
          <w:rFonts w:hint="eastAsia" w:ascii="仿宋_GB2312" w:hAnsi="楷体" w:eastAsia="仿宋_GB2312"/>
          <w:b w:val="0"/>
          <w:spacing w:val="-4"/>
          <w:sz w:val="32"/>
          <w:szCs w:val="32"/>
          <w:lang w:val="en-US" w:eastAsia="zh-CN"/>
        </w:rPr>
        <w:t>38.96</w:t>
      </w:r>
      <w:r>
        <w:rPr>
          <w:rStyle w:val="19"/>
          <w:rFonts w:hint="eastAsia" w:ascii="仿宋_GB2312" w:hAnsi="楷体" w:eastAsia="仿宋_GB2312"/>
          <w:b w:val="0"/>
          <w:spacing w:val="-4"/>
          <w:sz w:val="32"/>
          <w:szCs w:val="32"/>
        </w:rPr>
        <w:t>万元</w:t>
      </w:r>
      <w:r>
        <w:rPr>
          <w:rStyle w:val="19"/>
          <w:rFonts w:hint="eastAsia" w:ascii="仿宋_GB2312" w:hAnsi="楷体" w:eastAsia="仿宋_GB2312"/>
          <w:b w:val="0"/>
          <w:spacing w:val="-4"/>
          <w:sz w:val="32"/>
          <w:szCs w:val="32"/>
          <w:lang w:eastAsia="zh-CN"/>
        </w:rPr>
        <w:t>小于</w:t>
      </w:r>
      <w:r>
        <w:rPr>
          <w:rStyle w:val="19"/>
          <w:rFonts w:hint="eastAsia" w:ascii="仿宋_GB2312" w:hAnsi="楷体" w:eastAsia="仿宋_GB2312"/>
          <w:b w:val="0"/>
          <w:spacing w:val="-4"/>
          <w:sz w:val="32"/>
          <w:szCs w:val="32"/>
          <w:lang w:val="en-US" w:eastAsia="zh-CN"/>
        </w:rPr>
        <w:t>40</w:t>
      </w:r>
      <w:r>
        <w:rPr>
          <w:rStyle w:val="19"/>
          <w:rFonts w:hint="eastAsia" w:ascii="仿宋_GB2312" w:hAnsi="楷体" w:eastAsia="仿宋_GB2312"/>
          <w:b w:val="0"/>
          <w:spacing w:val="-4"/>
          <w:sz w:val="32"/>
          <w:szCs w:val="32"/>
        </w:rPr>
        <w:t>万元</w:t>
      </w:r>
      <w:r>
        <w:rPr>
          <w:rStyle w:val="19"/>
          <w:rFonts w:hint="eastAsia" w:ascii="仿宋_GB2312" w:hAnsi="楷体" w:eastAsia="仿宋_GB2312"/>
          <w:b w:val="0"/>
          <w:spacing w:val="-4"/>
          <w:sz w:val="32"/>
          <w:szCs w:val="32"/>
          <w:lang w:eastAsia="zh-CN"/>
        </w:rPr>
        <w:t>，</w:t>
      </w:r>
      <w:r>
        <w:rPr>
          <w:rStyle w:val="19"/>
          <w:rFonts w:hint="eastAsia" w:ascii="仿宋_GB2312" w:hAnsi="楷体" w:eastAsia="仿宋_GB2312"/>
          <w:b w:val="0"/>
          <w:spacing w:val="-4"/>
          <w:sz w:val="32"/>
          <w:szCs w:val="32"/>
        </w:rPr>
        <w:t>偏差值</w:t>
      </w:r>
      <w:r>
        <w:rPr>
          <w:rStyle w:val="19"/>
          <w:rFonts w:hint="eastAsia" w:ascii="仿宋_GB2312" w:hAnsi="楷体" w:eastAsia="仿宋_GB2312"/>
          <w:b w:val="0"/>
          <w:spacing w:val="-4"/>
          <w:sz w:val="32"/>
          <w:szCs w:val="32"/>
          <w:lang w:val="en-US" w:eastAsia="zh-CN"/>
        </w:rPr>
        <w:t>1.04</w:t>
      </w:r>
      <w:r>
        <w:rPr>
          <w:rStyle w:val="19"/>
          <w:rFonts w:hint="eastAsia" w:ascii="仿宋_GB2312" w:hAnsi="楷体" w:eastAsia="仿宋_GB2312"/>
          <w:b w:val="0"/>
          <w:spacing w:val="-4"/>
          <w:sz w:val="32"/>
          <w:szCs w:val="32"/>
        </w:rPr>
        <w:t>，得分</w:t>
      </w:r>
      <w:r>
        <w:rPr>
          <w:rStyle w:val="19"/>
          <w:rFonts w:hint="eastAsia" w:ascii="仿宋_GB2312" w:hAnsi="楷体" w:eastAsia="仿宋_GB2312"/>
          <w:b w:val="0"/>
          <w:spacing w:val="-4"/>
          <w:sz w:val="32"/>
          <w:szCs w:val="32"/>
          <w:lang w:val="en-US" w:eastAsia="zh-CN"/>
        </w:rPr>
        <w:t>8</w:t>
      </w:r>
      <w:r>
        <w:rPr>
          <w:rStyle w:val="19"/>
          <w:rFonts w:hint="eastAsia" w:ascii="仿宋_GB2312" w:hAnsi="楷体" w:eastAsia="仿宋_GB2312"/>
          <w:b w:val="0"/>
          <w:spacing w:val="-4"/>
          <w:sz w:val="32"/>
          <w:szCs w:val="32"/>
        </w:rPr>
        <w:t>分。</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服务社会群众满意。</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资金分配合理性：项目预算资金分配有测算依据，与本单位项目资金需要相适应。</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ascii="黑体" w:hAnsi="黑体" w:eastAsia="黑体"/>
          <w:spacing w:val="-4"/>
          <w:sz w:val="32"/>
          <w:szCs w:val="32"/>
        </w:rPr>
      </w:pPr>
      <w:r>
        <w:rPr>
          <w:rStyle w:val="19"/>
          <w:rFonts w:hint="eastAsia" w:ascii="黑体" w:hAnsi="黑体" w:eastAsia="黑体"/>
          <w:b w:val="0"/>
          <w:spacing w:val="-4"/>
          <w:sz w:val="32"/>
          <w:szCs w:val="32"/>
        </w:rPr>
        <w:t>五、</w:t>
      </w:r>
      <w:r>
        <w:rPr>
          <w:rStyle w:val="19"/>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严格执行相关财经法律法规，项目经费专款专用，抓好项目实施和绩效评价；二是全面实行项目预算绩效管理，将绩效理念和方法深度融入预算编制、执行、监督全过程，积极构建事前事中事后绩效管理闭环系统。经费预算和实施力求突出业务工作重点，坚持问题导向，聚集社会稳定和长治久安总目标，提升社会关注度、保证项目实施效果。</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本次绩效评价情况，发现预算绩效申报存在绩效目标设置不科学、不合同理的问题。原因为编制的项目自评指标体系不够精细，绩效目标不具体，绩效目标未完全细化，分解工作任务不够具体，部分绩效指标不清晰，在经费支出过程中经济功能精确度有待提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w:t>
      </w:r>
      <w:r>
        <w:rPr>
          <w:rStyle w:val="19"/>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在今后的预算绩效申报时，相关业务处室将全年工作任务细化分解为具体的工作目标，并尽量采取定量的方式制定清晰、可衡量的绩效指标，提高项目使用经济功能精确度。</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pPr>
        <w:keepNext w:val="0"/>
        <w:keepLines w:val="0"/>
        <w:pageBreakBefore w:val="0"/>
        <w:widowControl w:val="0"/>
        <w:tabs>
          <w:tab w:val="left" w:pos="1477"/>
        </w:tabs>
        <w:kinsoku/>
        <w:wordWrap/>
        <w:overflowPunct/>
        <w:topLinePunct w:val="0"/>
        <w:autoSpaceDE/>
        <w:autoSpaceDN/>
        <w:bidi w:val="0"/>
        <w:adjustRightInd/>
        <w:snapToGrid/>
        <w:spacing w:line="600" w:lineRule="exact"/>
        <w:ind w:firstLine="567"/>
        <w:textAlignment w:val="auto"/>
        <w:rPr>
          <w:rStyle w:val="19"/>
          <w:rFonts w:ascii="仿宋" w:hAnsi="仿宋" w:eastAsia="仿宋"/>
          <w:b w:val="0"/>
          <w:spacing w:val="-4"/>
          <w:sz w:val="32"/>
          <w:szCs w:val="32"/>
        </w:rPr>
      </w:pPr>
      <w:r>
        <w:rPr>
          <w:rStyle w:val="19"/>
          <w:rFonts w:hint="eastAsia" w:ascii="仿宋" w:hAnsi="仿宋" w:eastAsia="仿宋"/>
          <w:b w:val="0"/>
          <w:spacing w:val="-4"/>
          <w:sz w:val="32"/>
          <w:szCs w:val="32"/>
          <w:lang w:eastAsia="zh-CN"/>
        </w:rPr>
        <w:t>无</w:t>
      </w:r>
      <w:r>
        <w:rPr>
          <w:rStyle w:val="19"/>
          <w:rFonts w:hint="eastAsia" w:ascii="仿宋" w:hAnsi="仿宋" w:eastAsia="仿宋"/>
          <w:b w:val="0"/>
          <w:spacing w:val="-4"/>
          <w:sz w:val="32"/>
          <w:szCs w:val="32"/>
          <w:lang w:eastAsia="zh-CN"/>
        </w:rPr>
        <w:tab/>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3"/>
          <w:jc w:val="center"/>
        </w:pPr>
        <w:r>
          <w:fldChar w:fldCharType="begin"/>
        </w:r>
        <w:r>
          <w:instrText xml:space="preserve">PAGE   \* MERGEFORMAT</w:instrText>
        </w:r>
        <w:r>
          <w:fldChar w:fldCharType="separate"/>
        </w:r>
        <w:r>
          <w:rPr>
            <w:lang w:val="zh-CN"/>
          </w:rPr>
          <w:t>1</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64BC7"/>
    <w:multiLevelType w:val="singleLevel"/>
    <w:tmpl w:val="A8A64BC7"/>
    <w:lvl w:ilvl="0" w:tentative="0">
      <w:start w:val="3"/>
      <w:numFmt w:val="chineseCounting"/>
      <w:suff w:val="nothing"/>
      <w:lvlText w:val="%1、"/>
      <w:lvlJc w:val="left"/>
      <w:rPr>
        <w:rFonts w:hint="eastAsia"/>
      </w:rPr>
    </w:lvl>
  </w:abstractNum>
  <w:abstractNum w:abstractNumId="1">
    <w:nsid w:val="12B1A99B"/>
    <w:multiLevelType w:val="singleLevel"/>
    <w:tmpl w:val="12B1A99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mMzk3OGVlNmU5Yjg1Zjc0NDYxNGRhNDc4Y2ZmMzc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3E5328D"/>
    <w:rsid w:val="0B907F82"/>
    <w:rsid w:val="0D666925"/>
    <w:rsid w:val="10EC5C5A"/>
    <w:rsid w:val="13914897"/>
    <w:rsid w:val="1C327D45"/>
    <w:rsid w:val="23BE3486"/>
    <w:rsid w:val="252C2672"/>
    <w:rsid w:val="297D47C0"/>
    <w:rsid w:val="2EE63891"/>
    <w:rsid w:val="38AE2074"/>
    <w:rsid w:val="4631628D"/>
    <w:rsid w:val="4D2606A1"/>
    <w:rsid w:val="4E347D1E"/>
    <w:rsid w:val="651B1728"/>
    <w:rsid w:val="6BFF039B"/>
    <w:rsid w:val="7CB67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99"/>
    <w:pPr>
      <w:ind w:firstLine="420" w:firstLineChars="200"/>
    </w:p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6"/>
    <w:uiPriority w:val="10"/>
    <w:rPr>
      <w:rFonts w:asciiTheme="majorHAnsi" w:hAnsiTheme="majorHAnsi" w:eastAsiaTheme="majorEastAsia"/>
      <w:b/>
      <w:bCs/>
      <w:kern w:val="28"/>
      <w:sz w:val="32"/>
      <w:szCs w:val="32"/>
    </w:rPr>
  </w:style>
  <w:style w:type="character" w:customStyle="1" w:styleId="31">
    <w:name w:val="副标题 字符"/>
    <w:basedOn w:val="18"/>
    <w:link w:val="15"/>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4"/>
    <w:qFormat/>
    <w:uiPriority w:val="99"/>
    <w:rPr>
      <w:rFonts w:ascii="Calibri" w:hAnsi="Calibri" w:eastAsia="宋体"/>
      <w:kern w:val="2"/>
      <w:sz w:val="18"/>
      <w:szCs w:val="18"/>
    </w:rPr>
  </w:style>
  <w:style w:type="character" w:customStyle="1" w:styleId="45">
    <w:name w:val="页脚 字符"/>
    <w:basedOn w:val="18"/>
    <w:link w:val="13"/>
    <w:qFormat/>
    <w:uiPriority w:val="99"/>
    <w:rPr>
      <w:rFonts w:ascii="Calibri" w:hAnsi="Calibri" w:eastAsia="宋体"/>
      <w:kern w:val="2"/>
      <w:sz w:val="18"/>
      <w:szCs w:val="18"/>
    </w:rPr>
  </w:style>
  <w:style w:type="character" w:customStyle="1" w:styleId="46">
    <w:name w:val="批注框文本 字符"/>
    <w:basedOn w:val="18"/>
    <w:link w:val="12"/>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b/>
      <w:bCs/>
      <w:color w:val="00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4655</Words>
  <Characters>4790</Characters>
  <Lines>5</Lines>
  <Paragraphs>1</Paragraphs>
  <TotalTime>0</TotalTime>
  <ScaleCrop>false</ScaleCrop>
  <LinksUpToDate>false</LinksUpToDate>
  <CharactersWithSpaces>4818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阳光</cp:lastModifiedBy>
  <cp:lastPrinted>2018-12-31T10:56:00Z</cp:lastPrinted>
  <dcterms:modified xsi:type="dcterms:W3CDTF">2023-08-20T09:11:04Z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FBF95196AB55429795A1336B8A17461D_12</vt:lpwstr>
  </property>
</Properties>
</file>