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w:t>
      </w:r>
      <w:r>
        <w:rPr>
          <w:rStyle w:val="19"/>
          <w:rFonts w:hint="eastAsia" w:ascii="楷体" w:hAnsi="楷体" w:eastAsia="楷体"/>
          <w:spacing w:val="-4"/>
          <w:sz w:val="32"/>
          <w:szCs w:val="32"/>
          <w:lang w:val="en-US" w:eastAsia="zh-CN"/>
        </w:rPr>
        <w:t>2</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自治区信访业务项目经费</w:t>
      </w:r>
    </w:p>
    <w:p>
      <w:pPr>
        <w:spacing w:line="540" w:lineRule="exact"/>
        <w:ind w:firstLine="567"/>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自治区信访局</w:t>
      </w:r>
    </w:p>
    <w:p>
      <w:pPr>
        <w:spacing w:line="540" w:lineRule="exact"/>
        <w:ind w:firstLine="900" w:firstLineChars="250"/>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自治区信访局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p>
    <w:p>
      <w:pPr>
        <w:spacing w:line="540" w:lineRule="exact"/>
        <w:ind w:left="0" w:leftChars="0" w:firstLine="838" w:firstLineChars="233"/>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640"/>
        <w:rPr>
          <w:rStyle w:val="19"/>
          <w:rFonts w:hint="eastAsia"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信访工作是党和政府工作的重要组成部分，是党和政府联系群众的桥梁和纽带，是发扬民主、体察民情、接受群众监督的重要渠道，是人民群众反映合理诉求、维护自身权益的重要途径，是构建社会主义和谐社会的基础之一。加强信访信息化建设对于进一步做好信访工作、拓宽社情民意表达方式、畅通信访工作渠道、最大限度减少和消除不和谐因素、提高信访工作效率都有着十分重大的意义。</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Style w:val="19"/>
          <w:rFonts w:hint="eastAsia" w:ascii="仿宋_GB2312" w:hAnsi="楷体" w:eastAsia="仿宋_GB2312" w:cs="Times New Roman"/>
          <w:b w:val="0"/>
          <w:spacing w:val="-4"/>
          <w:kern w:val="2"/>
          <w:sz w:val="32"/>
          <w:szCs w:val="32"/>
          <w:lang w:val="en-US" w:eastAsia="zh-CN" w:bidi="ar-SA"/>
        </w:rPr>
      </w:pPr>
      <w:r>
        <w:rPr>
          <w:rStyle w:val="19"/>
          <w:rFonts w:hint="eastAsia" w:ascii="仿宋_GB2312" w:hAnsi="楷体" w:eastAsia="仿宋_GB2312" w:cs="Times New Roman"/>
          <w:b w:val="0"/>
          <w:spacing w:val="-4"/>
          <w:kern w:val="2"/>
          <w:sz w:val="32"/>
          <w:szCs w:val="32"/>
          <w:lang w:val="en-US" w:eastAsia="zh-CN" w:bidi="ar-SA"/>
        </w:rPr>
        <w:t>根据中共中央、国务院和自治区党委、自治区人民政府及国家信访局关于信访工作的方针、政策和法规，指导全区的信访工作。宣传和贯彻落实《信访工作条例》；了解并掌握信访工作队伍建设情况；组织信访干部的培训；加强、指导信访部门办公自动建设；分析研究信访工作形势，开展调查研究，征集群众建议，及时向自治区党委、自治区人民政府提供信访信息。承办上级领导机关、自治区党委和自治区人民政府领导交办的信访事项，督促检查领导批示件落实情况；向有关单位交办信访事项；督促检查重要信访事项的处理和落实。 自治区党委办公厅、自治区人民政府办公厅《关于调整自治区处理信访突出问题及群体性事件联席会议成员的通知》（新党厅字[2007]9号）、自治区驻京工作组经费（中信联发[2009]5号）设立项目支出专项。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2、主要内容及实施情况</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 w:eastAsia="仿宋_GB2312"/>
          <w:sz w:val="32"/>
          <w:szCs w:val="32"/>
        </w:rPr>
      </w:pPr>
      <w:r>
        <w:rPr>
          <w:rStyle w:val="19"/>
          <w:rFonts w:hint="eastAsia" w:ascii="仿宋_GB2312" w:hAnsi="楷体" w:eastAsia="仿宋_GB2312"/>
          <w:b w:val="0"/>
          <w:spacing w:val="-4"/>
          <w:sz w:val="32"/>
          <w:szCs w:val="32"/>
        </w:rPr>
        <w:t>主要内容</w:t>
      </w:r>
      <w:r>
        <w:rPr>
          <w:rStyle w:val="19"/>
          <w:rFonts w:hint="eastAsia" w:ascii="仿宋_GB2312" w:hAnsi="楷体" w:eastAsia="仿宋_GB2312"/>
          <w:b w:val="0"/>
          <w:spacing w:val="-4"/>
          <w:sz w:val="32"/>
          <w:szCs w:val="32"/>
          <w:lang w:eastAsia="zh-CN"/>
        </w:rPr>
        <w:t>：</w:t>
      </w:r>
      <w:r>
        <w:rPr>
          <w:rStyle w:val="19"/>
          <w:rFonts w:hint="eastAsia" w:ascii="仿宋_GB2312" w:hAnsi="楷体" w:eastAsia="仿宋_GB2312" w:cs="Times New Roman"/>
          <w:b w:val="0"/>
          <w:spacing w:val="-4"/>
          <w:kern w:val="2"/>
          <w:sz w:val="32"/>
          <w:szCs w:val="32"/>
          <w:lang w:val="en-US" w:eastAsia="zh-CN" w:bidi="ar-SA"/>
        </w:rPr>
        <w:t>自治区信访局坚持以习近平总书记关于信访工作的系列批示指示精神和全国信访工作会议精神为指导，组织协调推动各地各部门坚持以人民为中心的发展思想，以打造阳光信访、责任信访和法治信访为引领，着力推进信访矛盾化解攻坚。开展全面排查化解，中联办交办和区地县三级排查重点信访矛盾。着力抓好集中治理重复信访专项工作。认真贯彻落实中央、自治区党委关于开展集中治理重复信访、化解信访积案专项工作决策部署，全力推动集中治理。着力加强源头预防、解决信访突出问题、化解信访积案和强化业务规范化建设，信访工作发生积极变化，切实维护群众合法权益，促进社会和谐稳定。</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cs="Times New Roman"/>
          <w:b w:val="0"/>
          <w:spacing w:val="-4"/>
          <w:kern w:val="2"/>
          <w:sz w:val="32"/>
          <w:szCs w:val="32"/>
          <w:lang w:val="en-US" w:eastAsia="zh-CN" w:bidi="ar-SA"/>
        </w:rPr>
      </w:pPr>
      <w:r>
        <w:rPr>
          <w:rFonts w:hint="eastAsia" w:ascii="仿宋_GB2312" w:hAnsi="仿宋" w:eastAsia="仿宋_GB2312"/>
          <w:sz w:val="32"/>
          <w:szCs w:val="32"/>
        </w:rPr>
        <w:t>实施情况</w:t>
      </w:r>
      <w:r>
        <w:rPr>
          <w:rFonts w:hint="eastAsia" w:ascii="仿宋_GB2312" w:hAnsi="仿宋" w:eastAsia="仿宋_GB2312"/>
          <w:sz w:val="32"/>
          <w:szCs w:val="32"/>
          <w:lang w:eastAsia="zh-CN"/>
        </w:rPr>
        <w:t>：</w:t>
      </w:r>
      <w:r>
        <w:rPr>
          <w:rStyle w:val="19"/>
          <w:rFonts w:hint="eastAsia" w:ascii="仿宋_GB2312" w:hAnsi="楷体" w:eastAsia="仿宋_GB2312" w:cs="Times New Roman"/>
          <w:b w:val="0"/>
          <w:spacing w:val="-4"/>
          <w:kern w:val="2"/>
          <w:sz w:val="32"/>
          <w:szCs w:val="32"/>
          <w:lang w:val="en-US" w:eastAsia="zh-CN" w:bidi="ar-SA"/>
        </w:rPr>
        <w:t>2022年，信访业务项目经费440万元。主要用于信访信息网络运行维护费（网上信息系统驻场维护费、“两微一端”运维费、信访信息系统大数据智能平台和门户网站系统测评费用、网络信息系统风险评估费用、网络连接租用费），驻京信访工作组经费（保安、保洁、接送上访群众车辆运行维护费、赴京工作人员往返路费差旅费、驻京干部用房租金），信访绿色通邮费用，信访干部会议培训，督查处理疑难信访业务案件调研，服务上访群众聘请律师、心理咨询服务等信访业务相关支出。按照《自治区信访局财务管理办法》及局党组会议制度执行，严格落实“三重一大”事项管理规定，涉及经费使用的，均按程序报请驻政法委纪检组派员列席会议，集体讨论，逐一表态通过。切实做到“花钱必问效、无效必问责”。在实施过程中，按照“有多少钱、办多少事”的原则管理使用项目资金，严格控制审批、支付流程，不断健全预算管理体系，提升预算管理水平，确保各项工作的正常开展和运行。</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cs="Times New Roman"/>
          <w:b w:val="0"/>
          <w:spacing w:val="-4"/>
          <w:kern w:val="2"/>
          <w:sz w:val="32"/>
          <w:szCs w:val="32"/>
          <w:lang w:val="en-US" w:eastAsia="zh-CN" w:bidi="ar-SA"/>
        </w:rPr>
      </w:pPr>
      <w:r>
        <w:rPr>
          <w:rStyle w:val="19"/>
          <w:rFonts w:hint="eastAsia" w:ascii="仿宋_GB2312" w:hAnsi="楷体" w:eastAsia="仿宋_GB2312" w:cs="Times New Roman"/>
          <w:b w:val="0"/>
          <w:spacing w:val="-4"/>
          <w:kern w:val="2"/>
          <w:sz w:val="32"/>
          <w:szCs w:val="32"/>
          <w:lang w:val="en-US" w:eastAsia="zh-CN" w:bidi="ar-SA"/>
        </w:rPr>
        <w:t>资金投入和使用情况：该项目资金投入440万元，资金来源为一般公共预算拨款；受疫情影响，部分项目未能按期实施，全年项目支出254.10</w:t>
      </w:r>
      <w:bookmarkStart w:id="0" w:name="_GoBack"/>
      <w:bookmarkEnd w:id="0"/>
      <w:r>
        <w:rPr>
          <w:rStyle w:val="19"/>
          <w:rFonts w:hint="eastAsia" w:ascii="仿宋_GB2312" w:hAnsi="楷体" w:eastAsia="仿宋_GB2312" w:cs="Times New Roman"/>
          <w:b w:val="0"/>
          <w:spacing w:val="-4"/>
          <w:kern w:val="2"/>
          <w:sz w:val="32"/>
          <w:szCs w:val="32"/>
          <w:lang w:val="en-US" w:eastAsia="zh-CN" w:bidi="ar-SA"/>
        </w:rPr>
        <w:t>万元，预算完成率57%。</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cs="Times New Roman"/>
          <w:b w:val="0"/>
          <w:spacing w:val="-4"/>
          <w:kern w:val="2"/>
          <w:sz w:val="32"/>
          <w:szCs w:val="32"/>
          <w:lang w:val="en-US" w:eastAsia="zh-CN" w:bidi="ar-SA"/>
        </w:rPr>
      </w:pPr>
      <w:r>
        <w:rPr>
          <w:rStyle w:val="19"/>
          <w:rFonts w:hint="eastAsia" w:ascii="仿宋_GB2312" w:hAnsi="楷体" w:eastAsia="仿宋_GB2312"/>
          <w:b w:val="0"/>
          <w:spacing w:val="-4"/>
          <w:sz w:val="32"/>
          <w:szCs w:val="32"/>
        </w:rPr>
        <w:t>1、总体目标：</w:t>
      </w:r>
      <w:r>
        <w:rPr>
          <w:rStyle w:val="19"/>
          <w:rFonts w:hint="eastAsia" w:ascii="仿宋_GB2312" w:hAnsi="楷体" w:eastAsia="仿宋_GB2312" w:cs="Times New Roman"/>
          <w:b w:val="0"/>
          <w:spacing w:val="-4"/>
          <w:kern w:val="2"/>
          <w:sz w:val="32"/>
          <w:szCs w:val="32"/>
          <w:lang w:val="en-US" w:eastAsia="zh-CN" w:bidi="ar-SA"/>
        </w:rPr>
        <w:t>全区信访突出问题得到有效缓解，集体上访和群体性事件逐步减少；进京赴自治区上访问题得到及时妥善处置，信访秩序逐步好转；3、长效工作机制逐步完善，形成大信访工作格局；联席会议办公室工作正常运转，应对复杂局面、处理复杂问题的工作水平逐步提高，全力维护新疆社会政治大局稳定。</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cs="Times New Roman"/>
          <w:b w:val="0"/>
          <w:spacing w:val="-4"/>
          <w:kern w:val="2"/>
          <w:sz w:val="32"/>
          <w:szCs w:val="32"/>
          <w:lang w:val="en-US" w:eastAsia="zh-CN" w:bidi="ar-SA"/>
        </w:rPr>
      </w:pPr>
      <w:r>
        <w:rPr>
          <w:rStyle w:val="19"/>
          <w:rFonts w:hint="eastAsia" w:ascii="仿宋_GB2312" w:hAnsi="楷体" w:eastAsia="仿宋_GB2312"/>
          <w:b w:val="0"/>
          <w:spacing w:val="-4"/>
          <w:sz w:val="32"/>
          <w:szCs w:val="32"/>
        </w:rPr>
        <w:t>2、阶段性目标：</w:t>
      </w:r>
      <w:r>
        <w:rPr>
          <w:rFonts w:hint="eastAsia" w:ascii="仿宋_GB2312" w:hAnsi="仿宋" w:eastAsia="仿宋_GB2312"/>
          <w:sz w:val="32"/>
          <w:szCs w:val="32"/>
        </w:rPr>
        <w:t>以“为民解难，为党分忧”为使命，结合“创新、协调、绿色、开放、共享”发展理念，以“问题为导向”，</w:t>
      </w:r>
      <w:r>
        <w:rPr>
          <w:rStyle w:val="19"/>
          <w:rFonts w:hint="eastAsia" w:ascii="仿宋_GB2312" w:hAnsi="楷体" w:eastAsia="仿宋_GB2312" w:cs="Times New Roman"/>
          <w:b w:val="0"/>
          <w:spacing w:val="-4"/>
          <w:kern w:val="2"/>
          <w:sz w:val="32"/>
          <w:szCs w:val="32"/>
          <w:lang w:val="en-US" w:eastAsia="zh-CN" w:bidi="ar-SA"/>
        </w:rPr>
        <w:t>不断完善体制机制，创新思路举措，夯实基层基础，着力破解信访难题，狠抓工作落实，推动一大批信访问题解决，维护群众合法权益，促进社会和谐稳定。围绕中央和自治区关于信访工作的一系列决策部署，强化措施，狠抓落实，解决大量群众最关心、最直接、最现实的利益问题。</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通过绩效评价，客观地评判项目的管理绩效，了解和掌握</w:t>
      </w:r>
      <w:r>
        <w:rPr>
          <w:rFonts w:hint="eastAsia" w:ascii="仿宋_GB2312" w:hAnsi="仿宋" w:eastAsia="仿宋_GB2312"/>
          <w:sz w:val="32"/>
          <w:szCs w:val="32"/>
          <w:lang w:eastAsia="zh-CN"/>
        </w:rPr>
        <w:t>自治区信访业务智能辅助系统建设一期项目</w:t>
      </w:r>
      <w:r>
        <w:rPr>
          <w:rStyle w:val="19"/>
          <w:rFonts w:hint="eastAsia" w:ascii="仿宋_GB2312" w:hAnsi="楷体" w:eastAsia="仿宋_GB2312"/>
          <w:b w:val="0"/>
          <w:spacing w:val="-4"/>
          <w:sz w:val="32"/>
          <w:szCs w:val="32"/>
        </w:rPr>
        <w:t>资金的具体情况，评价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2、绩效评价对象</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绩效评价的对象主要是</w:t>
      </w:r>
      <w:r>
        <w:rPr>
          <w:rStyle w:val="19"/>
          <w:rFonts w:hint="eastAsia" w:ascii="仿宋_GB2312" w:hAnsi="楷体" w:eastAsia="仿宋_GB2312"/>
          <w:b w:val="0"/>
          <w:spacing w:val="-4"/>
          <w:sz w:val="32"/>
          <w:szCs w:val="32"/>
          <w:lang w:eastAsia="zh-CN"/>
        </w:rPr>
        <w:t>全疆信访业务工作者</w:t>
      </w:r>
      <w:r>
        <w:rPr>
          <w:rStyle w:val="19"/>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3、绩效评价范围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本次评价从项目决策（包括绩效目标、决策过程）、项目管理（包括项目资金、项目实施）、项目产出（包括项目产出数量、产出质量、产出时效和产出成本）项目效益四个维度进行评价，评价核心为专项资金的支出完成情况和效果，包括用户数量、 矛盾化解率、隐患消除情况</w:t>
      </w:r>
      <w:r>
        <w:rPr>
          <w:rStyle w:val="19"/>
          <w:rFonts w:hint="eastAsia" w:ascii="仿宋_GB2312" w:hAnsi="楷体" w:eastAsia="仿宋_GB2312"/>
          <w:b w:val="0"/>
          <w:spacing w:val="-4"/>
          <w:sz w:val="32"/>
          <w:szCs w:val="32"/>
          <w:lang w:eastAsia="zh-CN"/>
        </w:rPr>
        <w:t>、</w:t>
      </w:r>
      <w:r>
        <w:rPr>
          <w:rStyle w:val="19"/>
          <w:rFonts w:hint="eastAsia" w:ascii="仿宋_GB2312" w:hAnsi="楷体" w:eastAsia="仿宋_GB2312"/>
          <w:b w:val="0"/>
          <w:spacing w:val="-4"/>
          <w:sz w:val="32"/>
          <w:szCs w:val="32"/>
        </w:rPr>
        <w:t>业务水平提升率</w:t>
      </w:r>
      <w:r>
        <w:rPr>
          <w:rStyle w:val="19"/>
          <w:rFonts w:hint="eastAsia" w:ascii="仿宋_GB2312" w:hAnsi="楷体" w:eastAsia="仿宋_GB2312"/>
          <w:b w:val="0"/>
          <w:spacing w:val="-4"/>
          <w:sz w:val="32"/>
          <w:szCs w:val="32"/>
          <w:lang w:eastAsia="zh-CN"/>
        </w:rPr>
        <w:t>和信访干部满意度</w:t>
      </w:r>
      <w:r>
        <w:rPr>
          <w:rStyle w:val="19"/>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1</w:t>
      </w:r>
      <w:r>
        <w:rPr>
          <w:rStyle w:val="19"/>
          <w:rFonts w:hint="eastAsia" w:ascii="仿宋_GB2312" w:hAnsi="楷体" w:eastAsia="仿宋_GB2312"/>
          <w:b w:val="0"/>
          <w:spacing w:val="-4"/>
          <w:sz w:val="32"/>
          <w:szCs w:val="32"/>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3</w:t>
      </w:r>
      <w:r>
        <w:rPr>
          <w:rStyle w:val="19"/>
          <w:rFonts w:hint="eastAsia" w:ascii="仿宋_GB2312" w:hAnsi="楷体" w:eastAsia="仿宋_GB2312"/>
          <w:b w:val="0"/>
          <w:spacing w:val="-4"/>
          <w:sz w:val="32"/>
          <w:szCs w:val="32"/>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w:t>
      </w:r>
      <w:r>
        <w:rPr>
          <w:rStyle w:val="19"/>
          <w:rFonts w:hint="eastAsia" w:ascii="仿宋_GB2312" w:hAnsi="楷体" w:eastAsia="仿宋_GB2312"/>
          <w:b w:val="0"/>
          <w:spacing w:val="-4"/>
          <w:sz w:val="32"/>
          <w:szCs w:val="32"/>
          <w:lang w:val="en-US" w:eastAsia="zh-CN"/>
        </w:rPr>
        <w:t>4</w:t>
      </w:r>
      <w:r>
        <w:rPr>
          <w:rStyle w:val="19"/>
          <w:rFonts w:hint="eastAsia" w:ascii="仿宋_GB2312" w:hAnsi="楷体" w:eastAsia="仿宋_GB2312"/>
          <w:b w:val="0"/>
          <w:spacing w:val="-4"/>
          <w:sz w:val="32"/>
          <w:szCs w:val="32"/>
        </w:rPr>
        <w:t>）公开透明。绩效评价结果应依法依规公开，并自觉接受社会监督。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2、评价指标体系</w:t>
      </w:r>
    </w:p>
    <w:tbl>
      <w:tblPr>
        <w:tblStyle w:val="17"/>
        <w:tblW w:w="8488" w:type="dxa"/>
        <w:tblInd w:w="96" w:type="dxa"/>
        <w:tblLayout w:type="fixed"/>
        <w:tblCellMar>
          <w:top w:w="0" w:type="dxa"/>
          <w:left w:w="108" w:type="dxa"/>
          <w:bottom w:w="0" w:type="dxa"/>
          <w:right w:w="108" w:type="dxa"/>
        </w:tblCellMar>
      </w:tblPr>
      <w:tblGrid>
        <w:gridCol w:w="947"/>
        <w:gridCol w:w="1016"/>
        <w:gridCol w:w="964"/>
        <w:gridCol w:w="1222"/>
        <w:gridCol w:w="835"/>
        <w:gridCol w:w="2057"/>
        <w:gridCol w:w="1447"/>
      </w:tblGrid>
      <w:tr>
        <w:tblPrEx>
          <w:tblCellMar>
            <w:top w:w="0" w:type="dxa"/>
            <w:left w:w="108" w:type="dxa"/>
            <w:bottom w:w="0" w:type="dxa"/>
            <w:right w:w="108" w:type="dxa"/>
          </w:tblCellMar>
        </w:tblPrEx>
        <w:trPr>
          <w:trHeight w:val="402" w:hRule="atLeast"/>
        </w:trPr>
        <w:tc>
          <w:tcPr>
            <w:tcW w:w="8488" w:type="dxa"/>
            <w:gridSpan w:val="7"/>
            <w:tcBorders>
              <w:top w:val="single" w:color="auto" w:sz="4" w:space="0"/>
              <w:left w:val="single" w:color="auto" w:sz="4" w:space="0"/>
              <w:bottom w:val="nil"/>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560" w:lineRule="exact"/>
              <w:jc w:val="center"/>
              <w:textAlignment w:val="bottom"/>
              <w:rPr>
                <w:rFonts w:ascii="宋体" w:hAnsi="宋体" w:cs="宋体"/>
                <w:b/>
                <w:bCs/>
                <w:color w:val="000000"/>
                <w:sz w:val="32"/>
                <w:szCs w:val="32"/>
              </w:rPr>
            </w:pPr>
            <w:r>
              <w:rPr>
                <w:rStyle w:val="48"/>
                <w:rFonts w:hint="default"/>
              </w:rPr>
              <w:t xml:space="preserve">项  目  支  出  绩  效  </w:t>
            </w:r>
            <w:r>
              <w:rPr>
                <w:rStyle w:val="48"/>
              </w:rPr>
              <w:t>目 标 表</w:t>
            </w:r>
          </w:p>
        </w:tc>
      </w:tr>
      <w:tr>
        <w:tblPrEx>
          <w:tblCellMar>
            <w:top w:w="0" w:type="dxa"/>
            <w:left w:w="108" w:type="dxa"/>
            <w:bottom w:w="0" w:type="dxa"/>
            <w:right w:w="108" w:type="dxa"/>
          </w:tblCellMar>
        </w:tblPrEx>
        <w:trPr>
          <w:trHeight w:val="705" w:hRule="atLeast"/>
        </w:trPr>
        <w:tc>
          <w:tcPr>
            <w:tcW w:w="9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预算单位</w:t>
            </w:r>
          </w:p>
        </w:tc>
        <w:tc>
          <w:tcPr>
            <w:tcW w:w="3202"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rPr>
              <w:t>自治区信访局</w:t>
            </w:r>
          </w:p>
        </w:tc>
        <w:tc>
          <w:tcPr>
            <w:tcW w:w="8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名称</w:t>
            </w:r>
          </w:p>
        </w:tc>
        <w:tc>
          <w:tcPr>
            <w:tcW w:w="350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rPr>
              <w:t>自治区信访业务项目</w:t>
            </w:r>
            <w:r>
              <w:rPr>
                <w:rFonts w:hint="eastAsia" w:ascii="宋体" w:hAnsi="宋体" w:cs="宋体"/>
                <w:color w:val="000000"/>
                <w:kern w:val="0"/>
                <w:sz w:val="18"/>
                <w:szCs w:val="18"/>
                <w:lang w:eastAsia="zh-CN"/>
              </w:rPr>
              <w:t>经费</w:t>
            </w:r>
          </w:p>
        </w:tc>
      </w:tr>
      <w:tr>
        <w:tblPrEx>
          <w:tblCellMar>
            <w:top w:w="0" w:type="dxa"/>
            <w:left w:w="108" w:type="dxa"/>
            <w:bottom w:w="0" w:type="dxa"/>
            <w:right w:w="108" w:type="dxa"/>
          </w:tblCellMar>
        </w:tblPrEx>
        <w:trPr>
          <w:trHeight w:val="402"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项目资金（万元）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年度资</w:t>
            </w:r>
          </w:p>
          <w:p>
            <w:pPr>
              <w:keepNext w:val="0"/>
              <w:keepLines w:val="0"/>
              <w:pageBreakBefore w:val="0"/>
              <w:widowControl/>
              <w:kinsoku/>
              <w:wordWrap/>
              <w:overflowPunct/>
              <w:topLinePunct w:val="0"/>
              <w:autoSpaceDE/>
              <w:autoSpaceDN/>
              <w:bidi w:val="0"/>
              <w:adjustRightInd/>
              <w:snapToGrid/>
              <w:spacing w:line="560" w:lineRule="exact"/>
              <w:jc w:val="both"/>
              <w:textAlignment w:val="center"/>
              <w:rPr>
                <w:rFonts w:ascii="宋体" w:hAnsi="宋体" w:cs="宋体"/>
                <w:color w:val="000000"/>
                <w:sz w:val="18"/>
                <w:szCs w:val="18"/>
              </w:rPr>
            </w:pPr>
            <w:r>
              <w:rPr>
                <w:rFonts w:hint="eastAsia" w:ascii="宋体" w:hAnsi="宋体" w:cs="宋体"/>
                <w:color w:val="000000"/>
                <w:kern w:val="0"/>
                <w:sz w:val="18"/>
                <w:szCs w:val="18"/>
              </w:rPr>
              <w:t>金总额：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440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其中：财政拨款</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rPr>
              <w:t>440</w:t>
            </w: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其他资金</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0</w:t>
            </w:r>
          </w:p>
        </w:tc>
      </w:tr>
      <w:tr>
        <w:tblPrEx>
          <w:tblCellMar>
            <w:top w:w="0" w:type="dxa"/>
            <w:left w:w="108" w:type="dxa"/>
            <w:bottom w:w="0" w:type="dxa"/>
            <w:right w:w="108" w:type="dxa"/>
          </w:tblCellMar>
        </w:tblPrEx>
        <w:trPr>
          <w:trHeight w:val="855"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项目总体目标</w:t>
            </w:r>
          </w:p>
        </w:tc>
        <w:tc>
          <w:tcPr>
            <w:tcW w:w="7541" w:type="dxa"/>
            <w:gridSpan w:val="6"/>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napToGrid/>
              <w:spacing w:line="560" w:lineRule="exact"/>
              <w:jc w:val="left"/>
              <w:textAlignment w:val="top"/>
              <w:rPr>
                <w:rFonts w:ascii="宋体" w:hAnsi="宋体" w:cs="宋体"/>
                <w:color w:val="000000"/>
                <w:sz w:val="18"/>
                <w:szCs w:val="18"/>
              </w:rPr>
            </w:pPr>
            <w:r>
              <w:rPr>
                <w:rFonts w:hint="eastAsia" w:ascii="宋体" w:hAnsi="宋体" w:cs="宋体"/>
                <w:color w:val="000000"/>
                <w:kern w:val="0"/>
                <w:sz w:val="18"/>
                <w:szCs w:val="18"/>
              </w:rPr>
              <w:t>自治区信访局坚持以习近平新时代中国特色社会主义思想为指导，深入贯彻落实习近平总书记关于加强和改进人民信访工作的重要思想，坚持以人民为中心，始终把“了解民情、集中民智、维护民利、凝聚民心”作为信访工作的出发点和落脚点，在服务保障社会稳定、人民安宁方面取得了明显成效。全区持续推进信访制度改革，阳光信访，责任信访、法治信访成效显著，坚持和发展新时代“枫桥经验”，加大依法及时就地解决群众合理诉求力度，深入开展信访矛盾化解攻坚，解决了一大批事关群众切身利益的信访问题。时刻牢记为民解难、为党分忧的政治责任，坚守人民情怀，坚持底线思维，履行服务党和国家大局、维护群众合法权益、化解信访突出问题、促进自治区社会和谐稳定的职能，持续推进信访工作法治化、信息化、科学化，畅通和规范群众诉求表达、利益协调和权益保障通道。</w:t>
            </w:r>
          </w:p>
        </w:tc>
      </w:tr>
      <w:tr>
        <w:tblPrEx>
          <w:tblCellMar>
            <w:top w:w="0" w:type="dxa"/>
            <w:left w:w="108" w:type="dxa"/>
            <w:bottom w:w="0" w:type="dxa"/>
            <w:right w:w="108" w:type="dxa"/>
          </w:tblCellMar>
        </w:tblPrEx>
        <w:trPr>
          <w:trHeight w:val="750"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一级指标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二级指标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三级指标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指标值（包含数字及文字描述）</w:t>
            </w:r>
          </w:p>
        </w:tc>
      </w:tr>
      <w:tr>
        <w:tblPrEx>
          <w:tblCellMar>
            <w:top w:w="0" w:type="dxa"/>
            <w:left w:w="108" w:type="dxa"/>
            <w:bottom w:w="0" w:type="dxa"/>
            <w:right w:w="108" w:type="dxa"/>
          </w:tblCellMar>
        </w:tblPrEx>
        <w:trPr>
          <w:trHeight w:val="402" w:hRule="atLeast"/>
        </w:trPr>
        <w:tc>
          <w:tcPr>
            <w:tcW w:w="94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b w:val="0"/>
                <w:bCs w:val="0"/>
                <w:color w:val="000000"/>
                <w:sz w:val="18"/>
                <w:szCs w:val="18"/>
              </w:rPr>
            </w:pPr>
            <w:r>
              <w:rPr>
                <w:rFonts w:hint="eastAsia" w:ascii="宋体" w:hAnsi="宋体" w:cs="宋体"/>
                <w:b w:val="0"/>
                <w:bCs w:val="0"/>
                <w:color w:val="000000"/>
                <w:kern w:val="0"/>
                <w:sz w:val="18"/>
                <w:szCs w:val="18"/>
              </w:rPr>
              <w:t>产出指标</w:t>
            </w: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数量指标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信息网络运行维护驻场人员数量</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=2人</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信息网络运行维护数量</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=6个</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等保风险评估次数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=1次</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网络连接租用条数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=4条</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网络安全风险评估次数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=1次</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b w:val="0"/>
                <w:bCs w:val="0"/>
                <w:color w:val="000000"/>
                <w:kern w:val="0"/>
                <w:sz w:val="18"/>
                <w:szCs w:val="18"/>
              </w:rPr>
            </w:pPr>
          </w:p>
        </w:tc>
        <w:tc>
          <w:tcPr>
            <w:tcW w:w="101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信息网络运行维护驻场人员数量</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=2人</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信访工作正常运转率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系统故障率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&lt;=5%</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时效指标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资金发放及时率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系统故障修复处理时间</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&lt;=1天</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系统运维维护响应时间</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&lt;=8小时</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法律、心理咨询服务天数</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&gt;=264天</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cs="宋体"/>
                <w:color w:val="000000"/>
                <w:sz w:val="18"/>
                <w:szCs w:val="18"/>
              </w:rPr>
            </w:pPr>
            <w:r>
              <w:rPr>
                <w:rFonts w:hint="eastAsia" w:ascii="宋体" w:hAnsi="宋体" w:cs="宋体"/>
                <w:color w:val="000000"/>
                <w:kern w:val="0"/>
                <w:sz w:val="18"/>
                <w:szCs w:val="18"/>
              </w:rPr>
              <w:t>成本指标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年度信息系统维护成本增长率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&lt;=5%</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信息网络运行维护费</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=200万元</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驻京信访工作组经费</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=100万元</w:t>
            </w:r>
          </w:p>
        </w:tc>
      </w:tr>
      <w:tr>
        <w:tblPrEx>
          <w:tblCellMar>
            <w:top w:w="0" w:type="dxa"/>
            <w:left w:w="108" w:type="dxa"/>
            <w:bottom w:w="0" w:type="dxa"/>
            <w:right w:w="108" w:type="dxa"/>
          </w:tblCellMar>
        </w:tblPrEx>
        <w:trPr>
          <w:trHeight w:val="402" w:hRule="atLeast"/>
        </w:trPr>
        <w:tc>
          <w:tcPr>
            <w:tcW w:w="947"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p>
        </w:tc>
        <w:tc>
          <w:tcPr>
            <w:tcW w:w="101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信访业务工作经费</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=140万元</w:t>
            </w:r>
          </w:p>
        </w:tc>
      </w:tr>
      <w:tr>
        <w:tblPrEx>
          <w:tblCellMar>
            <w:top w:w="0" w:type="dxa"/>
            <w:left w:w="108" w:type="dxa"/>
            <w:bottom w:w="0" w:type="dxa"/>
            <w:right w:w="108" w:type="dxa"/>
          </w:tblCellMar>
        </w:tblPrEx>
        <w:trPr>
          <w:trHeight w:val="402" w:hRule="atLeast"/>
        </w:trPr>
        <w:tc>
          <w:tcPr>
            <w:tcW w:w="9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r>
              <w:rPr>
                <w:rFonts w:hint="eastAsia" w:ascii="宋体" w:hAnsi="宋体" w:cs="宋体"/>
                <w:b w:val="0"/>
                <w:bCs w:val="0"/>
                <w:color w:val="000000"/>
                <w:sz w:val="18"/>
                <w:szCs w:val="18"/>
              </w:rPr>
              <w:t>效益指标</w:t>
            </w:r>
          </w:p>
        </w:tc>
        <w:tc>
          <w:tcPr>
            <w:tcW w:w="1016" w:type="dxa"/>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r>
              <w:rPr>
                <w:rFonts w:hint="eastAsia" w:ascii="宋体" w:hAnsi="宋体" w:eastAsia="宋体" w:cs="宋体"/>
                <w:i w:val="0"/>
                <w:iCs w:val="0"/>
                <w:color w:val="000000"/>
                <w:kern w:val="0"/>
                <w:sz w:val="18"/>
                <w:szCs w:val="18"/>
                <w:u w:val="none"/>
                <w:lang w:val="en-US" w:eastAsia="zh-CN" w:bidi="ar"/>
              </w:rPr>
              <w:t>社会效益指标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信访矛盾化解率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02" w:hRule="atLeast"/>
        </w:trPr>
        <w:tc>
          <w:tcPr>
            <w:tcW w:w="94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tcBorders>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black"/>
              </w:rPr>
            </w:pPr>
            <w:r>
              <w:rPr>
                <w:rFonts w:hint="eastAsia" w:ascii="宋体" w:hAnsi="宋体" w:eastAsia="宋体" w:cs="宋体"/>
                <w:i w:val="0"/>
                <w:iCs w:val="0"/>
                <w:color w:val="000000"/>
                <w:kern w:val="0"/>
                <w:sz w:val="18"/>
                <w:szCs w:val="18"/>
                <w:u w:val="none"/>
                <w:lang w:val="en-US" w:eastAsia="zh-CN" w:bidi="ar"/>
              </w:rPr>
              <w:t>可持续影响指标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系统正常使用年限</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&gt;=5年</w:t>
            </w:r>
          </w:p>
        </w:tc>
      </w:tr>
      <w:tr>
        <w:tblPrEx>
          <w:tblCellMar>
            <w:top w:w="0" w:type="dxa"/>
            <w:left w:w="108" w:type="dxa"/>
            <w:bottom w:w="0" w:type="dxa"/>
            <w:right w:w="108" w:type="dxa"/>
          </w:tblCellMar>
        </w:tblPrEx>
        <w:trPr>
          <w:trHeight w:val="402" w:hRule="atLeast"/>
        </w:trPr>
        <w:tc>
          <w:tcPr>
            <w:tcW w:w="947"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ascii="宋体" w:hAnsi="宋体" w:cs="宋体"/>
                <w:b w:val="0"/>
                <w:bCs w:val="0"/>
                <w:color w:val="000000"/>
                <w:sz w:val="18"/>
                <w:szCs w:val="18"/>
              </w:rPr>
            </w:pPr>
            <w:r>
              <w:rPr>
                <w:rFonts w:hint="eastAsia" w:ascii="宋体" w:hAnsi="宋体" w:cs="宋体"/>
                <w:b w:val="0"/>
                <w:bCs w:val="0"/>
                <w:color w:val="000000"/>
                <w:sz w:val="18"/>
                <w:szCs w:val="18"/>
              </w:rPr>
              <w:t>满意度指标</w:t>
            </w:r>
          </w:p>
        </w:tc>
        <w:tc>
          <w:tcPr>
            <w:tcW w:w="1016"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满意度指标</w:t>
            </w: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系统使用人员满意度</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&gt;=90%</w:t>
            </w:r>
          </w:p>
        </w:tc>
      </w:tr>
      <w:tr>
        <w:tblPrEx>
          <w:tblCellMar>
            <w:top w:w="0" w:type="dxa"/>
            <w:left w:w="108" w:type="dxa"/>
            <w:bottom w:w="0" w:type="dxa"/>
            <w:right w:w="108" w:type="dxa"/>
          </w:tblCellMar>
        </w:tblPrEx>
        <w:trPr>
          <w:trHeight w:val="493" w:hRule="atLeast"/>
        </w:trPr>
        <w:tc>
          <w:tcPr>
            <w:tcW w:w="947"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cs="宋体"/>
                <w:b w:val="0"/>
                <w:bCs w:val="0"/>
                <w:color w:val="000000"/>
                <w:sz w:val="18"/>
                <w:szCs w:val="18"/>
              </w:rPr>
            </w:pPr>
          </w:p>
        </w:tc>
        <w:tc>
          <w:tcPr>
            <w:tcW w:w="1016"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cs="宋体"/>
                <w:color w:val="000000"/>
                <w:kern w:val="0"/>
                <w:sz w:val="18"/>
                <w:szCs w:val="18"/>
              </w:rPr>
            </w:pPr>
          </w:p>
        </w:tc>
        <w:tc>
          <w:tcPr>
            <w:tcW w:w="30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信访事项办理群众满意率</w:t>
            </w:r>
          </w:p>
        </w:tc>
        <w:tc>
          <w:tcPr>
            <w:tcW w:w="3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&gt;=90%</w:t>
            </w:r>
          </w:p>
        </w:tc>
      </w:tr>
    </w:tbl>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3、评价方法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因素分析法。通过分析家评审意见、监理反馈、验收意见才能更准确、有效地对项目进行评估和整改，并最大限度的提高项目的可用性。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4、评价标准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sz w:val="32"/>
          <w:szCs w:val="32"/>
          <w:lang w:eastAsia="zh-CN"/>
        </w:rPr>
        <w:t>信访业务项目经费</w:t>
      </w:r>
      <w:r>
        <w:rPr>
          <w:rFonts w:hint="eastAsia" w:ascii="仿宋_GB2312" w:hAnsi="仿宋" w:eastAsia="仿宋_GB2312"/>
          <w:sz w:val="32"/>
          <w:szCs w:val="32"/>
        </w:rPr>
        <w:t>严格遵守由自治区党委网信办审核的项目建设方案执行，主要是在自治区信访信息系统的基础上，结合信访数据和业务特点，搭建信访业务智能辅助系统，将最新的信息化技术应用到信访工作领域，进一步推动新时代信访工作信息化高质量发展。</w:t>
      </w:r>
      <w:r>
        <w:rPr>
          <w:rFonts w:ascii="仿宋_GB2312" w:hAnsi="仿宋" w:eastAsia="仿宋_GB2312" w:cs="Times New Roman"/>
          <w:sz w:val="32"/>
          <w:szCs w:val="32"/>
        </w:rPr>
        <w:t>项目建设完成后，由自治区信访局按照项目验收程序组织开展对项目的验收。</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自治区信访局成立了部门绩效评价小组，结合</w:t>
      </w:r>
      <w:r>
        <w:rPr>
          <w:rStyle w:val="19"/>
          <w:rFonts w:hint="eastAsia" w:ascii="仿宋_GB2312" w:hAnsi="楷体" w:eastAsia="仿宋_GB2312"/>
          <w:b w:val="0"/>
          <w:spacing w:val="-4"/>
          <w:sz w:val="32"/>
          <w:szCs w:val="32"/>
          <w:lang w:eastAsia="zh-CN"/>
        </w:rPr>
        <w:t>信访</w:t>
      </w:r>
      <w:r>
        <w:rPr>
          <w:rStyle w:val="19"/>
          <w:rFonts w:hint="eastAsia" w:ascii="仿宋_GB2312" w:hAnsi="楷体" w:eastAsia="仿宋_GB2312"/>
          <w:b w:val="0"/>
          <w:spacing w:val="-4"/>
          <w:sz w:val="32"/>
          <w:szCs w:val="32"/>
        </w:rPr>
        <w:t>工作实际，紧紧围绕绩效管理工作要点，不断提升绩效管理工作质量。一是增强认识，夯实基础。</w:t>
      </w:r>
      <w:r>
        <w:rPr>
          <w:rStyle w:val="19"/>
          <w:rFonts w:hint="eastAsia" w:ascii="仿宋_GB2312" w:hAnsi="楷体" w:eastAsia="仿宋_GB2312"/>
          <w:b w:val="0"/>
          <w:spacing w:val="-4"/>
          <w:sz w:val="32"/>
          <w:szCs w:val="32"/>
          <w:lang w:eastAsia="zh-CN"/>
        </w:rPr>
        <w:t>处</w:t>
      </w:r>
      <w:r>
        <w:rPr>
          <w:rStyle w:val="19"/>
          <w:rFonts w:hint="eastAsia" w:ascii="仿宋_GB2312" w:hAnsi="楷体" w:eastAsia="仿宋_GB2312"/>
          <w:b w:val="0"/>
          <w:spacing w:val="-4"/>
          <w:sz w:val="32"/>
          <w:szCs w:val="32"/>
        </w:rPr>
        <w:t>室负责人对预算绩效管理工作进行专题研究部署，统筹协调全部室全力做好绩效管理基础工作，带头落实预算绩效管理工作，助推</w:t>
      </w:r>
      <w:r>
        <w:rPr>
          <w:rStyle w:val="19"/>
          <w:rFonts w:hint="eastAsia" w:ascii="仿宋_GB2312" w:hAnsi="楷体" w:eastAsia="仿宋_GB2312"/>
          <w:b w:val="0"/>
          <w:spacing w:val="-4"/>
          <w:sz w:val="32"/>
          <w:szCs w:val="32"/>
          <w:lang w:eastAsia="zh-CN"/>
        </w:rPr>
        <w:t>局</w:t>
      </w:r>
      <w:r>
        <w:rPr>
          <w:rStyle w:val="19"/>
          <w:rFonts w:hint="eastAsia" w:ascii="仿宋_GB2312" w:hAnsi="楷体" w:eastAsia="仿宋_GB2312"/>
          <w:b w:val="0"/>
          <w:spacing w:val="-4"/>
          <w:sz w:val="32"/>
          <w:szCs w:val="32"/>
        </w:rPr>
        <w:t>机关预算绩效管理工作得以顺利实施。二是精心组织，着力推进。及时调整绩效目标。按照绩效目标设定，坚持履行规定的程序和手续，确保相关项目资金合理使用，做到专款专用，严格审批，公开透明。</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textAlignment w:val="auto"/>
        <w:rPr>
          <w:rStyle w:val="19"/>
          <w:rFonts w:hint="eastAsia"/>
          <w:spacing w:val="-4"/>
          <w:sz w:val="32"/>
          <w:szCs w:val="32"/>
        </w:rPr>
      </w:pPr>
      <w:r>
        <w:rPr>
          <w:rStyle w:val="19"/>
          <w:rFonts w:hint="eastAsia"/>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本项目严格按照科学公正、统筹兼顾、激励约束、公开透明绩效评价原则，采用因素分析评价方法，坚持计划标准对本项目的立项、项绩效目标、资金投入、资金管理、组织实施、产出数量、产出质量、产出时效、产出成本、项目效益进行了综合评价。</w:t>
      </w:r>
    </w:p>
    <w:p>
      <w:pPr>
        <w:keepNext w:val="0"/>
        <w:keepLines w:val="0"/>
        <w:pageBreakBefore w:val="0"/>
        <w:kinsoku/>
        <w:wordWrap/>
        <w:overflowPunct/>
        <w:topLinePunct w:val="0"/>
        <w:autoSpaceDE/>
        <w:autoSpaceDN/>
        <w:bidi w:val="0"/>
        <w:adjustRightInd/>
        <w:snapToGrid/>
        <w:spacing w:line="560" w:lineRule="exact"/>
        <w:ind w:firstLine="567"/>
        <w:jc w:val="center"/>
        <w:rPr>
          <w:rStyle w:val="19"/>
          <w:rFonts w:ascii="仿宋_GB2312" w:hAnsi="楷体" w:eastAsia="仿宋_GB2312"/>
          <w:b w:val="0"/>
          <w:spacing w:val="-4"/>
          <w:sz w:val="24"/>
          <w:szCs w:val="24"/>
        </w:rPr>
      </w:pPr>
      <w:r>
        <w:rPr>
          <w:rStyle w:val="19"/>
          <w:rFonts w:hint="eastAsia" w:ascii="仿宋_GB2312" w:hAnsi="楷体" w:eastAsia="仿宋_GB2312"/>
          <w:b w:val="0"/>
          <w:spacing w:val="-4"/>
          <w:sz w:val="24"/>
          <w:szCs w:val="24"/>
          <w:lang w:eastAsia="zh-CN"/>
        </w:rPr>
        <w:t>自治区信访业务项目</w:t>
      </w:r>
      <w:r>
        <w:rPr>
          <w:rStyle w:val="19"/>
          <w:rFonts w:hint="eastAsia" w:ascii="仿宋_GB2312" w:hAnsi="楷体" w:eastAsia="仿宋_GB2312"/>
          <w:b w:val="0"/>
          <w:spacing w:val="-4"/>
          <w:sz w:val="24"/>
          <w:szCs w:val="24"/>
        </w:rPr>
        <w:t>资金评价得分情况</w:t>
      </w:r>
    </w:p>
    <w:tbl>
      <w:tblPr>
        <w:tblStyle w:val="1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产出指标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50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48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效益指标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eastAsia="仿宋_GB2312"/>
                <w:sz w:val="22"/>
              </w:rPr>
            </w:pPr>
            <w:r>
              <w:rPr>
                <w:rFonts w:hint="eastAsia"/>
                <w:sz w:val="22"/>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满意度指标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eastAsia" w:eastAsia="宋体"/>
                <w:sz w:val="22"/>
                <w:lang w:eastAsia="zh-CN"/>
              </w:rPr>
            </w:pPr>
            <w:r>
              <w:rPr>
                <w:rFonts w:hint="eastAsia"/>
                <w:sz w:val="22"/>
              </w:rPr>
              <w:t>项目资金</w:t>
            </w:r>
            <w:r>
              <w:rPr>
                <w:rFonts w:hint="eastAsia"/>
                <w:sz w:val="22"/>
                <w:lang w:eastAsia="zh-CN"/>
              </w:rPr>
              <w:t>执行</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eastAsia="仿宋_GB2312"/>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hint="default" w:eastAsia="仿宋_GB2312"/>
                <w:b/>
                <w:bCs/>
                <w:sz w:val="22"/>
                <w:lang w:val="en-US" w:eastAsia="zh-CN"/>
              </w:rPr>
            </w:pPr>
            <w:r>
              <w:rPr>
                <w:rFonts w:hint="eastAsia" w:eastAsia="仿宋_GB2312"/>
                <w:b/>
                <w:bCs/>
                <w:sz w:val="22"/>
                <w:lang w:val="en-US" w:eastAsia="zh-CN"/>
              </w:rPr>
              <w:t>94</w:t>
            </w:r>
          </w:p>
        </w:tc>
      </w:tr>
    </w:tbl>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仿宋_GB2312" w:hAnsi="楷体" w:eastAsia="仿宋_GB2312"/>
          <w:b w:val="0"/>
          <w:spacing w:val="-4"/>
          <w:sz w:val="32"/>
          <w:szCs w:val="32"/>
          <w:lang w:eastAsia="zh-CN"/>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lang w:eastAsia="zh-CN"/>
        </w:rPr>
        <w:t>经局绩效评价小组综合评价，得分为9</w:t>
      </w:r>
      <w:r>
        <w:rPr>
          <w:rStyle w:val="19"/>
          <w:rFonts w:hint="eastAsia" w:ascii="仿宋_GB2312" w:hAnsi="楷体" w:eastAsia="仿宋_GB2312"/>
          <w:b w:val="0"/>
          <w:spacing w:val="-4"/>
          <w:sz w:val="32"/>
          <w:szCs w:val="32"/>
          <w:lang w:val="en-US" w:eastAsia="zh-CN"/>
        </w:rPr>
        <w:t>4</w:t>
      </w:r>
      <w:r>
        <w:rPr>
          <w:rStyle w:val="19"/>
          <w:rFonts w:hint="eastAsia" w:ascii="仿宋_GB2312" w:hAnsi="楷体" w:eastAsia="仿宋_GB2312"/>
          <w:b w:val="0"/>
          <w:spacing w:val="-4"/>
          <w:sz w:val="32"/>
          <w:szCs w:val="32"/>
          <w:lang w:eastAsia="zh-CN"/>
        </w:rPr>
        <w:t>分，评价等级为优秀。</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1、立项依据充分性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lang w:eastAsia="zh-CN"/>
        </w:rPr>
        <w:t>自治区信访业务智能辅助系统建设一期项目</w:t>
      </w:r>
      <w:r>
        <w:rPr>
          <w:rStyle w:val="19"/>
          <w:rFonts w:hint="eastAsia" w:ascii="仿宋_GB2312" w:hAnsi="楷体" w:eastAsia="仿宋_GB2312"/>
          <w:b w:val="0"/>
          <w:spacing w:val="-4"/>
          <w:sz w:val="32"/>
          <w:szCs w:val="32"/>
        </w:rPr>
        <w:t>立项依据</w:t>
      </w:r>
      <w:r>
        <w:rPr>
          <w:rStyle w:val="19"/>
          <w:rFonts w:hint="eastAsia" w:ascii="仿宋_GB2312" w:hAnsi="楷体" w:eastAsia="仿宋_GB2312"/>
          <w:b w:val="0"/>
          <w:spacing w:val="-4"/>
          <w:sz w:val="32"/>
          <w:szCs w:val="32"/>
          <w:lang w:eastAsia="zh-CN"/>
        </w:rPr>
        <w:t>国家信访局</w:t>
      </w:r>
      <w:r>
        <w:rPr>
          <w:rStyle w:val="19"/>
          <w:rFonts w:hint="eastAsia" w:ascii="仿宋_GB2312" w:hAnsi="楷体" w:eastAsia="仿宋_GB2312"/>
          <w:b w:val="0"/>
          <w:spacing w:val="-4"/>
          <w:sz w:val="32"/>
          <w:szCs w:val="32"/>
        </w:rPr>
        <w:t>工作要求，按照职责范围界定，精心编制资金项目预算申报书，并经</w:t>
      </w:r>
      <w:r>
        <w:rPr>
          <w:rStyle w:val="19"/>
          <w:rFonts w:hint="eastAsia" w:ascii="仿宋_GB2312" w:hAnsi="楷体" w:eastAsia="仿宋_GB2312"/>
          <w:b w:val="0"/>
          <w:spacing w:val="-4"/>
          <w:sz w:val="32"/>
          <w:szCs w:val="32"/>
          <w:lang w:eastAsia="zh-CN"/>
        </w:rPr>
        <w:t>局党组研究</w:t>
      </w:r>
      <w:r>
        <w:rPr>
          <w:rStyle w:val="19"/>
          <w:rFonts w:hint="eastAsia" w:ascii="仿宋_GB2312" w:hAnsi="楷体" w:eastAsia="仿宋_GB2312"/>
          <w:b w:val="0"/>
          <w:spacing w:val="-4"/>
          <w:sz w:val="32"/>
          <w:szCs w:val="32"/>
        </w:rPr>
        <w:t>审核。</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2、立项程序规范性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均严格按照规定的程序申请设立，审批文件、材料是否符合相关要求，并经过可行性研究，部室集体讨论研究通过。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3、绩效目标合理性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绩效目标，与</w:t>
      </w:r>
      <w:r>
        <w:rPr>
          <w:rStyle w:val="19"/>
          <w:rFonts w:hint="eastAsia" w:ascii="仿宋_GB2312" w:hAnsi="楷体" w:eastAsia="仿宋_GB2312"/>
          <w:b w:val="0"/>
          <w:spacing w:val="-4"/>
          <w:sz w:val="32"/>
          <w:szCs w:val="32"/>
          <w:lang w:eastAsia="zh-CN"/>
        </w:rPr>
        <w:t>局</w:t>
      </w:r>
      <w:r>
        <w:rPr>
          <w:rStyle w:val="19"/>
          <w:rFonts w:hint="eastAsia" w:ascii="仿宋_GB2312" w:hAnsi="楷体" w:eastAsia="仿宋_GB2312"/>
          <w:b w:val="0"/>
          <w:spacing w:val="-4"/>
          <w:sz w:val="32"/>
          <w:szCs w:val="32"/>
        </w:rPr>
        <w:t>各项重点工作均具有相关性，项目的预期产出效益和效果也均能符合正常的业绩水平，并且与预算确定的项目投资额或资金量相匹配。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4、绩效指标明确性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9"/>
          <w:rFonts w:ascii="仿宋_GB2312" w:hAnsi="楷体" w:eastAsia="仿宋_GB2312"/>
          <w:b w:val="0"/>
          <w:spacing w:val="-4"/>
          <w:sz w:val="32"/>
          <w:szCs w:val="32"/>
        </w:rPr>
      </w:pPr>
      <w:r>
        <w:rPr>
          <w:rFonts w:hint="eastAsia" w:ascii="仿宋_GB2312" w:hAnsi="仿宋" w:eastAsia="仿宋_GB2312"/>
          <w:sz w:val="32"/>
          <w:szCs w:val="32"/>
          <w:lang w:eastAsia="zh-CN"/>
        </w:rPr>
        <w:t>信访业务项目</w:t>
      </w:r>
      <w:r>
        <w:rPr>
          <w:rStyle w:val="19"/>
          <w:rFonts w:hint="eastAsia" w:ascii="仿宋_GB2312" w:hAnsi="楷体" w:eastAsia="仿宋_GB2312"/>
          <w:b w:val="0"/>
          <w:spacing w:val="-4"/>
          <w:sz w:val="32"/>
          <w:szCs w:val="32"/>
        </w:rPr>
        <w:t>绩效目标细化分解为具体的绩效指标，一级指标共3条，二级指标共</w:t>
      </w:r>
      <w:r>
        <w:rPr>
          <w:rStyle w:val="19"/>
          <w:rFonts w:hint="eastAsia" w:ascii="仿宋_GB2312" w:hAnsi="楷体" w:eastAsia="仿宋_GB2312"/>
          <w:b w:val="0"/>
          <w:spacing w:val="-4"/>
          <w:sz w:val="32"/>
          <w:szCs w:val="32"/>
          <w:lang w:val="en-US" w:eastAsia="zh-CN"/>
        </w:rPr>
        <w:t>6</w:t>
      </w:r>
      <w:r>
        <w:rPr>
          <w:rStyle w:val="19"/>
          <w:rFonts w:hint="eastAsia" w:ascii="仿宋_GB2312" w:hAnsi="楷体" w:eastAsia="仿宋_GB2312"/>
          <w:b w:val="0"/>
          <w:spacing w:val="-4"/>
          <w:sz w:val="32"/>
          <w:szCs w:val="32"/>
        </w:rPr>
        <w:t>条，三级指标共</w:t>
      </w:r>
      <w:r>
        <w:rPr>
          <w:rStyle w:val="19"/>
          <w:rFonts w:hint="eastAsia" w:ascii="仿宋_GB2312" w:hAnsi="楷体" w:eastAsia="仿宋_GB2312"/>
          <w:b w:val="0"/>
          <w:spacing w:val="-4"/>
          <w:sz w:val="32"/>
          <w:szCs w:val="32"/>
          <w:lang w:val="en-US" w:eastAsia="zh-CN"/>
        </w:rPr>
        <w:t>20</w:t>
      </w:r>
      <w:r>
        <w:rPr>
          <w:rStyle w:val="19"/>
          <w:rFonts w:hint="eastAsia" w:ascii="仿宋_GB2312" w:hAnsi="楷体" w:eastAsia="仿宋_GB2312"/>
          <w:b w:val="0"/>
          <w:spacing w:val="-4"/>
          <w:sz w:val="32"/>
          <w:szCs w:val="32"/>
        </w:rPr>
        <w:t>条，其中量化指标条数共</w:t>
      </w:r>
      <w:r>
        <w:rPr>
          <w:rStyle w:val="19"/>
          <w:rFonts w:hint="eastAsia" w:ascii="仿宋_GB2312" w:hAnsi="楷体" w:eastAsia="仿宋_GB2312"/>
          <w:b w:val="0"/>
          <w:spacing w:val="-4"/>
          <w:sz w:val="32"/>
          <w:szCs w:val="32"/>
          <w:lang w:val="en-US" w:eastAsia="zh-CN"/>
        </w:rPr>
        <w:t>20</w:t>
      </w:r>
      <w:r>
        <w:rPr>
          <w:rStyle w:val="19"/>
          <w:rFonts w:hint="eastAsia" w:ascii="仿宋_GB2312" w:hAnsi="楷体" w:eastAsia="仿宋_GB2312"/>
          <w:b w:val="0"/>
          <w:spacing w:val="-4"/>
          <w:sz w:val="32"/>
          <w:szCs w:val="32"/>
        </w:rPr>
        <w:t>条，所有绩效指标均通过清晰、可衡量的指标值予以体现，并且做到了与项目目标任务数或计划数相对应。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5、预算编制科学性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lang w:eastAsia="zh-CN"/>
        </w:rPr>
        <w:t>自治区信访业务智能辅助系统建设一期项目</w:t>
      </w:r>
      <w:r>
        <w:rPr>
          <w:rStyle w:val="19"/>
          <w:rFonts w:hint="eastAsia" w:ascii="仿宋_GB2312" w:hAnsi="楷体" w:eastAsia="仿宋_GB2312"/>
          <w:b w:val="0"/>
          <w:spacing w:val="-4"/>
          <w:sz w:val="32"/>
          <w:szCs w:val="32"/>
        </w:rPr>
        <w:t>资金预算均按照标准编制，并经过科学论证，与项目内容匹配，预算确定的项目投资额与工作任务相匹配。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6、资金分配合理性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预算资金分配依据充分，资金分配额度合理，与实际相适应。</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1、资金到位率：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实际到位资金</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万元，预算资金</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万元，资金到位率100%（资金到位率=（实际到位资金/预算资金）×100%）</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2、预算执行率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年初预算数</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万元，全年预算数</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万元（有年中追加资金，全年预算数=年初预算数+追加资金），全年执行数</w:t>
      </w:r>
      <w:r>
        <w:rPr>
          <w:rStyle w:val="19"/>
          <w:rFonts w:hint="eastAsia" w:ascii="仿宋_GB2312" w:hAnsi="楷体" w:eastAsia="仿宋_GB2312"/>
          <w:b w:val="0"/>
          <w:spacing w:val="-4"/>
          <w:sz w:val="32"/>
          <w:szCs w:val="32"/>
          <w:lang w:val="en-US" w:eastAsia="zh-CN"/>
        </w:rPr>
        <w:t>254</w:t>
      </w:r>
      <w:r>
        <w:rPr>
          <w:rStyle w:val="19"/>
          <w:rFonts w:hint="eastAsia" w:ascii="仿宋_GB2312" w:hAnsi="楷体" w:eastAsia="仿宋_GB2312"/>
          <w:b w:val="0"/>
          <w:spacing w:val="-4"/>
          <w:sz w:val="32"/>
          <w:szCs w:val="32"/>
        </w:rPr>
        <w:t>万元，预算执行率为</w:t>
      </w:r>
      <w:r>
        <w:rPr>
          <w:rStyle w:val="19"/>
          <w:rFonts w:hint="eastAsia" w:ascii="仿宋_GB2312" w:hAnsi="楷体" w:eastAsia="仿宋_GB2312"/>
          <w:b w:val="0"/>
          <w:spacing w:val="-4"/>
          <w:sz w:val="32"/>
          <w:szCs w:val="32"/>
          <w:lang w:val="en-US" w:eastAsia="zh-CN"/>
        </w:rPr>
        <w:t>57</w:t>
      </w:r>
      <w:r>
        <w:rPr>
          <w:rStyle w:val="19"/>
          <w:rFonts w:hint="eastAsia" w:ascii="仿宋_GB2312" w:hAnsi="楷体" w:eastAsia="仿宋_GB2312"/>
          <w:b w:val="0"/>
          <w:spacing w:val="-4"/>
          <w:sz w:val="32"/>
          <w:szCs w:val="32"/>
        </w:rPr>
        <w:t>%（预算执行率=全年执行数/全年预算数）</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3、资金使用合规性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资金使用符合国家财经法规和财务管理制度以及有关专项资金管理办法的规定；资金的拨付严格按照相关规定具备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4、管理制度健全性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已制定或具有相应的财务和业务管理制度；财务和业务管理制度合法、合规、完整。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5、制度执行有效性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严格遵守相关法律法规和相关管理规定；项目调整及支出调整手续完备；项目合同书、验收报告、技术鉴定等资料齐全并及时归档；项目实施的人员条件、场地设备、信息支撑等落实到位。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hint="eastAsia" w:ascii="楷体" w:hAnsi="楷体" w:eastAsia="楷体"/>
          <w:b/>
          <w:spacing w:val="-4"/>
          <w:sz w:val="32"/>
          <w:szCs w:val="32"/>
          <w:lang w:eastAsia="zh-CN"/>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楷体" w:eastAsia="仿宋_GB2312"/>
          <w:b w:val="0"/>
          <w:spacing w:val="-4"/>
          <w:sz w:val="32"/>
          <w:szCs w:val="32"/>
        </w:rPr>
      </w:pPr>
      <w:r>
        <w:rPr>
          <w:rStyle w:val="19"/>
          <w:rFonts w:hint="eastAsia" w:ascii="仿宋_GB2312" w:hAnsi="楷体" w:eastAsia="仿宋_GB2312"/>
          <w:b w:val="0"/>
          <w:spacing w:val="-4"/>
          <w:sz w:val="32"/>
          <w:szCs w:val="32"/>
        </w:rPr>
        <w:t>项目产出情况小计得分</w:t>
      </w:r>
      <w:r>
        <w:rPr>
          <w:rStyle w:val="19"/>
          <w:rFonts w:hint="eastAsia" w:ascii="仿宋_GB2312" w:hAnsi="楷体" w:eastAsia="仿宋_GB2312"/>
          <w:b w:val="0"/>
          <w:spacing w:val="-4"/>
          <w:sz w:val="32"/>
          <w:szCs w:val="32"/>
          <w:lang w:val="en-US" w:eastAsia="zh-CN"/>
        </w:rPr>
        <w:t>50</w:t>
      </w:r>
      <w:r>
        <w:rPr>
          <w:rStyle w:val="19"/>
          <w:rFonts w:hint="eastAsia" w:ascii="仿宋_GB2312" w:hAnsi="楷体" w:eastAsia="仿宋_GB2312"/>
          <w:b w:val="0"/>
          <w:spacing w:val="-4"/>
          <w:sz w:val="32"/>
          <w:szCs w:val="32"/>
        </w:rPr>
        <w:t>分，其中：1. 数量指标分析：项目实际完成率100%，得分1</w:t>
      </w:r>
      <w:r>
        <w:rPr>
          <w:rStyle w:val="19"/>
          <w:rFonts w:hint="eastAsia" w:ascii="仿宋_GB2312" w:hAnsi="楷体" w:eastAsia="仿宋_GB2312"/>
          <w:b w:val="0"/>
          <w:spacing w:val="-4"/>
          <w:sz w:val="32"/>
          <w:szCs w:val="32"/>
          <w:lang w:val="en-US" w:eastAsia="zh-CN"/>
        </w:rPr>
        <w:t>5</w:t>
      </w:r>
      <w:r>
        <w:rPr>
          <w:rStyle w:val="19"/>
          <w:rFonts w:hint="eastAsia" w:ascii="仿宋_GB2312" w:hAnsi="楷体" w:eastAsia="仿宋_GB2312"/>
          <w:b w:val="0"/>
          <w:spacing w:val="-4"/>
          <w:sz w:val="32"/>
          <w:szCs w:val="32"/>
        </w:rPr>
        <w:t>分；2. 质量指标分析：项目预设指标为大于等于90%，实际完成情况为90%，项目无偏差，偏差值0，得分1</w:t>
      </w:r>
      <w:r>
        <w:rPr>
          <w:rStyle w:val="19"/>
          <w:rFonts w:hint="eastAsia" w:ascii="仿宋_GB2312" w:hAnsi="楷体" w:eastAsia="仿宋_GB2312"/>
          <w:b w:val="0"/>
          <w:spacing w:val="-4"/>
          <w:sz w:val="32"/>
          <w:szCs w:val="32"/>
          <w:lang w:val="en-US" w:eastAsia="zh-CN"/>
        </w:rPr>
        <w:t>5</w:t>
      </w:r>
      <w:r>
        <w:rPr>
          <w:rStyle w:val="19"/>
          <w:rFonts w:hint="eastAsia" w:ascii="仿宋_GB2312" w:hAnsi="楷体" w:eastAsia="仿宋_GB2312"/>
          <w:b w:val="0"/>
          <w:spacing w:val="-4"/>
          <w:sz w:val="32"/>
          <w:szCs w:val="32"/>
        </w:rPr>
        <w:t>分；3. 时效指标分析：项目完成期限预设指标为202</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年12月31日，实际完成情况为202</w:t>
      </w:r>
      <w:r>
        <w:rPr>
          <w:rStyle w:val="19"/>
          <w:rFonts w:hint="eastAsia" w:ascii="仿宋_GB2312" w:hAnsi="楷体" w:eastAsia="仿宋_GB2312"/>
          <w:b w:val="0"/>
          <w:spacing w:val="-4"/>
          <w:sz w:val="32"/>
          <w:szCs w:val="32"/>
          <w:lang w:val="en-US" w:eastAsia="zh-CN"/>
        </w:rPr>
        <w:t>2</w:t>
      </w:r>
      <w:r>
        <w:rPr>
          <w:rStyle w:val="19"/>
          <w:rFonts w:hint="eastAsia" w:ascii="仿宋_GB2312" w:hAnsi="楷体" w:eastAsia="仿宋_GB2312"/>
          <w:b w:val="0"/>
          <w:spacing w:val="-4"/>
          <w:sz w:val="32"/>
          <w:szCs w:val="32"/>
        </w:rPr>
        <w:t>年12月31日，项目按规定及时完成，偏差值0，得分10分；4. 成本指标分析：实现目标总支出预设指标为小于等于</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万元，实际完成</w:t>
      </w:r>
      <w:r>
        <w:rPr>
          <w:rStyle w:val="19"/>
          <w:rFonts w:hint="eastAsia" w:ascii="仿宋_GB2312" w:hAnsi="楷体" w:eastAsia="仿宋_GB2312"/>
          <w:b w:val="0"/>
          <w:spacing w:val="-4"/>
          <w:sz w:val="32"/>
          <w:szCs w:val="32"/>
          <w:lang w:val="en-US" w:eastAsia="zh-CN"/>
        </w:rPr>
        <w:t>254</w:t>
      </w:r>
      <w:r>
        <w:rPr>
          <w:rStyle w:val="19"/>
          <w:rFonts w:hint="eastAsia" w:ascii="仿宋_GB2312" w:hAnsi="楷体" w:eastAsia="仿宋_GB2312"/>
          <w:b w:val="0"/>
          <w:spacing w:val="-4"/>
          <w:sz w:val="32"/>
          <w:szCs w:val="32"/>
        </w:rPr>
        <w:t>万元</w:t>
      </w:r>
      <w:r>
        <w:rPr>
          <w:rStyle w:val="19"/>
          <w:rFonts w:hint="eastAsia" w:ascii="仿宋_GB2312" w:hAnsi="楷体" w:eastAsia="仿宋_GB2312"/>
          <w:b w:val="0"/>
          <w:spacing w:val="-4"/>
          <w:sz w:val="32"/>
          <w:szCs w:val="32"/>
          <w:lang w:eastAsia="zh-CN"/>
        </w:rPr>
        <w:t>小于</w:t>
      </w:r>
      <w:r>
        <w:rPr>
          <w:rStyle w:val="19"/>
          <w:rFonts w:hint="eastAsia" w:ascii="仿宋_GB2312" w:hAnsi="楷体" w:eastAsia="仿宋_GB2312"/>
          <w:b w:val="0"/>
          <w:spacing w:val="-4"/>
          <w:sz w:val="32"/>
          <w:szCs w:val="32"/>
          <w:lang w:val="en-US" w:eastAsia="zh-CN"/>
        </w:rPr>
        <w:t>440</w:t>
      </w:r>
      <w:r>
        <w:rPr>
          <w:rStyle w:val="19"/>
          <w:rFonts w:hint="eastAsia" w:ascii="仿宋_GB2312" w:hAnsi="楷体" w:eastAsia="仿宋_GB2312"/>
          <w:b w:val="0"/>
          <w:spacing w:val="-4"/>
          <w:sz w:val="32"/>
          <w:szCs w:val="32"/>
        </w:rPr>
        <w:t>万元</w:t>
      </w:r>
      <w:r>
        <w:rPr>
          <w:rStyle w:val="19"/>
          <w:rFonts w:hint="eastAsia" w:ascii="仿宋_GB2312" w:hAnsi="楷体" w:eastAsia="仿宋_GB2312"/>
          <w:b w:val="0"/>
          <w:spacing w:val="-4"/>
          <w:sz w:val="32"/>
          <w:szCs w:val="32"/>
          <w:lang w:eastAsia="zh-CN"/>
        </w:rPr>
        <w:t>，</w:t>
      </w:r>
      <w:r>
        <w:rPr>
          <w:rStyle w:val="19"/>
          <w:rFonts w:hint="eastAsia" w:ascii="仿宋_GB2312" w:hAnsi="楷体" w:eastAsia="仿宋_GB2312"/>
          <w:b w:val="0"/>
          <w:spacing w:val="-4"/>
          <w:sz w:val="32"/>
          <w:szCs w:val="32"/>
        </w:rPr>
        <w:t>偏差值</w:t>
      </w:r>
      <w:r>
        <w:rPr>
          <w:rStyle w:val="19"/>
          <w:rFonts w:hint="eastAsia" w:ascii="仿宋_GB2312" w:hAnsi="楷体" w:eastAsia="仿宋_GB2312"/>
          <w:b w:val="0"/>
          <w:spacing w:val="-4"/>
          <w:sz w:val="32"/>
          <w:szCs w:val="32"/>
          <w:lang w:val="en-US" w:eastAsia="zh-CN"/>
        </w:rPr>
        <w:t>0</w:t>
      </w:r>
      <w:r>
        <w:rPr>
          <w:rStyle w:val="19"/>
          <w:rFonts w:hint="eastAsia" w:ascii="仿宋_GB2312" w:hAnsi="楷体" w:eastAsia="仿宋_GB2312"/>
          <w:b w:val="0"/>
          <w:spacing w:val="-4"/>
          <w:sz w:val="32"/>
          <w:szCs w:val="32"/>
        </w:rPr>
        <w:t>，得分</w:t>
      </w:r>
      <w:r>
        <w:rPr>
          <w:rStyle w:val="19"/>
          <w:rFonts w:hint="eastAsia" w:ascii="仿宋_GB2312" w:hAnsi="楷体" w:eastAsia="仿宋_GB2312"/>
          <w:b w:val="0"/>
          <w:spacing w:val="-4"/>
          <w:sz w:val="32"/>
          <w:szCs w:val="32"/>
          <w:lang w:val="en-US" w:eastAsia="zh-CN"/>
        </w:rPr>
        <w:t>10</w:t>
      </w:r>
      <w:r>
        <w:rPr>
          <w:rStyle w:val="19"/>
          <w:rFonts w:hint="eastAsia" w:ascii="仿宋_GB2312" w:hAnsi="楷体" w:eastAsia="仿宋_GB2312"/>
          <w:b w:val="0"/>
          <w:spacing w:val="-4"/>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服务社会群众满意。</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资金分配合理性：项目预算资金分配有测算依据，与本单位项目资金需要相适应。</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ascii="黑体" w:hAnsi="黑体" w:eastAsia="黑体"/>
          <w:spacing w:val="-4"/>
          <w:sz w:val="32"/>
          <w:szCs w:val="32"/>
        </w:rPr>
      </w:pPr>
      <w:r>
        <w:rPr>
          <w:rStyle w:val="19"/>
          <w:rFonts w:hint="eastAsia" w:ascii="黑体" w:hAnsi="黑体" w:eastAsia="黑体"/>
          <w:b w:val="0"/>
          <w:spacing w:val="-4"/>
          <w:sz w:val="32"/>
          <w:szCs w:val="32"/>
        </w:rPr>
        <w:t>五、</w:t>
      </w:r>
      <w:r>
        <w:rPr>
          <w:rStyle w:val="19"/>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严格执行相关财经法律法规，项目经费专款专用，抓好项目实施和绩效评价；二是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本次绩效评价情况，发现预算绩效申报存在绩效目标设置不科学、不合同理的问题。原因为编制的项目自评指标体系不够精细，绩效目标不具体，绩效目标未完全细化，分解工作任务不够具体，部分绩效指标不清晰，在经费支出过程中经济功能精确度有待提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w:t>
      </w:r>
      <w:r>
        <w:rPr>
          <w:rStyle w:val="19"/>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在今后的预算绩效申报时，相关业务处室将全年工作任务细化分解为具体的工作目标，并尽量采取定量的方式制定清晰、可衡量的绩效指标，提高项目使用经济功能精确度。</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pPr>
        <w:keepNext w:val="0"/>
        <w:keepLines w:val="0"/>
        <w:pageBreakBefore w:val="0"/>
        <w:widowControl w:val="0"/>
        <w:tabs>
          <w:tab w:val="left" w:pos="1477"/>
        </w:tabs>
        <w:kinsoku/>
        <w:wordWrap/>
        <w:overflowPunct/>
        <w:topLinePunct w:val="0"/>
        <w:autoSpaceDE/>
        <w:autoSpaceDN/>
        <w:bidi w:val="0"/>
        <w:adjustRightInd/>
        <w:snapToGrid/>
        <w:spacing w:line="600" w:lineRule="exact"/>
        <w:ind w:firstLine="567"/>
        <w:textAlignment w:val="auto"/>
        <w:rPr>
          <w:rStyle w:val="19"/>
          <w:rFonts w:ascii="仿宋" w:hAnsi="仿宋" w:eastAsia="仿宋"/>
          <w:b w:val="0"/>
          <w:spacing w:val="-4"/>
          <w:sz w:val="32"/>
          <w:szCs w:val="32"/>
        </w:rPr>
      </w:pPr>
      <w:r>
        <w:rPr>
          <w:rStyle w:val="19"/>
          <w:rFonts w:hint="eastAsia" w:ascii="仿宋" w:hAnsi="仿宋" w:eastAsia="仿宋"/>
          <w:b w:val="0"/>
          <w:spacing w:val="-4"/>
          <w:sz w:val="32"/>
          <w:szCs w:val="32"/>
          <w:lang w:eastAsia="zh-CN"/>
        </w:rPr>
        <w:t>无</w:t>
      </w:r>
      <w:r>
        <w:rPr>
          <w:rStyle w:val="19"/>
          <w:rFonts w:hint="eastAsia" w:ascii="仿宋" w:hAnsi="仿宋" w:eastAsia="仿宋"/>
          <w:b w:val="0"/>
          <w:spacing w:val="-4"/>
          <w:sz w:val="32"/>
          <w:szCs w:val="32"/>
          <w:lang w:eastAsia="zh-CN"/>
        </w:rPr>
        <w:tab/>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64BC7"/>
    <w:multiLevelType w:val="singleLevel"/>
    <w:tmpl w:val="A8A64BC7"/>
    <w:lvl w:ilvl="0" w:tentative="0">
      <w:start w:val="3"/>
      <w:numFmt w:val="chineseCounting"/>
      <w:suff w:val="nothing"/>
      <w:lvlText w:val="%1、"/>
      <w:lvlJc w:val="left"/>
      <w:rPr>
        <w:rFonts w:hint="eastAsia"/>
      </w:rPr>
    </w:lvl>
  </w:abstractNum>
  <w:abstractNum w:abstractNumId="1">
    <w:nsid w:val="12B1A99B"/>
    <w:multiLevelType w:val="singleLevel"/>
    <w:tmpl w:val="12B1A99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llZDg1N2Y0MzY1OGY5NjRjNDc3ZDhhOTMwM2ZmOWEifQ=="/>
  </w:docVars>
  <w:rsids>
    <w:rsidRoot w:val="00CA6457"/>
    <w:rsid w:val="000110C4"/>
    <w:rsid w:val="00037D50"/>
    <w:rsid w:val="0005416C"/>
    <w:rsid w:val="00056465"/>
    <w:rsid w:val="001028C5"/>
    <w:rsid w:val="00102DFF"/>
    <w:rsid w:val="00121AE4"/>
    <w:rsid w:val="0014601B"/>
    <w:rsid w:val="00146AAD"/>
    <w:rsid w:val="00150F05"/>
    <w:rsid w:val="00176C6D"/>
    <w:rsid w:val="001B3A40"/>
    <w:rsid w:val="001C37B8"/>
    <w:rsid w:val="00273CCD"/>
    <w:rsid w:val="00291BC0"/>
    <w:rsid w:val="00311DBE"/>
    <w:rsid w:val="003143B2"/>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2F43727"/>
    <w:rsid w:val="031B2C7F"/>
    <w:rsid w:val="054B5371"/>
    <w:rsid w:val="05BC1DCB"/>
    <w:rsid w:val="071C3C20"/>
    <w:rsid w:val="090A07BB"/>
    <w:rsid w:val="099A5145"/>
    <w:rsid w:val="0C120997"/>
    <w:rsid w:val="0CB44F22"/>
    <w:rsid w:val="0CBD60B5"/>
    <w:rsid w:val="0D4947F0"/>
    <w:rsid w:val="0DA11FD2"/>
    <w:rsid w:val="0DD979BE"/>
    <w:rsid w:val="0E891EC0"/>
    <w:rsid w:val="12863E8D"/>
    <w:rsid w:val="14B460BF"/>
    <w:rsid w:val="151E7250"/>
    <w:rsid w:val="181D2B9D"/>
    <w:rsid w:val="18221F62"/>
    <w:rsid w:val="19770271"/>
    <w:rsid w:val="1A3E722E"/>
    <w:rsid w:val="1B79458F"/>
    <w:rsid w:val="1C616E06"/>
    <w:rsid w:val="1F9000F9"/>
    <w:rsid w:val="22417E77"/>
    <w:rsid w:val="2482795F"/>
    <w:rsid w:val="24AF1E06"/>
    <w:rsid w:val="24DD5B8E"/>
    <w:rsid w:val="25951FC5"/>
    <w:rsid w:val="261A071C"/>
    <w:rsid w:val="279425A8"/>
    <w:rsid w:val="29634188"/>
    <w:rsid w:val="2E81758A"/>
    <w:rsid w:val="2EBF00B3"/>
    <w:rsid w:val="305111DE"/>
    <w:rsid w:val="31E225BA"/>
    <w:rsid w:val="33F151B2"/>
    <w:rsid w:val="34312B3D"/>
    <w:rsid w:val="34ED7013"/>
    <w:rsid w:val="356913C4"/>
    <w:rsid w:val="35F03248"/>
    <w:rsid w:val="38CA4224"/>
    <w:rsid w:val="3BAC19BF"/>
    <w:rsid w:val="3BC82C9D"/>
    <w:rsid w:val="3FD030C7"/>
    <w:rsid w:val="414F5450"/>
    <w:rsid w:val="420C765B"/>
    <w:rsid w:val="42294ADF"/>
    <w:rsid w:val="440F6F8F"/>
    <w:rsid w:val="446C73A3"/>
    <w:rsid w:val="44B30262"/>
    <w:rsid w:val="44B67FDA"/>
    <w:rsid w:val="45D93C4F"/>
    <w:rsid w:val="476127D4"/>
    <w:rsid w:val="478A6B4C"/>
    <w:rsid w:val="496658A3"/>
    <w:rsid w:val="49747FC0"/>
    <w:rsid w:val="4A69389D"/>
    <w:rsid w:val="4B7D0C82"/>
    <w:rsid w:val="4D2606A1"/>
    <w:rsid w:val="4D40640B"/>
    <w:rsid w:val="4D424AAD"/>
    <w:rsid w:val="4F557D47"/>
    <w:rsid w:val="51E41C83"/>
    <w:rsid w:val="51EA5EC9"/>
    <w:rsid w:val="52C35B14"/>
    <w:rsid w:val="558A2665"/>
    <w:rsid w:val="55EA33B8"/>
    <w:rsid w:val="5D11008D"/>
    <w:rsid w:val="5D3A69D3"/>
    <w:rsid w:val="5D5E2815"/>
    <w:rsid w:val="5F275E09"/>
    <w:rsid w:val="60430294"/>
    <w:rsid w:val="61442D85"/>
    <w:rsid w:val="61A77D86"/>
    <w:rsid w:val="61DC0DF0"/>
    <w:rsid w:val="63DF78FE"/>
    <w:rsid w:val="64540C53"/>
    <w:rsid w:val="6949630A"/>
    <w:rsid w:val="6D202C18"/>
    <w:rsid w:val="6E276AFF"/>
    <w:rsid w:val="6EED5F9B"/>
    <w:rsid w:val="6F286FD3"/>
    <w:rsid w:val="70205EFC"/>
    <w:rsid w:val="710B6BAC"/>
    <w:rsid w:val="72673016"/>
    <w:rsid w:val="7376144F"/>
    <w:rsid w:val="738D5656"/>
    <w:rsid w:val="74AE71CE"/>
    <w:rsid w:val="777C610E"/>
    <w:rsid w:val="78D8023F"/>
    <w:rsid w:val="79102FB2"/>
    <w:rsid w:val="7BD71EAC"/>
    <w:rsid w:val="7D723F53"/>
    <w:rsid w:val="7E265C2F"/>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style>
  <w:style w:type="paragraph" w:styleId="12">
    <w:name w:val="Balloon Text"/>
    <w:basedOn w:val="1"/>
    <w:link w:val="46"/>
    <w:autoRedefine/>
    <w:semiHidden/>
    <w:unhideWhenUsed/>
    <w:qFormat/>
    <w:uiPriority w:val="99"/>
    <w:rPr>
      <w:sz w:val="18"/>
      <w:szCs w:val="18"/>
    </w:rPr>
  </w:style>
  <w:style w:type="paragraph" w:styleId="13">
    <w:name w:val="footer"/>
    <w:basedOn w:val="1"/>
    <w:link w:val="45"/>
    <w:autoRedefine/>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autoRedefine/>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autoRedefine/>
    <w:qFormat/>
    <w:uiPriority w:val="0"/>
    <w:rPr>
      <w:b/>
      <w:bCs/>
    </w:rPr>
  </w:style>
  <w:style w:type="character" w:styleId="20">
    <w:name w:val="Emphasis"/>
    <w:basedOn w:val="18"/>
    <w:autoRedefine/>
    <w:qFormat/>
    <w:uiPriority w:val="20"/>
    <w:rPr>
      <w:rFonts w:asciiTheme="minorHAnsi" w:hAnsiTheme="minorHAnsi"/>
      <w:b/>
      <w:i/>
      <w:iCs/>
    </w:rPr>
  </w:style>
  <w:style w:type="character" w:customStyle="1" w:styleId="21">
    <w:name w:val="标题 1 Char"/>
    <w:basedOn w:val="18"/>
    <w:link w:val="3"/>
    <w:autoRedefine/>
    <w:qFormat/>
    <w:uiPriority w:val="9"/>
    <w:rPr>
      <w:rFonts w:asciiTheme="majorHAnsi" w:hAnsiTheme="majorHAnsi" w:eastAsiaTheme="majorEastAsia"/>
      <w:b/>
      <w:bCs/>
      <w:kern w:val="32"/>
      <w:sz w:val="32"/>
      <w:szCs w:val="32"/>
    </w:rPr>
  </w:style>
  <w:style w:type="character" w:customStyle="1" w:styleId="22">
    <w:name w:val="标题 2 Char"/>
    <w:basedOn w:val="18"/>
    <w:link w:val="4"/>
    <w:autoRedefine/>
    <w:semiHidden/>
    <w:qFormat/>
    <w:uiPriority w:val="9"/>
    <w:rPr>
      <w:rFonts w:asciiTheme="majorHAnsi" w:hAnsiTheme="majorHAnsi" w:eastAsiaTheme="majorEastAsia"/>
      <w:b/>
      <w:bCs/>
      <w:i/>
      <w:iCs/>
      <w:sz w:val="28"/>
      <w:szCs w:val="28"/>
    </w:rPr>
  </w:style>
  <w:style w:type="character" w:customStyle="1" w:styleId="23">
    <w:name w:val="标题 3 Char"/>
    <w:basedOn w:val="18"/>
    <w:link w:val="5"/>
    <w:autoRedefine/>
    <w:semiHidden/>
    <w:qFormat/>
    <w:uiPriority w:val="9"/>
    <w:rPr>
      <w:rFonts w:asciiTheme="majorHAnsi" w:hAnsiTheme="majorHAnsi" w:eastAsiaTheme="majorEastAsia"/>
      <w:b/>
      <w:bCs/>
      <w:sz w:val="26"/>
      <w:szCs w:val="26"/>
    </w:rPr>
  </w:style>
  <w:style w:type="character" w:customStyle="1" w:styleId="24">
    <w:name w:val="标题 4 Char"/>
    <w:basedOn w:val="18"/>
    <w:link w:val="6"/>
    <w:autoRedefine/>
    <w:qFormat/>
    <w:uiPriority w:val="9"/>
    <w:rPr>
      <w:b/>
      <w:bCs/>
      <w:sz w:val="28"/>
      <w:szCs w:val="28"/>
    </w:rPr>
  </w:style>
  <w:style w:type="character" w:customStyle="1" w:styleId="25">
    <w:name w:val="标题 5 Char"/>
    <w:basedOn w:val="18"/>
    <w:link w:val="7"/>
    <w:autoRedefine/>
    <w:semiHidden/>
    <w:qFormat/>
    <w:uiPriority w:val="9"/>
    <w:rPr>
      <w:b/>
      <w:bCs/>
      <w:i/>
      <w:iCs/>
      <w:sz w:val="26"/>
      <w:szCs w:val="26"/>
    </w:rPr>
  </w:style>
  <w:style w:type="character" w:customStyle="1" w:styleId="26">
    <w:name w:val="标题 6 Char"/>
    <w:basedOn w:val="18"/>
    <w:link w:val="8"/>
    <w:autoRedefine/>
    <w:semiHidden/>
    <w:qFormat/>
    <w:uiPriority w:val="9"/>
    <w:rPr>
      <w:b/>
      <w:bCs/>
    </w:rPr>
  </w:style>
  <w:style w:type="character" w:customStyle="1" w:styleId="27">
    <w:name w:val="标题 7 Char"/>
    <w:basedOn w:val="18"/>
    <w:link w:val="9"/>
    <w:autoRedefine/>
    <w:semiHidden/>
    <w:qFormat/>
    <w:uiPriority w:val="9"/>
    <w:rPr>
      <w:sz w:val="24"/>
      <w:szCs w:val="24"/>
    </w:rPr>
  </w:style>
  <w:style w:type="character" w:customStyle="1" w:styleId="28">
    <w:name w:val="标题 8 Char"/>
    <w:basedOn w:val="18"/>
    <w:link w:val="10"/>
    <w:autoRedefine/>
    <w:semiHidden/>
    <w:qFormat/>
    <w:uiPriority w:val="9"/>
    <w:rPr>
      <w:i/>
      <w:iCs/>
      <w:sz w:val="24"/>
      <w:szCs w:val="24"/>
    </w:rPr>
  </w:style>
  <w:style w:type="character" w:customStyle="1" w:styleId="29">
    <w:name w:val="标题 9 Char"/>
    <w:basedOn w:val="18"/>
    <w:link w:val="11"/>
    <w:autoRedefine/>
    <w:semiHidden/>
    <w:qFormat/>
    <w:uiPriority w:val="9"/>
    <w:rPr>
      <w:rFonts w:asciiTheme="majorHAnsi" w:hAnsiTheme="majorHAnsi" w:eastAsiaTheme="majorEastAsia"/>
    </w:rPr>
  </w:style>
  <w:style w:type="character" w:customStyle="1" w:styleId="30">
    <w:name w:val="标题 Char"/>
    <w:basedOn w:val="18"/>
    <w:link w:val="16"/>
    <w:autoRedefine/>
    <w:qFormat/>
    <w:uiPriority w:val="10"/>
    <w:rPr>
      <w:rFonts w:asciiTheme="majorHAnsi" w:hAnsiTheme="majorHAnsi" w:eastAsiaTheme="majorEastAsia"/>
      <w:b/>
      <w:bCs/>
      <w:kern w:val="28"/>
      <w:sz w:val="32"/>
      <w:szCs w:val="32"/>
    </w:rPr>
  </w:style>
  <w:style w:type="character" w:customStyle="1" w:styleId="31">
    <w:name w:val="副标题 Char"/>
    <w:basedOn w:val="18"/>
    <w:link w:val="15"/>
    <w:autoRedefine/>
    <w:qFormat/>
    <w:uiPriority w:val="11"/>
    <w:rPr>
      <w:rFonts w:asciiTheme="majorHAnsi" w:hAnsiTheme="majorHAnsi" w:eastAsiaTheme="majorEastAsia"/>
      <w:sz w:val="24"/>
      <w:szCs w:val="24"/>
    </w:rPr>
  </w:style>
  <w:style w:type="paragraph" w:styleId="32">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paragraph" w:customStyle="1" w:styleId="47">
    <w:name w:val="无间隔1"/>
    <w:basedOn w:val="1"/>
    <w:next w:val="5"/>
    <w:qFormat/>
    <w:uiPriority w:val="0"/>
    <w:pPr>
      <w:jc w:val="left"/>
    </w:pPr>
    <w:rPr>
      <w:kern w:val="0"/>
      <w:sz w:val="22"/>
      <w:szCs w:val="22"/>
    </w:rPr>
  </w:style>
  <w:style w:type="character" w:customStyle="1" w:styleId="48">
    <w:name w:val="font01"/>
    <w:basedOn w:val="18"/>
    <w:qFormat/>
    <w:uiPriority w:val="0"/>
    <w:rPr>
      <w:rFonts w:hint="eastAsia" w:ascii="宋体" w:hAnsi="宋体" w:eastAsia="宋体" w:cs="宋体"/>
      <w:b/>
      <w:bCs/>
      <w:color w:val="000000"/>
      <w:sz w:val="32"/>
      <w:szCs w:val="32"/>
      <w:u w:val="none"/>
    </w:rPr>
  </w:style>
  <w:style w:type="character" w:customStyle="1" w:styleId="49">
    <w:name w:val="font21"/>
    <w:basedOn w:val="1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5319</Words>
  <Characters>5466</Characters>
  <Lines>3</Lines>
  <Paragraphs>1</Paragraphs>
  <TotalTime>7</TotalTime>
  <ScaleCrop>false</ScaleCrop>
  <LinksUpToDate>false</LinksUpToDate>
  <CharactersWithSpaces>5495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2022-03-28T05:02:00Z</dcterms:created>
  <dc:creator>赵 恺（预算处）</dc:creator>
  <cp:lastModifiedBy>胡新锋</cp:lastModifiedBy>
  <cp:lastPrinted>2022-04-08T09:51:00Z</cp:lastPrinted>
  <dcterms:modified xsi:type="dcterms:W3CDTF">2024-01-07T11:50:57Z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7D7D901A0D474D57BCA0A53252B9D510</vt:lpwstr>
  </property>
</Properties>
</file>