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方正小标宋_GBK" w:cs="Times New Roman"/>
          <w:b/>
          <w:kern w:val="0"/>
          <w:sz w:val="48"/>
          <w:szCs w:val="48"/>
        </w:rPr>
      </w:pPr>
    </w:p>
    <w:p>
      <w:pPr>
        <w:spacing w:line="540" w:lineRule="exact"/>
        <w:jc w:val="center"/>
        <w:rPr>
          <w:rFonts w:hint="default" w:ascii="Times New Roman" w:hAnsi="Times New Roman" w:eastAsia="方正小标宋_GBK" w:cs="Times New Roman"/>
          <w:b/>
          <w:kern w:val="0"/>
          <w:sz w:val="48"/>
          <w:szCs w:val="48"/>
        </w:rPr>
      </w:pPr>
    </w:p>
    <w:p>
      <w:pPr>
        <w:spacing w:line="540" w:lineRule="exact"/>
        <w:jc w:val="center"/>
        <w:rPr>
          <w:rFonts w:hint="default" w:ascii="Times New Roman" w:hAnsi="Times New Roman" w:eastAsia="方正小标宋_GBK" w:cs="Times New Roman"/>
          <w:b/>
          <w:kern w:val="0"/>
          <w:sz w:val="48"/>
          <w:szCs w:val="48"/>
        </w:rPr>
      </w:pPr>
    </w:p>
    <w:p>
      <w:pPr>
        <w:spacing w:line="540" w:lineRule="exact"/>
        <w:jc w:val="center"/>
        <w:rPr>
          <w:rFonts w:hint="default" w:ascii="Times New Roman" w:hAnsi="Times New Roman" w:eastAsia="方正小标宋_GBK" w:cs="Times New Roman"/>
          <w:b/>
          <w:kern w:val="0"/>
          <w:sz w:val="48"/>
          <w:szCs w:val="48"/>
        </w:rPr>
      </w:pPr>
    </w:p>
    <w:p>
      <w:pPr>
        <w:spacing w:line="540" w:lineRule="exact"/>
        <w:jc w:val="center"/>
        <w:rPr>
          <w:rFonts w:hint="default" w:ascii="Times New Roman" w:hAnsi="Times New Roman" w:eastAsia="方正小标宋_GBK" w:cs="Times New Roman"/>
          <w:b/>
          <w:kern w:val="0"/>
          <w:sz w:val="48"/>
          <w:szCs w:val="48"/>
        </w:rPr>
      </w:pPr>
    </w:p>
    <w:p>
      <w:pPr>
        <w:spacing w:line="540" w:lineRule="exact"/>
        <w:jc w:val="center"/>
        <w:rPr>
          <w:rFonts w:hint="default" w:ascii="Times New Roman" w:hAnsi="Times New Roman" w:eastAsia="方正小标宋_GBK" w:cs="Times New Roman"/>
          <w:b/>
          <w:kern w:val="0"/>
          <w:sz w:val="48"/>
          <w:szCs w:val="48"/>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b w:val="0"/>
          <w:bCs/>
          <w:kern w:val="0"/>
          <w:sz w:val="44"/>
          <w:szCs w:val="44"/>
        </w:rPr>
      </w:pPr>
      <w:r>
        <w:rPr>
          <w:rFonts w:hint="default" w:ascii="Times New Roman" w:hAnsi="Times New Roman" w:eastAsia="方正小标宋_GBK" w:cs="Times New Roman"/>
          <w:b w:val="0"/>
          <w:bCs/>
          <w:kern w:val="0"/>
          <w:sz w:val="44"/>
          <w:szCs w:val="44"/>
        </w:rPr>
        <w:t>自治区本级部门单位整体支出绩效</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_GBK" w:cs="Times New Roman"/>
          <w:b w:val="0"/>
          <w:bCs/>
          <w:kern w:val="0"/>
          <w:sz w:val="44"/>
          <w:szCs w:val="44"/>
        </w:rPr>
      </w:pPr>
      <w:r>
        <w:rPr>
          <w:rFonts w:hint="default" w:ascii="Times New Roman" w:hAnsi="Times New Roman" w:eastAsia="方正小标宋_GBK" w:cs="Times New Roman"/>
          <w:b w:val="0"/>
          <w:bCs/>
          <w:kern w:val="0"/>
          <w:sz w:val="44"/>
          <w:szCs w:val="44"/>
        </w:rPr>
        <w:t>自评报告</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华文中宋" w:cs="Times New Roman"/>
          <w:b/>
          <w:kern w:val="0"/>
          <w:sz w:val="52"/>
          <w:szCs w:val="52"/>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Fonts w:hint="default" w:ascii="Times New Roman" w:hAnsi="Times New Roman" w:eastAsia="仿宋_GB2312" w:cs="Times New Roman"/>
          <w:b/>
          <w:sz w:val="32"/>
          <w:szCs w:val="32"/>
        </w:rPr>
        <w:t>2022</w:t>
      </w:r>
      <w:r>
        <w:rPr>
          <w:rFonts w:hint="default" w:ascii="Times New Roman" w:hAnsi="Times New Roman" w:eastAsia="仿宋_GB2312" w:cs="Times New Roman"/>
          <w:kern w:val="0"/>
          <w:sz w:val="36"/>
          <w:szCs w:val="36"/>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640" w:lineRule="exact"/>
        <w:ind w:left="718" w:leftChars="342" w:firstLine="0" w:firstLineChars="0"/>
        <w:jc w:val="center"/>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kern w:val="0"/>
          <w:sz w:val="36"/>
          <w:szCs w:val="36"/>
        </w:rPr>
        <w:t>部门单位名称（公章）：</w:t>
      </w:r>
      <w:r>
        <w:rPr>
          <w:rFonts w:hint="default" w:ascii="Times New Roman" w:hAnsi="Times New Roman" w:eastAsia="仿宋_GB2312" w:cs="Times New Roman"/>
          <w:b w:val="0"/>
          <w:bCs/>
          <w:sz w:val="36"/>
          <w:szCs w:val="36"/>
        </w:rPr>
        <w:t>中共新疆维吾尔自治区</w:t>
      </w:r>
    </w:p>
    <w:p>
      <w:pPr>
        <w:keepNext w:val="0"/>
        <w:keepLines w:val="0"/>
        <w:pageBreakBefore w:val="0"/>
        <w:widowControl w:val="0"/>
        <w:kinsoku/>
        <w:wordWrap/>
        <w:overflowPunct/>
        <w:topLinePunct w:val="0"/>
        <w:autoSpaceDE/>
        <w:autoSpaceDN/>
        <w:bidi w:val="0"/>
        <w:adjustRightInd/>
        <w:snapToGrid/>
        <w:spacing w:line="640" w:lineRule="exact"/>
        <w:ind w:left="718" w:leftChars="342" w:firstLine="0" w:firstLineChars="0"/>
        <w:jc w:val="center"/>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委员会组织部</w:t>
      </w:r>
    </w:p>
    <w:p>
      <w:pPr>
        <w:keepNext w:val="0"/>
        <w:keepLines w:val="0"/>
        <w:pageBreakBefore w:val="0"/>
        <w:widowControl w:val="0"/>
        <w:kinsoku/>
        <w:wordWrap/>
        <w:overflowPunct/>
        <w:topLinePunct w:val="0"/>
        <w:autoSpaceDE/>
        <w:autoSpaceDN/>
        <w:bidi w:val="0"/>
        <w:adjustRightInd/>
        <w:snapToGrid/>
        <w:spacing w:line="640" w:lineRule="exact"/>
        <w:ind w:firstLine="720" w:firstLineChars="200"/>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default" w:ascii="Times New Roman" w:hAnsi="Times New Roman" w:eastAsia="仿宋_GB2312" w:cs="Times New Roman"/>
          <w:kern w:val="0"/>
          <w:sz w:val="36"/>
          <w:szCs w:val="36"/>
          <w:lang w:val="en-US" w:eastAsia="zh-CN"/>
        </w:rPr>
        <w:t>2022</w:t>
      </w:r>
      <w:r>
        <w:rPr>
          <w:rFonts w:hint="default" w:ascii="Times New Roman" w:hAnsi="Times New Roman" w:eastAsia="仿宋_GB2312" w:cs="Times New Roman"/>
          <w:kern w:val="0"/>
          <w:sz w:val="36"/>
          <w:szCs w:val="36"/>
        </w:rPr>
        <w:t>年</w:t>
      </w:r>
      <w:r>
        <w:rPr>
          <w:rFonts w:hint="default" w:ascii="Times New Roman" w:hAnsi="Times New Roman" w:eastAsia="仿宋_GB2312" w:cs="Times New Roman"/>
          <w:kern w:val="0"/>
          <w:sz w:val="36"/>
          <w:szCs w:val="36"/>
          <w:lang w:val="en-US" w:eastAsia="zh-CN"/>
        </w:rPr>
        <w:t>12</w:t>
      </w:r>
      <w:r>
        <w:rPr>
          <w:rFonts w:hint="default" w:ascii="Times New Roman" w:hAnsi="Times New Roman" w:eastAsia="仿宋_GB2312" w:cs="Times New Roman"/>
          <w:kern w:val="0"/>
          <w:sz w:val="36"/>
          <w:szCs w:val="36"/>
        </w:rPr>
        <w:t>月</w:t>
      </w:r>
      <w:r>
        <w:rPr>
          <w:rFonts w:hint="default" w:ascii="Times New Roman" w:hAnsi="Times New Roman"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leftChars="200" w:firstLine="640" w:firstLineChars="200"/>
        <w:jc w:val="both"/>
        <w:textAlignment w:val="auto"/>
        <w:rPr>
          <w:rFonts w:hint="eastAsia" w:eastAsia="黑体" w:cs="Times New Roman"/>
          <w:bCs/>
          <w:color w:val="333333"/>
          <w:sz w:val="32"/>
          <w:szCs w:val="32"/>
          <w:lang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一、</w:t>
      </w:r>
      <w:r>
        <w:rPr>
          <w:rFonts w:hint="default" w:ascii="Times New Roman" w:hAnsi="Times New Roman" w:eastAsia="黑体" w:cs="Times New Roman"/>
          <w:bCs/>
          <w:color w:val="333333"/>
          <w:sz w:val="36"/>
          <w:szCs w:val="36"/>
          <w:lang w:bidi="ar"/>
        </w:rPr>
        <w:t>基本概况</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楷体_GB2312" w:cs="Times New Roman"/>
          <w:b w:val="0"/>
          <w:bCs/>
          <w:sz w:val="36"/>
          <w:szCs w:val="36"/>
        </w:rPr>
      </w:pPr>
      <w:r>
        <w:rPr>
          <w:rFonts w:hint="default" w:ascii="Times New Roman" w:hAnsi="Times New Roman" w:eastAsia="楷体_GB2312" w:cs="Times New Roman"/>
          <w:b w:val="0"/>
          <w:bCs/>
          <w:sz w:val="36"/>
          <w:szCs w:val="36"/>
          <w:lang w:eastAsia="zh-CN"/>
        </w:rPr>
        <w:t>（一）</w:t>
      </w:r>
      <w:r>
        <w:rPr>
          <w:rFonts w:hint="default" w:ascii="Times New Roman" w:hAnsi="Times New Roman" w:eastAsia="楷体_GB2312" w:cs="Times New Roman"/>
          <w:b w:val="0"/>
          <w:bCs/>
          <w:sz w:val="36"/>
          <w:szCs w:val="36"/>
        </w:rPr>
        <w:t xml:space="preserve"> 主要职能</w:t>
      </w:r>
    </w:p>
    <w:p>
      <w:pPr>
        <w:keepNext w:val="0"/>
        <w:keepLines w:val="0"/>
        <w:pageBreakBefore w:val="0"/>
        <w:widowControl w:val="0"/>
        <w:kinsoku/>
        <w:wordWrap/>
        <w:overflowPunct/>
        <w:topLinePunct w:val="0"/>
        <w:autoSpaceDE/>
        <w:autoSpaceDN/>
        <w:bidi w:val="0"/>
        <w:adjustRightInd/>
        <w:spacing w:line="640" w:lineRule="exact"/>
        <w:ind w:left="718" w:leftChars="342" w:firstLine="0" w:firstLineChars="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（1）负责党的组织制度建设；</w:t>
      </w:r>
      <w:r>
        <w:rPr>
          <w:rFonts w:hint="default" w:ascii="Times New Roman" w:hAnsi="Times New Roman" w:eastAsia="仿宋_GB2312" w:cs="Times New Roman"/>
          <w:b w:val="0"/>
          <w:bCs/>
          <w:sz w:val="36"/>
          <w:szCs w:val="36"/>
        </w:rPr>
        <w:br w:type="textWrapping"/>
      </w:r>
      <w:r>
        <w:rPr>
          <w:rFonts w:hint="default" w:ascii="Times New Roman" w:hAnsi="Times New Roman" w:eastAsia="仿宋_GB2312" w:cs="Times New Roman"/>
          <w:b w:val="0"/>
          <w:bCs/>
          <w:sz w:val="36"/>
          <w:szCs w:val="36"/>
        </w:rPr>
        <w:t>（2）负责基层组织和党员队伍建设；</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楷体_GB2312" w:cs="Times New Roman"/>
          <w:b w:val="0"/>
          <w:bCs/>
          <w:sz w:val="32"/>
          <w:szCs w:val="32"/>
        </w:rPr>
      </w:pPr>
      <w:r>
        <w:rPr>
          <w:rFonts w:hint="default" w:ascii="Times New Roman" w:hAnsi="Times New Roman" w:eastAsia="仿宋_GB2312" w:cs="Times New Roman"/>
          <w:b w:val="0"/>
          <w:bCs/>
          <w:sz w:val="36"/>
          <w:szCs w:val="36"/>
        </w:rPr>
        <w:t>（3）负责领导班子和领导干部队伍特别是优秀年轻干部队伍建设；</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（4）负责公务员队伍建设；</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（5）负责人才工作；</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（6）负责干部队伍建设宏观指导和干部队伍教育培训、管理监督工作；</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（7）负责干部人才援疆工作；</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（8）负责党的建设和组织工作研究；</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（9）统一管理中共新疆维吾尔自治区机构编制委员会办公室，归口管理中共新疆维吾尔自治区委员会老干部局；</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（10）完成自治区党委交办的其他任务。</w:t>
      </w:r>
      <w:r>
        <w:rPr>
          <w:rFonts w:hint="default" w:ascii="Times New Roman" w:hAnsi="Times New Roman" w:eastAsia="仿宋_GB2312" w:cs="Times New Roman"/>
          <w:b w:val="0"/>
          <w:bCs/>
          <w:sz w:val="36"/>
          <w:szCs w:val="36"/>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楷体_GB2312" w:cs="Times New Roman"/>
          <w:b w:val="0"/>
          <w:bCs/>
          <w:sz w:val="36"/>
          <w:szCs w:val="36"/>
          <w:lang w:eastAsia="zh-CN"/>
        </w:rPr>
        <w:t>（二）</w:t>
      </w:r>
      <w:r>
        <w:rPr>
          <w:rFonts w:hint="default" w:ascii="Times New Roman" w:hAnsi="Times New Roman" w:eastAsia="楷体_GB2312" w:cs="Times New Roman"/>
          <w:b w:val="0"/>
          <w:bCs/>
          <w:sz w:val="36"/>
          <w:szCs w:val="36"/>
        </w:rPr>
        <w:t xml:space="preserve"> 机构设置及人员情况</w:t>
      </w:r>
    </w:p>
    <w:p>
      <w:pPr>
        <w:ind w:firstLine="720" w:firstLineChars="200"/>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中共新疆维吾尔自治区委员会组织部本级下设</w:t>
      </w:r>
      <w:r>
        <w:rPr>
          <w:rFonts w:hint="eastAsia" w:eastAsia="仿宋_GB2312" w:cs="Times New Roman"/>
          <w:b w:val="0"/>
          <w:bCs/>
          <w:sz w:val="36"/>
          <w:szCs w:val="36"/>
          <w:lang w:val="en-US" w:eastAsia="zh-CN"/>
        </w:rPr>
        <w:t>30</w:t>
      </w:r>
      <w:r>
        <w:rPr>
          <w:rFonts w:hint="default" w:ascii="Times New Roman" w:hAnsi="Times New Roman" w:eastAsia="仿宋_GB2312" w:cs="Times New Roman"/>
          <w:b w:val="0"/>
          <w:bCs/>
          <w:sz w:val="36"/>
          <w:szCs w:val="36"/>
        </w:rPr>
        <w:t>个处室，分别是：</w:t>
      </w:r>
      <w:r>
        <w:rPr>
          <w:rFonts w:hint="eastAsia" w:ascii="Times New Roman" w:hAnsi="Times New Roman" w:eastAsia="仿宋_GB2312" w:cs="Times New Roman"/>
          <w:b w:val="0"/>
          <w:bCs/>
          <w:sz w:val="36"/>
          <w:szCs w:val="36"/>
        </w:rPr>
        <w:t>办公室、调查研究室、组织一处、组织二处、组织三处、干部一处、干部二处、干部三处、干部四处、干部五处、干部队伍建设规划办公室、干部考核处、公务员一处、公务员二处、公务员三处、人才工作处、干部教育处、干部监督处、援疆干部处、援疆人才处、机关党委（人事处）、机关纪委、离退休干部工作处、巡视组、自治区党员教育中心、信息管理中心、机关服务中心、援疆干部服务中心、新疆党建研究会秘书处、《党员之友》杂志社。</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二、</w:t>
      </w:r>
      <w:r>
        <w:rPr>
          <w:rFonts w:hint="default" w:ascii="Times New Roman" w:hAnsi="Times New Roman" w:eastAsia="黑体" w:cs="Times New Roman"/>
          <w:bCs/>
          <w:color w:val="333333"/>
          <w:sz w:val="36"/>
          <w:szCs w:val="36"/>
          <w:lang w:bidi="ar"/>
        </w:rPr>
        <w:t>部门单位整体支出管理及使用情况</w:t>
      </w:r>
    </w:p>
    <w:p>
      <w:pPr>
        <w:keepNext w:val="0"/>
        <w:keepLines w:val="0"/>
        <w:pageBreakBefore w:val="0"/>
        <w:widowControl w:val="0"/>
        <w:kinsoku/>
        <w:wordWrap/>
        <w:overflowPunct/>
        <w:topLinePunct w:val="0"/>
        <w:autoSpaceDE/>
        <w:autoSpaceDN/>
        <w:bidi w:val="0"/>
        <w:adjustRightInd/>
        <w:spacing w:line="640" w:lineRule="exact"/>
        <w:ind w:left="718" w:leftChars="342" w:firstLine="0" w:firstLineChars="0"/>
        <w:jc w:val="both"/>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val="0"/>
          <w:bCs/>
          <w:sz w:val="36"/>
          <w:szCs w:val="36"/>
        </w:rPr>
        <w:t>收入支出预算执行情况分析</w:t>
      </w:r>
      <w:r>
        <w:rPr>
          <w:rFonts w:hint="default" w:ascii="Times New Roman" w:hAnsi="Times New Roman" w:eastAsia="仿宋_GB2312" w:cs="Times New Roman"/>
          <w:b/>
          <w:sz w:val="32"/>
          <w:szCs w:val="32"/>
        </w:rPr>
        <w:br w:type="textWrapping"/>
      </w:r>
      <w:r>
        <w:rPr>
          <w:rFonts w:hint="default" w:ascii="Times New Roman" w:hAnsi="Times New Roman" w:eastAsia="楷体_GB2312" w:cs="Times New Roman"/>
          <w:b w:val="0"/>
          <w:bCs/>
          <w:sz w:val="36"/>
          <w:szCs w:val="36"/>
        </w:rPr>
        <w:t>（一）收入支出预算安排情况</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sz w:val="36"/>
          <w:szCs w:val="36"/>
        </w:rPr>
      </w:pPr>
      <w:r>
        <w:rPr>
          <w:rFonts w:hint="default" w:ascii="Times New Roman" w:hAnsi="Times New Roman" w:eastAsia="仿宋_GB2312" w:cs="Times New Roman"/>
          <w:b w:val="0"/>
          <w:bCs/>
          <w:sz w:val="36"/>
          <w:szCs w:val="36"/>
        </w:rPr>
        <w:t>2022年年初预算收入16474.93万元，其中财政拨款16474.93万元、非财政拨款330万元。2021年年初预算收入15918.25万元，差异率3%，主要原因是：人员增加、工资增长，基本支出增加；按自治区财政要求，将援疆干部医疗费、援疆干部人才南疆工作补贴两项转移支付项目资金计入2022年年初预算。</w:t>
      </w:r>
      <w:r>
        <w:rPr>
          <w:rFonts w:hint="default" w:ascii="Times New Roman" w:hAnsi="Times New Roman" w:eastAsia="仿宋_GB2312" w:cs="Times New Roman"/>
          <w:b w:val="0"/>
          <w:bCs/>
          <w:sz w:val="36"/>
          <w:szCs w:val="36"/>
        </w:rPr>
        <w:br w:type="textWrapping"/>
      </w:r>
      <w:r>
        <w:rPr>
          <w:rFonts w:hint="default" w:ascii="Times New Roman" w:hAnsi="Times New Roman"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rPr>
        <w:t>2022年预算支出16474.93万元，2021年预算支出28830.77万元，差异率-74.99%，主要原因是：受疫情影响，自治区财政年末收回无法按年初计划组织实施的项目资金。</w:t>
      </w:r>
      <w:r>
        <w:rPr>
          <w:rFonts w:hint="default" w:ascii="Times New Roman" w:hAnsi="Times New Roman" w:eastAsia="仿宋_GB2312" w:cs="Times New Roman"/>
          <w:b/>
          <w:sz w:val="32"/>
          <w:szCs w:val="32"/>
        </w:rPr>
        <w:br w:type="textWrapping"/>
      </w:r>
      <w:r>
        <w:rPr>
          <w:rFonts w:hint="eastAsia" w:eastAsia="仿宋_GB2312" w:cs="Times New Roman"/>
          <w:b/>
          <w:sz w:val="32"/>
          <w:szCs w:val="32"/>
          <w:lang w:val="en-US" w:eastAsia="zh-CN"/>
        </w:rPr>
        <w:t xml:space="preserve">    </w:t>
      </w:r>
      <w:r>
        <w:rPr>
          <w:rFonts w:hint="default" w:ascii="Times New Roman" w:hAnsi="Times New Roman" w:eastAsia="楷体_GB2312" w:cs="Times New Roman"/>
          <w:b w:val="0"/>
          <w:bCs/>
          <w:sz w:val="36"/>
          <w:szCs w:val="36"/>
        </w:rPr>
        <w:t>（二）收入支出预算执行情况</w:t>
      </w:r>
      <w:r>
        <w:rPr>
          <w:rFonts w:hint="default" w:ascii="Times New Roman" w:hAnsi="Times New Roman" w:eastAsia="楷体_GB2312" w:cs="Times New Roman"/>
          <w:b w:val="0"/>
          <w:bCs/>
          <w:sz w:val="36"/>
          <w:szCs w:val="36"/>
        </w:rPr>
        <w:br w:type="textWrapping"/>
      </w:r>
      <w:r>
        <w:rPr>
          <w:rFonts w:hint="default" w:ascii="Times New Roman" w:hAnsi="Times New Roman" w:eastAsia="楷体_GB2312" w:cs="Times New Roman"/>
          <w:b w:val="0"/>
          <w:bCs/>
          <w:sz w:val="32"/>
          <w:szCs w:val="32"/>
          <w:lang w:val="en-US" w:eastAsia="zh-CN"/>
        </w:rPr>
        <w:t xml:space="preserve">    </w:t>
      </w:r>
      <w:r>
        <w:rPr>
          <w:rFonts w:hint="default" w:ascii="Times New Roman" w:hAnsi="Times New Roman" w:eastAsia="仿宋_GB2312" w:cs="Times New Roman"/>
          <w:b/>
          <w:sz w:val="36"/>
          <w:szCs w:val="36"/>
        </w:rPr>
        <w:t>1．收入支出与预算对比分析</w:t>
      </w:r>
      <w:r>
        <w:rPr>
          <w:rFonts w:hint="default" w:ascii="Times New Roman" w:hAnsi="Times New Roman" w:eastAsia="仿宋_GB2312" w:cs="Times New Roman"/>
          <w:b/>
          <w:sz w:val="36"/>
          <w:szCs w:val="36"/>
        </w:rPr>
        <w:br w:type="textWrapping"/>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val="0"/>
          <w:bCs/>
          <w:sz w:val="36"/>
          <w:szCs w:val="36"/>
        </w:rPr>
        <w:t>2022年全年预算支出16474.93万元，决算17265.12万元，差异率-4.79%。其中：预算基本支出5791.29万元，决算5791.29万元，差异率0。预算项目支出12180.58万元，决算11473.83万元，差异率：-5.8%。主要原因是：受疫情影响，自治区财政年末收回无法按年初计划组织实施的项目资金。</w:t>
      </w:r>
      <w:r>
        <w:rPr>
          <w:rFonts w:hint="default" w:ascii="Times New Roman" w:hAnsi="Times New Roman" w:eastAsia="仿宋_GB2312" w:cs="Times New Roman"/>
          <w:b w:val="0"/>
          <w:bCs/>
          <w:sz w:val="36"/>
          <w:szCs w:val="36"/>
        </w:rPr>
        <w:br w:type="textWrapping"/>
      </w:r>
      <w:r>
        <w:rPr>
          <w:rFonts w:hint="default" w:ascii="Times New Roman" w:hAnsi="Times New Roman" w:eastAsia="仿宋_GB2312" w:cs="Times New Roman"/>
          <w:b w:val="0"/>
          <w:bCs/>
          <w:sz w:val="36"/>
          <w:szCs w:val="36"/>
          <w:lang w:val="en-US" w:eastAsia="zh-CN"/>
        </w:rPr>
        <w:t xml:space="preserve">    </w:t>
      </w:r>
      <w:r>
        <w:rPr>
          <w:rFonts w:hint="default" w:ascii="Times New Roman" w:hAnsi="Times New Roman" w:eastAsia="仿宋_GB2312" w:cs="Times New Roman"/>
          <w:b/>
          <w:sz w:val="36"/>
          <w:szCs w:val="36"/>
        </w:rPr>
        <w:t>2．收入支出结构分析</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lang w:val="en-US" w:eastAsia="zh-CN"/>
        </w:rPr>
      </w:pPr>
      <w:r>
        <w:rPr>
          <w:rFonts w:hint="default" w:ascii="Times New Roman" w:hAnsi="Times New Roman" w:eastAsia="仿宋_GB2312" w:cs="Times New Roman"/>
          <w:b w:val="0"/>
          <w:bCs/>
          <w:sz w:val="36"/>
          <w:szCs w:val="36"/>
          <w:lang w:val="en-US" w:eastAsia="zh-CN"/>
        </w:rPr>
        <w:t>2022年预算收入24535.51万元，其中：年初结转7783.15万元；本年收入16752.35万元（财政拨款16351.77万元、非财政拨款400.58万元）。</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2022年决算支出17265.11万元，主要为：</w:t>
      </w:r>
    </w:p>
    <w:p>
      <w:pPr>
        <w:ind w:firstLine="720" w:firstLineChars="200"/>
        <w:outlineLvl w:val="1"/>
        <w:rPr>
          <w:rFonts w:hint="default" w:ascii="Times New Roman" w:hAnsi="Times New Roman" w:eastAsia="仿宋_GB2312" w:cs="Times New Roman"/>
          <w:b w:val="0"/>
          <w:bCs/>
          <w:sz w:val="36"/>
          <w:szCs w:val="36"/>
          <w:lang w:val="en-US" w:eastAsia="zh-CN"/>
        </w:rPr>
      </w:pPr>
      <w:r>
        <w:rPr>
          <w:rFonts w:hint="default" w:ascii="Times New Roman" w:hAnsi="Times New Roman" w:eastAsia="仿宋_GB2312" w:cs="Times New Roman"/>
          <w:b w:val="0"/>
          <w:bCs/>
          <w:sz w:val="36"/>
          <w:szCs w:val="36"/>
          <w:lang w:val="en-US" w:eastAsia="zh-CN"/>
        </w:rPr>
        <w:t>（1）一般公共服务支出（类）组织事务（款）行政运行（项）：2022年决算数为3393.56万元，比上年增加513.06万元，增长17.81%。主要原因是：人员增加、工资增长，相应基本支出增加。</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（2）一般公共服务支出（类）组织事务（款）公务员事务（项）：2022年决算数为888.47万元，比上年减少2805.84万元,下降75.95%。主要原因是：受疫情影响，</w:t>
      </w:r>
      <w:r>
        <w:rPr>
          <w:rFonts w:hint="eastAsia" w:ascii="仿宋_GB2312" w:eastAsia="仿宋_GB2312"/>
          <w:sz w:val="32"/>
          <w:szCs w:val="32"/>
        </w:rPr>
        <w:t>2022</w:t>
      </w:r>
      <w:r>
        <w:rPr>
          <w:rFonts w:hint="eastAsia" w:ascii="Times New Roman" w:hAnsi="Times New Roman" w:eastAsia="仿宋_GB2312" w:cs="Times New Roman"/>
          <w:b w:val="0"/>
          <w:bCs/>
          <w:sz w:val="36"/>
          <w:szCs w:val="36"/>
          <w:lang w:val="en-US" w:eastAsia="zh-CN"/>
        </w:rPr>
        <w:t>年度其他省区市高校毕业生等相关费用无法按时拨付。</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lang w:val="en-US" w:eastAsia="zh-CN"/>
        </w:rPr>
      </w:pPr>
      <w:r>
        <w:rPr>
          <w:rFonts w:hint="default" w:ascii="Times New Roman" w:hAnsi="Times New Roman" w:eastAsia="仿宋_GB2312" w:cs="Times New Roman"/>
          <w:b w:val="0"/>
          <w:bCs/>
          <w:sz w:val="36"/>
          <w:szCs w:val="36"/>
          <w:lang w:val="en-US" w:eastAsia="zh-CN"/>
        </w:rPr>
        <w:t>（3）一般公共服务支出（类）组织事务（款）事业运行（项）：2022年决算数为876.34万元，比上年减少2.85万元，下降0.33%。主要原因是：2022年度事业运行经费减少。</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（4）一般公共服务支出（类）组织事务（款）其他组织事务支出（项）：2022年决算数为10511.01万元，比上年减少9027.84万元,下降46.20%。主要原因是：受疫情影响，2022年部分项目无法按年初计划组织实施。</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（5）社会保障和就业支出（类）行政事业单位养老支出（款）行政单位离退休（项）：2022年决算数为148.15万元，比上年增加76.45万元，增长106.65%。主要原因是：追加退休人员基础绩效奖。</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（6）社会保障和就业支出（类）行政事业单位养老支出（款）事业单位离退休（项）：2022年决算数为370.47万元，比上年增加130.18万元,增长54.17%。主要原因是：追加退休人员基础绩效奖。</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7）社会保障和就业支出（类）行政事业单位养老支出（款）机关事业单位基本养老保险缴费支出（项）：2022年决算数为348.84万元，比上年增加39.22万元，增长12.63%。主要原因是：人员增加、工资增长，养老保险缴费相应增加。</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（8）卫生健康支出（类）行政事业单位医疗（款）行政单位医疗（项）：2022年决算数为148.66万元，比上年增加16.23万元，增长12.26%。主要原因是：人员增加、工资增长，基本医疗保险缴费相应增加。</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val="0"/>
          <w:bCs/>
          <w:sz w:val="36"/>
          <w:szCs w:val="36"/>
          <w:lang w:val="en-US" w:eastAsia="zh-CN"/>
        </w:rPr>
        <w:t xml:space="preserve">    （9）卫生健康支出（类）行政事业单位医疗（款）事业单位医疗（项）：2022年决算数为40.48万元，比上年增加5.74万元，增长16.52%。主要原因是：人员增加、工资增长，基本医疗保险缴费相应增加。</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lang w:val="en-US" w:eastAsia="zh-CN"/>
        </w:rPr>
        <w:t>（10）卫生健康支出（类）行政事业单位医疗（款）公务员医疗补助（项）：2022年决算数为147.16万元，比上年增加17.14万元，增长13.18%。主要原因是：人员增加、工资增长，公务员医疗补助缴费相应增加。</w:t>
      </w:r>
      <w:r>
        <w:rPr>
          <w:rFonts w:hint="default" w:ascii="Times New Roman" w:hAnsi="Times New Roman" w:eastAsia="仿宋_GB2312" w:cs="Times New Roman"/>
          <w:b w:val="0"/>
          <w:bCs/>
          <w:sz w:val="36"/>
          <w:szCs w:val="36"/>
          <w:lang w:val="en-US" w:eastAsia="zh-CN"/>
        </w:rPr>
        <w:br w:type="textWrapping"/>
      </w:r>
      <w:r>
        <w:rPr>
          <w:rFonts w:hint="eastAsia" w:eastAsia="仿宋_GB2312" w:cs="Times New Roman"/>
          <w:b w:val="0"/>
          <w:bCs/>
          <w:sz w:val="36"/>
          <w:szCs w:val="36"/>
          <w:lang w:val="en-US" w:eastAsia="zh-CN"/>
        </w:rPr>
        <w:t xml:space="preserve">    </w:t>
      </w:r>
      <w:r>
        <w:rPr>
          <w:rFonts w:hint="default" w:ascii="Times New Roman" w:hAnsi="Times New Roman" w:eastAsia="仿宋_GB2312" w:cs="Times New Roman"/>
          <w:b w:val="0"/>
          <w:bCs/>
          <w:sz w:val="36"/>
          <w:szCs w:val="36"/>
          <w:lang w:val="en-US" w:eastAsia="zh-CN"/>
        </w:rPr>
        <w:t>（11）住房保障支出（类）住房改革支出（款）住房公积金（项）：2022年决算数为262.25万元，比上年增加29.40万元，增长12.63%。主要原因是：人员增加、工资增长，住房公积金缴费相应增加。</w:t>
      </w:r>
      <w:r>
        <w:rPr>
          <w:rFonts w:hint="default" w:ascii="Times New Roman" w:hAnsi="Times New Roman" w:eastAsia="仿宋_GB2312" w:cs="Times New Roman"/>
          <w:b w:val="0"/>
          <w:bCs/>
          <w:sz w:val="36"/>
          <w:szCs w:val="36"/>
          <w:lang w:val="en-US" w:eastAsia="zh-CN"/>
        </w:rPr>
        <w:br w:type="textWrapping"/>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楷体_GB2312" w:cs="Times New Roman"/>
          <w:b w:val="0"/>
          <w:bCs/>
          <w:sz w:val="36"/>
          <w:szCs w:val="36"/>
        </w:rPr>
        <w:t>（三）年末结转和结余情况</w:t>
      </w:r>
      <w:r>
        <w:rPr>
          <w:rFonts w:hint="default" w:ascii="Times New Roman" w:hAnsi="Times New Roman" w:eastAsia="楷体_GB2312" w:cs="Times New Roman"/>
          <w:b w:val="0"/>
          <w:bCs/>
          <w:sz w:val="36"/>
          <w:szCs w:val="36"/>
        </w:rPr>
        <w:br w:type="textWrapping"/>
      </w:r>
      <w:r>
        <w:rPr>
          <w:rFonts w:hint="default" w:ascii="Times New Roman" w:hAnsi="Times New Roman" w:eastAsia="楷体_GB2312" w:cs="Times New Roman"/>
          <w:b w:val="0"/>
          <w:bCs/>
          <w:sz w:val="32"/>
          <w:szCs w:val="32"/>
          <w:lang w:val="en-US" w:eastAsia="zh-CN"/>
        </w:rPr>
        <w:t xml:space="preserve">    </w:t>
      </w:r>
      <w:r>
        <w:rPr>
          <w:rFonts w:hint="default" w:ascii="Times New Roman" w:hAnsi="Times New Roman" w:eastAsia="仿宋_GB2312" w:cs="Times New Roman"/>
          <w:b w:val="0"/>
          <w:bCs/>
          <w:sz w:val="36"/>
          <w:szCs w:val="36"/>
        </w:rPr>
        <w:t>2022年年末结余7270.39万元，其中：组织部本级结余2428.69万元，主要是财政资金历年结余1336.16万元、中组部拨付培训经费1022.77万元、中组部拨付博士服务团经费17.06万元、基层办课题经费2.7万元、</w:t>
      </w:r>
      <w:r>
        <w:rPr>
          <w:rFonts w:hint="eastAsia" w:eastAsia="仿宋_GB2312" w:cs="Times New Roman"/>
          <w:b w:val="0"/>
          <w:bCs/>
          <w:sz w:val="36"/>
          <w:szCs w:val="36"/>
          <w:lang w:eastAsia="zh-CN"/>
        </w:rPr>
        <w:t>信息化</w:t>
      </w:r>
      <w:r>
        <w:rPr>
          <w:rFonts w:hint="default" w:ascii="Times New Roman" w:hAnsi="Times New Roman" w:eastAsia="仿宋_GB2312" w:cs="Times New Roman"/>
          <w:b w:val="0"/>
          <w:bCs/>
          <w:sz w:val="36"/>
          <w:szCs w:val="36"/>
        </w:rPr>
        <w:t>工程质保金50万元；自治区党员教育中心结余3133.35万元，主要是以前年度中央远程办拨付的远程教育基础设施建设补助费、远程教育站点升级改造补助费、自治区留存党费补助远程教育工作经费；新疆干部学院结余139.29万元，主要是历年结余资金；《党员之友》杂志社结余981.17万元，主要是自治区留存党费补助杂志社工作经费；援疆干部服务中心结余587.89万元，主要是以前年度收取的援疆干部伙食费。</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三、</w:t>
      </w:r>
      <w:r>
        <w:rPr>
          <w:rFonts w:hint="default" w:ascii="Times New Roman" w:hAnsi="Times New Roman" w:eastAsia="黑体" w:cs="Times New Roman"/>
          <w:bCs/>
          <w:color w:val="333333"/>
          <w:sz w:val="36"/>
          <w:szCs w:val="36"/>
          <w:lang w:bidi="ar"/>
        </w:rPr>
        <w:t>部门单位专项组织实施情况</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项目支出主要包括：干部考察、干部监督工作经费支出322.50万元，公务员考录、培训、表彰经费、边远地区干部队伍建设专项经费支出258.27万元，干部教育相关经费支出132.16万元，援疆及人才相关经费支出738.21万元，2022年自治区访惠聚工作经费支出4004.31万元，基层党员教育、基层组织工作经费、党代表活动工作经费、组织史资料工作经费、农村党员培训及平台运行经费、党建研究会工作经费、新兴组织工委工作经费、新疆籍人员服务管理工作经费支出589.14万元，援疆干部周转房年运转经费支出650.00万元，《党员之友》杂志办刊经费支出630.58万元，自治区农村党员干部教育建设骨干队伍培训经费和远程教育平台运行经费支出411.00万元等项目经费支出。</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四、</w:t>
      </w:r>
      <w:r>
        <w:rPr>
          <w:rFonts w:hint="default" w:ascii="Times New Roman" w:hAnsi="Times New Roman" w:eastAsia="黑体" w:cs="Times New Roman"/>
          <w:bCs/>
          <w:color w:val="333333"/>
          <w:sz w:val="36"/>
          <w:szCs w:val="36"/>
          <w:lang w:bidi="ar"/>
        </w:rPr>
        <w:t>资产管理情况</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加强国有资产管理，维护国有资产安全和完整。截至2022年12月31日，我部共有房屋114746.62平方米，价值31304.64万元；公务用车31辆，价值746.29万元。</w:t>
      </w:r>
      <w:r>
        <w:rPr>
          <w:rFonts w:hint="eastAsia" w:eastAsia="仿宋_GB2312" w:cs="Times New Roman"/>
          <w:b w:val="0"/>
          <w:bCs/>
          <w:sz w:val="36"/>
          <w:szCs w:val="36"/>
          <w:lang w:eastAsia="zh-CN"/>
        </w:rPr>
        <w:t>一是</w:t>
      </w:r>
      <w:r>
        <w:rPr>
          <w:rFonts w:hint="default" w:ascii="Times New Roman" w:hAnsi="Times New Roman" w:eastAsia="仿宋_GB2312" w:cs="Times New Roman"/>
          <w:b w:val="0"/>
          <w:bCs/>
          <w:sz w:val="36"/>
          <w:szCs w:val="36"/>
        </w:rPr>
        <w:t>合理配备国有资产。按照与部机关履行职能相适应和勤俭节约、从严控制的原则，科学合理配备国有资产，能通过调剂解决的，原则上不重新购置。纳入政府采购范围的资产，依法实施政府采购。对购置的资产进行验收、登记，并及时进行账务处理。</w:t>
      </w:r>
      <w:r>
        <w:rPr>
          <w:rFonts w:hint="eastAsia" w:eastAsia="仿宋_GB2312" w:cs="Times New Roman"/>
          <w:b w:val="0"/>
          <w:bCs/>
          <w:sz w:val="36"/>
          <w:szCs w:val="36"/>
          <w:lang w:eastAsia="zh-CN"/>
        </w:rPr>
        <w:t>二是</w:t>
      </w:r>
      <w:r>
        <w:rPr>
          <w:rFonts w:hint="default" w:ascii="Times New Roman" w:hAnsi="Times New Roman" w:eastAsia="仿宋_GB2312" w:cs="Times New Roman"/>
          <w:b w:val="0"/>
          <w:bCs/>
          <w:sz w:val="36"/>
          <w:szCs w:val="36"/>
        </w:rPr>
        <w:t>规范国有资产使用管理。建立国有资产使用管理责任制，将管理责任落实到人，充分发挥资产使用效益，保障国有资产安全完整，防止国有资产流失。定期对国有资产进行清查盘点，做到家底清楚，账、卡、实相符。严禁擅自将国有资产对外出租、出借。</w:t>
      </w:r>
      <w:r>
        <w:rPr>
          <w:rFonts w:hint="eastAsia" w:eastAsia="仿宋_GB2312" w:cs="Times New Roman"/>
          <w:b w:val="0"/>
          <w:bCs/>
          <w:sz w:val="36"/>
          <w:szCs w:val="36"/>
          <w:lang w:eastAsia="zh-CN"/>
        </w:rPr>
        <w:t>三是</w:t>
      </w:r>
      <w:r>
        <w:rPr>
          <w:rFonts w:hint="default" w:ascii="Times New Roman" w:hAnsi="Times New Roman" w:eastAsia="仿宋_GB2312" w:cs="Times New Roman"/>
          <w:b w:val="0"/>
          <w:bCs/>
          <w:sz w:val="36"/>
          <w:szCs w:val="36"/>
        </w:rPr>
        <w:t>严格国有资产处置审批手续。加强与自治区财政厅、机关事务管理局的沟通协调，依规严格履行审批手续，未经批准不得处置。国有资产处置按照公开、公正、公平的原则进行，处置的变价收入和残值收入，按政府非税收入管理规定，实行“收支两条线”管理。</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五、</w:t>
      </w:r>
      <w:r>
        <w:rPr>
          <w:rFonts w:hint="default" w:ascii="Times New Roman" w:hAnsi="Times New Roman" w:eastAsia="黑体" w:cs="Times New Roman"/>
          <w:bCs/>
          <w:color w:val="333333"/>
          <w:sz w:val="36"/>
          <w:szCs w:val="36"/>
          <w:lang w:bidi="ar"/>
        </w:rPr>
        <w:t>部门单位整体支出绩效情况</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一是认真执行财政部、自治区财政厅预算绩效管理制度办法，落实全面实施预算绩效管理责任，根据“三定”方案中确定的“部门职责-工作活动”结合组织部门业务特点，在实践中不断完善和改进预算绩效管理工作，发挥财政预算“编制、执行、绩效、公开、监督”闭环管理体系作用，对财政资金事前、事中、事后管理全过程监督，确保财政资金使用安全和高效。二是严格落实“全口径”预算管理，将所有收入和支出全部纳入预算，全面准确反映部机关各项收支情况。开展事前绩效评估，评估结果作为申请预算的必要条件，将上年度各处室资金使用情况作为下年度预算编制的重要参考。从运行成本、管理效率、履职效能、社会效应、可持续发展能力和服务对象满意度等方面，衡量整体及核心业务实施效果，推动提高部机关整体绩效水平。三是督促、指导各处室全面开展预算绩效管理工作，做好绩效目标审核，项目设置更加细化、量化。对绩效实施、项目支出进行监督，提出意见建议。对各处室的预算执行情况进行跟踪督办，要求各处室对照项目支出计划进度和实际执行进度，认真查找未按预算计划支出的原因，并提出下一步支出计划，保障各项政策落实和各项资金有效使用，确保财政资金安全高效。严格实行绩效评价，确保没有截留、挤占或挪用项目资金的情况。</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六、</w:t>
      </w:r>
      <w:r>
        <w:rPr>
          <w:rFonts w:hint="default" w:ascii="Times New Roman" w:hAnsi="Times New Roman" w:eastAsia="黑体" w:cs="Times New Roman"/>
          <w:bCs/>
          <w:color w:val="333333"/>
          <w:sz w:val="36"/>
          <w:szCs w:val="36"/>
          <w:lang w:bidi="ar"/>
        </w:rPr>
        <w:t>存在的主要问题</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一是对绩效评价认识不足，绩效管理意识需进一步增强；二是个别项目的绩效评估、目标设置等需进一步规范。</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七、</w:t>
      </w:r>
      <w:r>
        <w:rPr>
          <w:rFonts w:hint="default" w:ascii="Times New Roman" w:hAnsi="Times New Roman" w:eastAsia="黑体" w:cs="Times New Roman"/>
          <w:bCs/>
          <w:color w:val="333333"/>
          <w:sz w:val="36"/>
          <w:szCs w:val="36"/>
          <w:lang w:bidi="ar"/>
        </w:rPr>
        <w:t>改进措施和建议</w:t>
      </w:r>
    </w:p>
    <w:p>
      <w:pPr>
        <w:keepNext w:val="0"/>
        <w:keepLines w:val="0"/>
        <w:pageBreakBefore w:val="0"/>
        <w:widowControl w:val="0"/>
        <w:kinsoku/>
        <w:wordWrap/>
        <w:overflowPunct/>
        <w:topLinePunct w:val="0"/>
        <w:autoSpaceDE/>
        <w:autoSpaceDN/>
        <w:bidi w:val="0"/>
        <w:adjustRightInd/>
        <w:spacing w:line="640" w:lineRule="exact"/>
        <w:ind w:firstLine="720" w:firstLineChars="200"/>
        <w:jc w:val="both"/>
        <w:textAlignment w:val="auto"/>
        <w:rPr>
          <w:rFonts w:hint="default" w:ascii="Times New Roman" w:hAnsi="Times New Roman" w:eastAsia="仿宋_GB2312" w:cs="Times New Roman"/>
          <w:b w:val="0"/>
          <w:bCs/>
          <w:sz w:val="36"/>
          <w:szCs w:val="36"/>
        </w:rPr>
      </w:pPr>
      <w:r>
        <w:rPr>
          <w:rFonts w:hint="default" w:ascii="Times New Roman" w:hAnsi="Times New Roman" w:eastAsia="仿宋_GB2312" w:cs="Times New Roman"/>
          <w:b w:val="0"/>
          <w:bCs/>
          <w:sz w:val="36"/>
          <w:szCs w:val="36"/>
        </w:rPr>
        <w:t>一是加强培训，引导部机关干部职工转变观念，牢固树立预算绩效意识，切实加强绩效管理工作；二是加强学习，提高业务能力，增强预算绩效目标设置的科学性、合理性、规范性，不断提高财政资金使用效益。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firstLine="720" w:firstLineChars="200"/>
        <w:jc w:val="both"/>
        <w:textAlignment w:val="auto"/>
        <w:rPr>
          <w:rFonts w:hint="default" w:ascii="Times New Roman" w:hAnsi="Times New Roman" w:eastAsia="黑体" w:cs="Times New Roman"/>
          <w:bCs/>
          <w:color w:val="333333"/>
          <w:sz w:val="36"/>
          <w:szCs w:val="36"/>
          <w:lang w:bidi="ar"/>
        </w:rPr>
      </w:pPr>
      <w:r>
        <w:rPr>
          <w:rFonts w:hint="eastAsia" w:eastAsia="黑体" w:cs="Times New Roman"/>
          <w:bCs/>
          <w:color w:val="333333"/>
          <w:sz w:val="36"/>
          <w:szCs w:val="36"/>
          <w:lang w:eastAsia="zh-CN" w:bidi="ar"/>
        </w:rPr>
        <w:t>八、</w:t>
      </w:r>
      <w:r>
        <w:rPr>
          <w:rFonts w:hint="default" w:ascii="Times New Roman" w:hAnsi="Times New Roman" w:eastAsia="黑体" w:cs="Times New Roman"/>
          <w:bCs/>
          <w:color w:val="333333"/>
          <w:sz w:val="36"/>
          <w:szCs w:val="36"/>
          <w:lang w:bidi="ar"/>
        </w:rPr>
        <w:t>附表：《部门整体支出绩效目标自评表》</w:t>
      </w:r>
    </w:p>
    <w:p>
      <w:pPr>
        <w:rPr>
          <w:sz w:val="36"/>
          <w:szCs w:val="36"/>
        </w:rPr>
      </w:pPr>
    </w:p>
    <w:sectPr>
      <w:footerReference r:id="rId3" w:type="default"/>
      <w:pgSz w:w="11906" w:h="16838"/>
      <w:pgMar w:top="2098" w:right="1531" w:bottom="1984"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44321E7"/>
    <w:rsid w:val="427D752B"/>
    <w:rsid w:val="50172AA2"/>
    <w:rsid w:val="66676372"/>
    <w:rsid w:val="67AA7398"/>
    <w:rsid w:val="7BFA06BA"/>
    <w:rsid w:val="7E790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3567</Words>
  <Characters>4067</Characters>
  <Lines>2</Lines>
  <Paragraphs>1</Paragraphs>
  <TotalTime>10</TotalTime>
  <ScaleCrop>false</ScaleCrop>
  <LinksUpToDate>false</LinksUpToDate>
  <CharactersWithSpaces>4167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zzb</cp:lastModifiedBy>
  <cp:lastPrinted>2023-08-28T13:59:00Z</cp:lastPrinted>
  <dcterms:modified xsi:type="dcterms:W3CDTF">2026-03-09T02:59:41Z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5DB2BC8DF810419BAC519B8E55C9D1C5</vt:lpwstr>
  </property>
</Properties>
</file>