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default" w:ascii="Times New Roman" w:hAnsi="Times New Roman" w:eastAsia="仿宋_GB2312" w:cs="Times New Roman"/>
          <w:kern w:val="0"/>
          <w:sz w:val="36"/>
          <w:szCs w:val="36"/>
        </w:rPr>
        <w:t xml:space="preserve"> </w:t>
      </w:r>
      <w:r>
        <w:rPr>
          <w:rStyle w:val="18"/>
          <w:rFonts w:hint="default" w:ascii="Times New Roman" w:hAnsi="Times New Roman" w:eastAsia="楷体" w:cs="Times New Roman"/>
          <w:spacing w:val="-4"/>
          <w:sz w:val="36"/>
          <w:szCs w:val="36"/>
        </w:rPr>
        <w:t>2022</w:t>
      </w:r>
      <w:r>
        <w:rPr>
          <w:rFonts w:hint="default" w:ascii="Times New Roman" w:hAnsi="Times New Roman" w:eastAsia="仿宋_GB2312" w:cs="Times New Roman"/>
          <w:kern w:val="0"/>
          <w:sz w:val="36"/>
          <w:szCs w:val="36"/>
        </w:rPr>
        <w:t xml:space="preserve"> </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640" w:lineRule="exact"/>
        <w:ind w:firstLine="900" w:firstLineChars="250"/>
        <w:jc w:val="left"/>
        <w:textAlignment w:val="auto"/>
        <w:rPr>
          <w:rFonts w:hint="eastAsia" w:hAnsi="宋体" w:eastAsia="仿宋_GB2312" w:cs="宋体"/>
          <w:kern w:val="0"/>
          <w:sz w:val="36"/>
          <w:szCs w:val="36"/>
        </w:rPr>
      </w:pPr>
      <w:r>
        <w:rPr>
          <w:rFonts w:hint="eastAsia" w:hAnsi="宋体" w:eastAsia="仿宋_GB2312" w:cs="宋体"/>
          <w:kern w:val="0"/>
          <w:sz w:val="36"/>
          <w:szCs w:val="36"/>
        </w:rPr>
        <w:t>项目名称：“访惠聚”办工作经费</w:t>
      </w:r>
    </w:p>
    <w:p>
      <w:pPr>
        <w:keepNext w:val="0"/>
        <w:keepLines w:val="0"/>
        <w:pageBreakBefore w:val="0"/>
        <w:widowControl w:val="0"/>
        <w:kinsoku/>
        <w:wordWrap/>
        <w:overflowPunct/>
        <w:topLinePunct w:val="0"/>
        <w:autoSpaceDE/>
        <w:autoSpaceDN/>
        <w:bidi w:val="0"/>
        <w:adjustRightInd/>
        <w:snapToGrid/>
        <w:spacing w:line="640" w:lineRule="exact"/>
        <w:ind w:firstLine="900" w:firstLineChars="250"/>
        <w:jc w:val="left"/>
        <w:textAlignment w:val="auto"/>
        <w:rPr>
          <w:rFonts w:hint="eastAsia" w:hAnsi="宋体" w:eastAsia="仿宋_GB2312" w:cs="宋体"/>
          <w:kern w:val="0"/>
          <w:sz w:val="36"/>
          <w:szCs w:val="36"/>
        </w:rPr>
      </w:pPr>
      <w:r>
        <w:rPr>
          <w:rFonts w:hint="eastAsia" w:hAnsi="宋体" w:eastAsia="仿宋_GB2312" w:cs="宋体"/>
          <w:kern w:val="0"/>
          <w:sz w:val="36"/>
          <w:szCs w:val="36"/>
        </w:rPr>
        <w:t>实施单位（公章）：中共新疆维吾尔自治区</w:t>
      </w:r>
    </w:p>
    <w:p>
      <w:pPr>
        <w:keepNext w:val="0"/>
        <w:keepLines w:val="0"/>
        <w:pageBreakBefore w:val="0"/>
        <w:widowControl w:val="0"/>
        <w:kinsoku/>
        <w:wordWrap/>
        <w:overflowPunct/>
        <w:topLinePunct w:val="0"/>
        <w:autoSpaceDE/>
        <w:autoSpaceDN/>
        <w:bidi w:val="0"/>
        <w:adjustRightInd/>
        <w:snapToGrid/>
        <w:spacing w:line="640" w:lineRule="exact"/>
        <w:ind w:firstLine="4140" w:firstLineChars="1150"/>
        <w:jc w:val="left"/>
        <w:textAlignment w:val="auto"/>
        <w:rPr>
          <w:rFonts w:hint="eastAsia" w:hAnsi="宋体" w:eastAsia="仿宋_GB2312" w:cs="宋体"/>
          <w:kern w:val="0"/>
          <w:sz w:val="36"/>
          <w:szCs w:val="36"/>
        </w:rPr>
      </w:pPr>
      <w:r>
        <w:rPr>
          <w:rFonts w:hint="eastAsia" w:hAnsi="宋体" w:eastAsia="仿宋_GB2312" w:cs="宋体"/>
          <w:kern w:val="0"/>
          <w:sz w:val="36"/>
          <w:szCs w:val="36"/>
        </w:rPr>
        <w:t>委员会组织部</w:t>
      </w:r>
    </w:p>
    <w:p>
      <w:pPr>
        <w:keepNext w:val="0"/>
        <w:keepLines w:val="0"/>
        <w:pageBreakBefore w:val="0"/>
        <w:widowControl w:val="0"/>
        <w:kinsoku/>
        <w:wordWrap/>
        <w:overflowPunct/>
        <w:topLinePunct w:val="0"/>
        <w:autoSpaceDE/>
        <w:autoSpaceDN/>
        <w:bidi w:val="0"/>
        <w:adjustRightInd/>
        <w:snapToGrid/>
        <w:spacing w:line="640" w:lineRule="exact"/>
        <w:ind w:firstLine="900" w:firstLineChars="250"/>
        <w:jc w:val="left"/>
        <w:textAlignment w:val="auto"/>
        <w:rPr>
          <w:rFonts w:hint="eastAsia" w:hAnsi="宋体" w:eastAsia="仿宋_GB2312" w:cs="宋体"/>
          <w:kern w:val="0"/>
          <w:sz w:val="36"/>
          <w:szCs w:val="36"/>
        </w:rPr>
      </w:pPr>
      <w:r>
        <w:rPr>
          <w:rFonts w:hint="eastAsia" w:hAnsi="宋体" w:eastAsia="仿宋_GB2312" w:cs="宋体"/>
          <w:kern w:val="0"/>
          <w:sz w:val="36"/>
          <w:szCs w:val="36"/>
        </w:rPr>
        <w:t>主管部门（公章）：中共新疆维吾尔自治区</w:t>
      </w:r>
    </w:p>
    <w:p>
      <w:pPr>
        <w:keepNext w:val="0"/>
        <w:keepLines w:val="0"/>
        <w:pageBreakBefore w:val="0"/>
        <w:widowControl w:val="0"/>
        <w:kinsoku/>
        <w:wordWrap/>
        <w:overflowPunct/>
        <w:topLinePunct w:val="0"/>
        <w:autoSpaceDE/>
        <w:autoSpaceDN/>
        <w:bidi w:val="0"/>
        <w:adjustRightInd/>
        <w:snapToGrid/>
        <w:spacing w:line="640" w:lineRule="exact"/>
        <w:ind w:firstLine="4140" w:firstLineChars="1150"/>
        <w:jc w:val="left"/>
        <w:textAlignment w:val="auto"/>
        <w:rPr>
          <w:rFonts w:hint="eastAsia" w:hAnsi="宋体" w:eastAsia="仿宋_GB2312" w:cs="宋体"/>
          <w:kern w:val="0"/>
          <w:sz w:val="36"/>
          <w:szCs w:val="36"/>
        </w:rPr>
      </w:pPr>
      <w:r>
        <w:rPr>
          <w:rFonts w:hint="eastAsia" w:hAnsi="宋体" w:eastAsia="仿宋_GB2312" w:cs="宋体"/>
          <w:kern w:val="0"/>
          <w:sz w:val="36"/>
          <w:szCs w:val="36"/>
        </w:rPr>
        <w:t>委员会组织部</w:t>
      </w:r>
    </w:p>
    <w:p>
      <w:pPr>
        <w:keepNext w:val="0"/>
        <w:keepLines w:val="0"/>
        <w:pageBreakBefore w:val="0"/>
        <w:widowControl w:val="0"/>
        <w:kinsoku/>
        <w:wordWrap/>
        <w:overflowPunct/>
        <w:topLinePunct w:val="0"/>
        <w:autoSpaceDE/>
        <w:autoSpaceDN/>
        <w:bidi w:val="0"/>
        <w:adjustRightInd/>
        <w:snapToGrid/>
        <w:spacing w:line="640" w:lineRule="exact"/>
        <w:ind w:firstLine="900" w:firstLineChars="250"/>
        <w:textAlignment w:val="auto"/>
        <w:rPr>
          <w:rFonts w:hint="eastAsia" w:hAnsi="宋体" w:eastAsia="仿宋_GB2312" w:cs="宋体"/>
          <w:kern w:val="0"/>
          <w:sz w:val="36"/>
          <w:szCs w:val="36"/>
        </w:rPr>
      </w:pPr>
      <w:r>
        <w:rPr>
          <w:rFonts w:hint="eastAsia" w:hAnsi="宋体" w:eastAsia="仿宋_GB2312" w:cs="宋体"/>
          <w:kern w:val="0"/>
          <w:sz w:val="36"/>
          <w:szCs w:val="36"/>
        </w:rPr>
        <w:t>项目负责人（签章）：潘君</w:t>
      </w:r>
    </w:p>
    <w:p>
      <w:pPr>
        <w:keepNext w:val="0"/>
        <w:keepLines w:val="0"/>
        <w:pageBreakBefore w:val="0"/>
        <w:widowControl w:val="0"/>
        <w:kinsoku/>
        <w:wordWrap/>
        <w:overflowPunct/>
        <w:topLinePunct w:val="0"/>
        <w:autoSpaceDE/>
        <w:autoSpaceDN/>
        <w:bidi w:val="0"/>
        <w:adjustRightInd/>
        <w:snapToGrid/>
        <w:spacing w:line="640" w:lineRule="exact"/>
        <w:ind w:left="273" w:firstLine="567"/>
        <w:textAlignment w:val="auto"/>
        <w:rPr>
          <w:rStyle w:val="18"/>
          <w:rFonts w:ascii="黑体" w:hAnsi="黑体" w:eastAsia="黑体"/>
          <w:b w:val="0"/>
          <w:spacing w:val="-4"/>
          <w:sz w:val="32"/>
          <w:szCs w:val="32"/>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Style w:val="18"/>
          <w:rFonts w:hint="default" w:ascii="Times New Roman" w:hAnsi="Times New Roman" w:eastAsia="黑体" w:cs="Times New Roman"/>
          <w:b w:val="0"/>
          <w:spacing w:val="-4"/>
          <w:sz w:val="36"/>
          <w:szCs w:val="36"/>
        </w:rPr>
      </w:pPr>
    </w:p>
    <w:p>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Style w:val="18"/>
          <w:rFonts w:hint="default" w:ascii="Times New Roman" w:hAnsi="Times New Roman" w:eastAsia="黑体" w:cs="Times New Roman"/>
          <w:b w:val="0"/>
          <w:spacing w:val="-4"/>
          <w:sz w:val="36"/>
          <w:szCs w:val="36"/>
        </w:rPr>
      </w:pPr>
      <w:r>
        <w:rPr>
          <w:rStyle w:val="18"/>
          <w:rFonts w:hint="default" w:ascii="Times New Roman" w:hAnsi="Times New Roman" w:eastAsia="黑体" w:cs="Times New Roman"/>
          <w:b w:val="0"/>
          <w:spacing w:val="-4"/>
          <w:sz w:val="36"/>
          <w:szCs w:val="36"/>
        </w:rPr>
        <w:t>一、基本情况</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楷体_GB2312" w:cs="Times New Roman"/>
          <w:b w:val="0"/>
          <w:bCs w:val="0"/>
          <w:spacing w:val="-4"/>
          <w:sz w:val="36"/>
          <w:szCs w:val="36"/>
        </w:rPr>
      </w:pPr>
      <w:r>
        <w:rPr>
          <w:rStyle w:val="18"/>
          <w:rFonts w:hint="default" w:ascii="Times New Roman" w:hAnsi="Times New Roman" w:eastAsia="楷体_GB2312" w:cs="Times New Roman"/>
          <w:b w:val="0"/>
          <w:bCs w:val="0"/>
          <w:spacing w:val="-4"/>
          <w:sz w:val="36"/>
          <w:szCs w:val="36"/>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640" w:lineRule="exact"/>
        <w:ind w:firstLine="707" w:firstLineChars="200"/>
        <w:textAlignment w:val="auto"/>
        <w:rPr>
          <w:rStyle w:val="18"/>
          <w:rFonts w:hint="default" w:ascii="Times New Roman" w:hAnsi="Times New Roman" w:eastAsia="仿宋_GB2312" w:cs="Times New Roman"/>
          <w:b/>
          <w:bCs/>
          <w:spacing w:val="-4"/>
          <w:sz w:val="36"/>
          <w:szCs w:val="36"/>
        </w:rPr>
      </w:pPr>
      <w:r>
        <w:rPr>
          <w:rStyle w:val="18"/>
          <w:rFonts w:hint="default" w:ascii="Times New Roman" w:hAnsi="Times New Roman" w:eastAsia="仿宋_GB2312" w:cs="Times New Roman"/>
          <w:b/>
          <w:bCs/>
          <w:spacing w:val="-4"/>
          <w:sz w:val="36"/>
          <w:szCs w:val="36"/>
        </w:rPr>
        <w:t>1.项目背景</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bCs/>
          <w:spacing w:val="-4"/>
          <w:sz w:val="36"/>
          <w:szCs w:val="36"/>
        </w:rPr>
      </w:pPr>
      <w:r>
        <w:rPr>
          <w:rStyle w:val="18"/>
          <w:rFonts w:hint="default" w:ascii="Times New Roman" w:hAnsi="Times New Roman" w:eastAsia="仿宋_GB2312" w:cs="Times New Roman"/>
          <w:b w:val="0"/>
          <w:bCs w:val="0"/>
          <w:spacing w:val="-4"/>
          <w:sz w:val="36"/>
          <w:szCs w:val="36"/>
        </w:rPr>
        <w:t>当前，新疆各项工作虽然呈现稳中向好的局面，但稳中有忧、稳中有风险，如农村产业结构单一、推进乡村全面振兴难度较大、基层组织建设水平不均衡等，这些问题亟待解决。在自治区党委的安排部署下，全区各级各部门单位积极推动驻村工作，加大宣传活动力度，全力以赴抓好社会稳定，持续推动民族团结进步，依法加强宗教服务管理，实施“文化润疆”工程，巩固拓展脱贫攻坚成果，抓基层基础工作。通过扎实开展“访惠聚”驻村工作，进一步夯实长治久安的基层基础，为新疆社会大局持续稳定作出贡献。</w:t>
      </w:r>
      <w:r>
        <w:rPr>
          <w:rStyle w:val="18"/>
          <w:rFonts w:hint="default" w:ascii="Times New Roman" w:hAnsi="Times New Roman" w:eastAsia="仿宋_GB2312" w:cs="Times New Roman"/>
          <w:spacing w:val="-4"/>
          <w:sz w:val="36"/>
          <w:szCs w:val="36"/>
        </w:rPr>
        <w:br w:type="textWrapping"/>
      </w:r>
      <w:r>
        <w:rPr>
          <w:rStyle w:val="18"/>
          <w:rFonts w:hint="default" w:ascii="Times New Roman" w:hAnsi="Times New Roman" w:eastAsia="楷体" w:cs="Times New Roman"/>
          <w:spacing w:val="-4"/>
          <w:sz w:val="32"/>
          <w:szCs w:val="32"/>
          <w:lang w:val="en-US" w:eastAsia="zh-CN"/>
        </w:rPr>
        <w:t xml:space="preserve">  </w:t>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bCs/>
          <w:spacing w:val="-4"/>
          <w:sz w:val="36"/>
          <w:szCs w:val="36"/>
          <w:lang w:val="en-US" w:eastAsia="zh-CN"/>
        </w:rPr>
        <w:t xml:space="preserve"> </w:t>
      </w:r>
      <w:r>
        <w:rPr>
          <w:rStyle w:val="18"/>
          <w:rFonts w:hint="default" w:ascii="Times New Roman" w:hAnsi="Times New Roman" w:eastAsia="仿宋_GB2312" w:cs="Times New Roman"/>
          <w:b/>
          <w:bCs/>
          <w:spacing w:val="-4"/>
          <w:sz w:val="36"/>
          <w:szCs w:val="36"/>
        </w:rPr>
        <w:t>2.项目实施主体</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spacing w:val="-4"/>
          <w:sz w:val="36"/>
          <w:szCs w:val="36"/>
        </w:rPr>
      </w:pPr>
      <w:r>
        <w:rPr>
          <w:rStyle w:val="18"/>
          <w:rFonts w:hint="default" w:ascii="Times New Roman" w:hAnsi="Times New Roman" w:eastAsia="仿宋_GB2312" w:cs="Times New Roman"/>
          <w:b w:val="0"/>
          <w:bCs w:val="0"/>
          <w:spacing w:val="-4"/>
          <w:sz w:val="36"/>
          <w:szCs w:val="36"/>
        </w:rPr>
        <w:t>2014年2月，自治区党委决定成立自治区各级干部深入基层“访民情惠民生聚民心” 活动领导小组，领导小组下设办公室，承担活动领导小组的日常工作。2016年12月，自治区党委决定将自治区“访民情惠民生聚民心”活动领导小组更名为自治区“访民情惠民生聚民心” 驻村工作领导小组，领导小组办公室设在自治区党委组织部，承担对全区“访惠聚”驻村工作的组织指导、督促检查、综合协调、舆论引导等职能作用。办公室内设综合组、队建指导组、宣传组、乡村振兴组，目前，从有关地州、厅局抽调人员52人。</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spacing w:val="-4"/>
          <w:sz w:val="36"/>
          <w:szCs w:val="36"/>
        </w:rPr>
        <w:t>3.主要内容及实施情况</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2022年度“自治区访惠聚工作经费”共安排资金5959.5万元，具体用于为驻村干部购买人身意外伤害保险、自治区“访惠聚”办日常办公、访惠聚宣传教育工作、编印发放相关教材、制作先进集体和先进个人表彰奖牌及证书等。</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spacing w:val="-4"/>
          <w:sz w:val="36"/>
          <w:szCs w:val="36"/>
          <w:lang w:val="en-US" w:eastAsia="zh-CN"/>
        </w:rPr>
        <w:t xml:space="preserve"> </w:t>
      </w:r>
      <w:r>
        <w:rPr>
          <w:rStyle w:val="18"/>
          <w:rFonts w:hint="default" w:ascii="Times New Roman" w:hAnsi="Times New Roman" w:eastAsia="仿宋_GB2312" w:cs="Times New Roman"/>
          <w:spacing w:val="-4"/>
          <w:sz w:val="36"/>
          <w:szCs w:val="36"/>
        </w:rPr>
        <w:t>4.资金投入和使用情况</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（1）项目资金安排落实、总投入等情况分析</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自治区访惠聚工作经费项目预算安排总额为5959.5万元，其中财政资金5959.5万元，2022年实际收到预算资金5959.5万元，预算资金到位率为100%。</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（2）项目资金实际使用情况分析</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本项目实际支付资金4004.31万元，预算执行率67.2%。项目资金主要用于支付“访惠聚”驻村干部保险费用2608.6万元、明白册印刷费用2608.6万元、“1+2”宣传片拍摄费用1398.4万元。</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Style w:val="18"/>
          <w:rFonts w:hint="default" w:ascii="Times New Roman" w:hAnsi="Times New Roman" w:eastAsia="楷体_GB2312" w:cs="Times New Roman"/>
          <w:b w:val="0"/>
          <w:bCs w:val="0"/>
          <w:spacing w:val="-4"/>
          <w:sz w:val="36"/>
          <w:szCs w:val="36"/>
        </w:rPr>
      </w:pPr>
      <w:r>
        <w:rPr>
          <w:rStyle w:val="18"/>
          <w:rFonts w:hint="default" w:ascii="Times New Roman" w:hAnsi="Times New Roman" w:eastAsia="楷体_GB2312" w:cs="Times New Roman"/>
          <w:b w:val="0"/>
          <w:bCs w:val="0"/>
          <w:spacing w:val="-4"/>
          <w:sz w:val="36"/>
          <w:szCs w:val="36"/>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spacing w:val="-4"/>
          <w:sz w:val="36"/>
          <w:szCs w:val="36"/>
        </w:rPr>
      </w:pPr>
      <w:r>
        <w:rPr>
          <w:rStyle w:val="18"/>
          <w:rFonts w:hint="default" w:ascii="Times New Roman" w:hAnsi="Times New Roman" w:eastAsia="仿宋_GB2312" w:cs="Times New Roman"/>
          <w:spacing w:val="-4"/>
          <w:sz w:val="36"/>
          <w:szCs w:val="36"/>
        </w:rPr>
        <w:t>1.总体目标</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spacing w:val="-4"/>
          <w:sz w:val="36"/>
          <w:szCs w:val="36"/>
        </w:rPr>
      </w:pPr>
      <w:r>
        <w:rPr>
          <w:rStyle w:val="18"/>
          <w:rFonts w:hint="default" w:ascii="Times New Roman" w:hAnsi="Times New Roman" w:eastAsia="仿宋_GB2312" w:cs="Times New Roman"/>
          <w:b w:val="0"/>
          <w:bCs w:val="0"/>
          <w:spacing w:val="-4"/>
          <w:sz w:val="36"/>
          <w:szCs w:val="36"/>
        </w:rPr>
        <w:t>充分发挥自治区“访惠聚”办组织指导、督促检查、综合协调、舆论引导等职能作用，持续深入推进“访惠聚”驻村工作。充分体现自治区党委对“访惠聚”驻村干部的关心关爱，切实保障好驻村干部的人身安全和切身利益。表彰先进、树立典型，加大宣传力度，形成有效激励，树立良好导向，开创“访惠聚”驻村工作新局面。</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spacing w:val="-4"/>
          <w:sz w:val="36"/>
          <w:szCs w:val="36"/>
        </w:rPr>
        <w:t>2.阶段性目标</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楷体" w:cs="Times New Roman"/>
          <w:spacing w:val="-4"/>
          <w:sz w:val="36"/>
          <w:szCs w:val="36"/>
        </w:rPr>
      </w:pPr>
      <w:r>
        <w:rPr>
          <w:rStyle w:val="18"/>
          <w:rFonts w:hint="default" w:ascii="Times New Roman" w:hAnsi="Times New Roman" w:eastAsia="仿宋_GB2312" w:cs="Times New Roman"/>
          <w:b w:val="0"/>
          <w:bCs w:val="0"/>
          <w:spacing w:val="-4"/>
          <w:sz w:val="36"/>
          <w:szCs w:val="36"/>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w:t>
      </w:r>
    </w:p>
    <w:p>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Style w:val="18"/>
          <w:rFonts w:hint="default" w:ascii="Times New Roman" w:hAnsi="Times New Roman" w:eastAsia="黑体" w:cs="Times New Roman"/>
          <w:b w:val="0"/>
          <w:spacing w:val="-4"/>
          <w:sz w:val="36"/>
          <w:szCs w:val="36"/>
        </w:rPr>
      </w:pPr>
      <w:r>
        <w:rPr>
          <w:rStyle w:val="18"/>
          <w:rFonts w:hint="default" w:ascii="Times New Roman" w:hAnsi="Times New Roman" w:eastAsia="黑体" w:cs="Times New Roman"/>
          <w:b w:val="0"/>
          <w:spacing w:val="-4"/>
          <w:sz w:val="36"/>
          <w:szCs w:val="36"/>
        </w:rPr>
        <w:t>二、</w:t>
      </w:r>
      <w:r>
        <w:rPr>
          <w:rStyle w:val="18"/>
          <w:rFonts w:hint="default" w:ascii="Times New Roman" w:hAnsi="Times New Roman" w:eastAsia="黑体" w:cs="Times New Roman"/>
          <w:spacing w:val="-4"/>
          <w:sz w:val="36"/>
          <w:szCs w:val="36"/>
        </w:rPr>
        <w:t>绩效评价工作开展情况</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Style w:val="18"/>
          <w:rFonts w:hint="default" w:ascii="Times New Roman" w:hAnsi="Times New Roman" w:eastAsia="楷体_GB2312" w:cs="Times New Roman"/>
          <w:b w:val="0"/>
          <w:bCs w:val="0"/>
          <w:spacing w:val="-4"/>
          <w:sz w:val="36"/>
          <w:szCs w:val="36"/>
        </w:rPr>
      </w:pPr>
      <w:r>
        <w:rPr>
          <w:rStyle w:val="18"/>
          <w:rFonts w:hint="default" w:ascii="Times New Roman" w:hAnsi="Times New Roman" w:eastAsia="楷体_GB2312" w:cs="Times New Roman"/>
          <w:b w:val="0"/>
          <w:bCs w:val="0"/>
          <w:spacing w:val="-4"/>
          <w:sz w:val="36"/>
          <w:szCs w:val="36"/>
        </w:rPr>
        <w:t>（一）绩效评价目的、对象和范围。</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bCs/>
          <w:spacing w:val="-4"/>
          <w:sz w:val="36"/>
          <w:szCs w:val="36"/>
        </w:rPr>
      </w:pPr>
      <w:r>
        <w:rPr>
          <w:rStyle w:val="18"/>
          <w:rFonts w:hint="default" w:ascii="Times New Roman" w:hAnsi="Times New Roman" w:eastAsia="仿宋_GB2312" w:cs="Times New Roman"/>
          <w:b/>
          <w:bCs/>
          <w:spacing w:val="-4"/>
          <w:sz w:val="36"/>
          <w:szCs w:val="36"/>
        </w:rPr>
        <w:t>1.绩效评价的目的</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bCs/>
          <w:spacing w:val="-4"/>
          <w:sz w:val="36"/>
          <w:szCs w:val="36"/>
        </w:rPr>
      </w:pPr>
      <w:r>
        <w:rPr>
          <w:rStyle w:val="18"/>
          <w:rFonts w:hint="default" w:ascii="Times New Roman" w:hAnsi="Times New Roman" w:eastAsia="仿宋_GB2312" w:cs="Times New Roman"/>
          <w:b w:val="0"/>
          <w:bCs w:val="0"/>
          <w:spacing w:val="-4"/>
          <w:sz w:val="36"/>
          <w:szCs w:val="36"/>
        </w:rPr>
        <w:t>为全面了解该项目预算编制合理性、资金使用合规性、项目管理的规范性、项目目标的实现情况、服务对象的满意度等，通过本次部门绩效评价来总结经验教训，促进项目成果转化和应用，为今后类似项目的长效管理，提供可行性参考建议。</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bCs/>
          <w:spacing w:val="-4"/>
          <w:sz w:val="36"/>
          <w:szCs w:val="36"/>
        </w:rPr>
        <w:t>2.绩效评价的对象和范围</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此次我单位根据《财政支出绩效评价管理暂行办法》（财预〔2020〕10号）文件要求对2022年度我单位实施的自治区访惠聚工作经费项目开展部门绩效评价，项目总金额5959.5万元。</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楷体" w:cs="Times New Roman"/>
          <w:spacing w:val="-4"/>
          <w:sz w:val="36"/>
          <w:szCs w:val="36"/>
        </w:rPr>
      </w:pPr>
      <w:r>
        <w:rPr>
          <w:rStyle w:val="18"/>
          <w:rFonts w:hint="default" w:ascii="Times New Roman" w:hAnsi="Times New Roman" w:eastAsia="仿宋_GB2312" w:cs="Times New Roman"/>
          <w:b w:val="0"/>
          <w:bCs w:val="0"/>
          <w:spacing w:val="-4"/>
          <w:sz w:val="36"/>
          <w:szCs w:val="36"/>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Style w:val="18"/>
          <w:rFonts w:hint="default" w:ascii="Times New Roman" w:hAnsi="Times New Roman" w:eastAsia="楷体_GB2312" w:cs="Times New Roman"/>
          <w:b w:val="0"/>
          <w:bCs w:val="0"/>
          <w:spacing w:val="-4"/>
          <w:sz w:val="36"/>
          <w:szCs w:val="36"/>
        </w:rPr>
      </w:pPr>
      <w:r>
        <w:rPr>
          <w:rStyle w:val="18"/>
          <w:rFonts w:hint="default" w:ascii="Times New Roman" w:hAnsi="Times New Roman" w:eastAsia="楷体_GB2312" w:cs="Times New Roman"/>
          <w:b w:val="0"/>
          <w:bCs w:val="0"/>
          <w:spacing w:val="-4"/>
          <w:sz w:val="36"/>
          <w:szCs w:val="36"/>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bCs/>
          <w:spacing w:val="-4"/>
          <w:sz w:val="36"/>
          <w:szCs w:val="36"/>
        </w:rPr>
      </w:pPr>
      <w:r>
        <w:rPr>
          <w:rStyle w:val="18"/>
          <w:rFonts w:hint="default" w:ascii="Times New Roman" w:hAnsi="Times New Roman" w:eastAsia="仿宋_GB2312" w:cs="Times New Roman"/>
          <w:b/>
          <w:bCs/>
          <w:spacing w:val="-4"/>
          <w:sz w:val="36"/>
          <w:szCs w:val="36"/>
        </w:rPr>
        <w:t>1.绩效评价原则</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自治区访惠聚工作经费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根据以上原则，绩效评价应遵循如下要求：</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在数据采集时，采取客观数据，主管部门审查、社会中介组织复查，与问卷调查相结合的形式，以保证各项指标的真实性。</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（2）保证评价结果的真实性、公正性，提高评价报告的公信力。</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（3）绩效评价报告应当简明扼要，除了对绩效评价的过程、结果描述外，还应总结经验，指出问题，并就共性问题提出可操作性改进建议。</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bCs/>
          <w:spacing w:val="-4"/>
          <w:sz w:val="36"/>
          <w:szCs w:val="36"/>
          <w:lang w:val="en-US" w:eastAsia="zh-CN"/>
        </w:rPr>
        <w:t xml:space="preserve">  </w:t>
      </w:r>
      <w:r>
        <w:rPr>
          <w:rStyle w:val="18"/>
          <w:rFonts w:hint="default" w:ascii="Times New Roman" w:hAnsi="Times New Roman" w:eastAsia="仿宋_GB2312" w:cs="Times New Roman"/>
          <w:b/>
          <w:bCs/>
          <w:spacing w:val="-4"/>
          <w:sz w:val="36"/>
          <w:szCs w:val="36"/>
        </w:rPr>
        <w:t>2.绩效评价指标体系</w:t>
      </w:r>
      <w:r>
        <w:rPr>
          <w:rStyle w:val="18"/>
          <w:rFonts w:hint="default" w:ascii="Times New Roman" w:hAnsi="Times New Roman" w:eastAsia="仿宋_GB2312" w:cs="Times New Roman"/>
          <w:b/>
          <w:bCs/>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我单位根据项目的实施资料研读及前期调研，结合项目的实际开展情况，将项目的指标体系进行了调整和完善，最终形成了项目绩效评价指标体系。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07" w:firstLineChars="200"/>
        <w:textAlignment w:val="auto"/>
        <w:rPr>
          <w:rStyle w:val="18"/>
          <w:rFonts w:hint="default" w:ascii="Times New Roman" w:hAnsi="Times New Roman" w:eastAsia="仿宋_GB2312" w:cs="Times New Roman"/>
          <w:b/>
          <w:bCs/>
          <w:spacing w:val="-4"/>
          <w:sz w:val="36"/>
          <w:szCs w:val="36"/>
        </w:rPr>
      </w:pPr>
      <w:r>
        <w:rPr>
          <w:rStyle w:val="18"/>
          <w:rFonts w:hint="default" w:ascii="Times New Roman" w:hAnsi="Times New Roman" w:eastAsia="仿宋_GB2312" w:cs="Times New Roman"/>
          <w:b/>
          <w:bCs/>
          <w:spacing w:val="-4"/>
          <w:sz w:val="36"/>
          <w:szCs w:val="36"/>
        </w:rPr>
        <w:t>3.评价方法</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楷体" w:cs="Times New Roman"/>
          <w:spacing w:val="-4"/>
          <w:sz w:val="36"/>
          <w:szCs w:val="36"/>
        </w:rPr>
      </w:pPr>
      <w:r>
        <w:rPr>
          <w:rStyle w:val="18"/>
          <w:rFonts w:hint="default" w:ascii="Times New Roman" w:hAnsi="Times New Roman" w:eastAsia="仿宋_GB2312" w:cs="Times New Roman"/>
          <w:b w:val="0"/>
          <w:bCs w:val="0"/>
          <w:spacing w:val="-4"/>
          <w:sz w:val="36"/>
          <w:szCs w:val="36"/>
        </w:rPr>
        <w:t xml:space="preserve">评价方法采用比较法，将项目实施情况与绩效目标进行比较，把项目实际完成指标情况与年度指标值进行对比，形成评价结果。   </w:t>
      </w:r>
      <w:r>
        <w:rPr>
          <w:rStyle w:val="18"/>
          <w:rFonts w:hint="default" w:ascii="Times New Roman" w:hAnsi="Times New Roman" w:eastAsia="楷体" w:cs="Times New Roman"/>
          <w:spacing w:val="-4"/>
          <w:sz w:val="36"/>
          <w:szCs w:val="36"/>
        </w:rPr>
        <w:t xml:space="preserve">  </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bCs/>
          <w:spacing w:val="-4"/>
          <w:sz w:val="36"/>
          <w:szCs w:val="36"/>
        </w:rPr>
        <w:t>4.评价标准</w:t>
      </w:r>
      <w:r>
        <w:rPr>
          <w:rStyle w:val="18"/>
          <w:rFonts w:hint="default" w:ascii="Times New Roman" w:hAnsi="Times New Roman" w:eastAsia="楷体" w:cs="Times New Roman"/>
          <w:spacing w:val="-4"/>
          <w:sz w:val="36"/>
          <w:szCs w:val="36"/>
        </w:rPr>
        <w:cr/>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评价标准参照计划标准，以预先制定的目标、计划、预算、定额等作为评价标准。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Style w:val="18"/>
          <w:rFonts w:hint="default" w:ascii="Times New Roman" w:hAnsi="Times New Roman" w:eastAsia="楷体_GB2312" w:cs="Times New Roman"/>
          <w:b w:val="0"/>
          <w:bCs w:val="0"/>
          <w:spacing w:val="-4"/>
          <w:sz w:val="36"/>
          <w:szCs w:val="36"/>
        </w:rPr>
      </w:pPr>
      <w:r>
        <w:rPr>
          <w:rStyle w:val="18"/>
          <w:rFonts w:hint="default" w:ascii="Times New Roman" w:hAnsi="Times New Roman" w:eastAsia="楷体_GB2312" w:cs="Times New Roman"/>
          <w:b w:val="0"/>
          <w:bCs w:val="0"/>
          <w:spacing w:val="-4"/>
          <w:sz w:val="36"/>
          <w:szCs w:val="36"/>
        </w:rPr>
        <w:t>（三）绩效评价工作过程。</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本次评价成立了评价工作组，成员如下：</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1.评价组组长：段振华，职责：组织部财务审核，工作内容：对支出事项进行审核把关;</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2.评价组成员：蔡兵，职责：“访惠聚”办财务处理，工作内容：具体负责项目资金支出和执行。</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Style w:val="18"/>
          <w:rFonts w:hint="default" w:ascii="Times New Roman" w:hAnsi="Times New Roman" w:eastAsia="黑体" w:cs="Times New Roman"/>
          <w:b w:val="0"/>
          <w:spacing w:val="-4"/>
          <w:sz w:val="36"/>
          <w:szCs w:val="36"/>
        </w:rPr>
      </w:pPr>
      <w:r>
        <w:rPr>
          <w:rStyle w:val="18"/>
          <w:rFonts w:hint="default" w:ascii="Times New Roman" w:hAnsi="Times New Roman" w:eastAsia="黑体" w:cs="Times New Roman"/>
          <w:b w:val="0"/>
          <w:spacing w:val="-4"/>
          <w:sz w:val="36"/>
          <w:szCs w:val="36"/>
        </w:rPr>
        <w:t>三、</w:t>
      </w:r>
      <w:r>
        <w:rPr>
          <w:rStyle w:val="18"/>
          <w:rFonts w:hint="default" w:ascii="Times New Roman" w:hAnsi="Times New Roman" w:eastAsia="黑体" w:cs="Times New Roman"/>
          <w:spacing w:val="-4"/>
          <w:sz w:val="36"/>
          <w:szCs w:val="36"/>
        </w:rPr>
        <w:t>综合评价情况及评价结论</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此次绩效评价通过论证的评价指标体系及评分标准，采用的方法为比较法，对自治区访惠聚工作经费项目绩效进行客观评价，最终评分结果：总分为98.5分，其中：项目决策20分、过程管理20分、项目产出28.5分、项目效益20分、满意度指标10分。，绩效评级为“优”。（优：90-100分，包含90分；良：80-90分，包含80分；中：60-80分，包含60分；差：60分以下）</w:t>
      </w:r>
    </w:p>
    <w:p>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Style w:val="18"/>
          <w:rFonts w:hint="default" w:ascii="Times New Roman" w:hAnsi="Times New Roman" w:eastAsia="黑体" w:cs="Times New Roman"/>
          <w:sz w:val="36"/>
          <w:szCs w:val="36"/>
        </w:rPr>
      </w:pPr>
      <w:r>
        <w:rPr>
          <w:rStyle w:val="18"/>
          <w:rFonts w:hint="default" w:ascii="Times New Roman" w:hAnsi="Times New Roman" w:eastAsia="黑体" w:cs="Times New Roman"/>
          <w:b w:val="0"/>
          <w:spacing w:val="-4"/>
          <w:sz w:val="36"/>
          <w:szCs w:val="36"/>
        </w:rPr>
        <w:t>四、</w:t>
      </w:r>
      <w:r>
        <w:rPr>
          <w:rStyle w:val="18"/>
          <w:rFonts w:hint="default" w:ascii="Times New Roman" w:hAnsi="Times New Roman" w:eastAsia="黑体" w:cs="Times New Roman"/>
          <w:spacing w:val="-4"/>
          <w:sz w:val="36"/>
          <w:szCs w:val="36"/>
        </w:rPr>
        <w:t>绩效评价指标分析</w:t>
      </w:r>
      <w:r>
        <w:rPr>
          <w:rStyle w:val="18"/>
          <w:rFonts w:hint="default" w:ascii="Times New Roman" w:hAnsi="Times New Roman" w:eastAsia="黑体" w:cs="Times New Roman"/>
          <w:b w:val="0"/>
          <w:spacing w:val="-4"/>
          <w:sz w:val="36"/>
          <w:szCs w:val="36"/>
        </w:rPr>
        <w:t xml:space="preserve"> </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Fonts w:hint="default" w:ascii="Times New Roman" w:hAnsi="Times New Roman" w:eastAsia="楷体_GB2312" w:cs="Times New Roman"/>
          <w:b w:val="0"/>
          <w:bCs/>
          <w:spacing w:val="-4"/>
          <w:sz w:val="36"/>
          <w:szCs w:val="36"/>
        </w:rPr>
      </w:pPr>
      <w:r>
        <w:rPr>
          <w:rFonts w:hint="default" w:ascii="Times New Roman" w:hAnsi="Times New Roman" w:eastAsia="楷体_GB2312" w:cs="Times New Roman"/>
          <w:b w:val="0"/>
          <w:bCs/>
          <w:spacing w:val="-4"/>
          <w:sz w:val="36"/>
          <w:szCs w:val="36"/>
        </w:rPr>
        <w:t>（一）项目决策情况。</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项目决策由3个二级指标和6个三级指标构成，权重分20分，实际得分20分。具体如下：</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Fonts w:hint="default" w:ascii="Times New Roman" w:hAnsi="Times New Roman" w:eastAsia="楷体_GB2312" w:cs="Times New Roman"/>
          <w:b w:val="0"/>
          <w:bCs/>
          <w:spacing w:val="-4"/>
          <w:sz w:val="36"/>
          <w:szCs w:val="36"/>
        </w:rPr>
      </w:pPr>
      <w:r>
        <w:rPr>
          <w:rFonts w:hint="default" w:ascii="Times New Roman" w:hAnsi="Times New Roman" w:eastAsia="楷体_GB2312" w:cs="Times New Roman"/>
          <w:b w:val="0"/>
          <w:bCs/>
          <w:spacing w:val="-4"/>
          <w:sz w:val="36"/>
          <w:szCs w:val="36"/>
        </w:rPr>
        <w:t>（二）项目过程情况。</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项目过程管理类指标由2个二级指标和5个三级指标构成，权重分20分，实际得分20分。具体如下：</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资金管理分值12分，得分12分。其中资金到位率分值4分，得分4分；预算执行率分值4分，得分4分；资金使用合规性分值4分，得分4分。该项目预算资金5959.5万元，到位资金5959.5万元，实际支出资金4004.31万元，资金到位率100%，预算执行率67.2%。资金使用合规，符合国家财经法规和财务管理制度以及有关专项资金管理办法的规定，资金支付均具有完整的审批程序和手续，与预算批复内容相符，不存在截留、挤占、挪用、虚列支出等情况。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637" w:firstLineChars="181"/>
        <w:textAlignment w:val="auto"/>
        <w:rPr>
          <w:rFonts w:hint="default" w:ascii="Times New Roman" w:hAnsi="Times New Roman" w:eastAsia="楷体_GB2312" w:cs="Times New Roman"/>
          <w:b w:val="0"/>
          <w:bCs/>
          <w:spacing w:val="-4"/>
          <w:sz w:val="36"/>
          <w:szCs w:val="36"/>
        </w:rPr>
      </w:pPr>
      <w:r>
        <w:rPr>
          <w:rFonts w:hint="default" w:ascii="Times New Roman" w:hAnsi="Times New Roman" w:eastAsia="楷体_GB2312" w:cs="Times New Roman"/>
          <w:b w:val="0"/>
          <w:bCs/>
          <w:spacing w:val="-4"/>
          <w:sz w:val="36"/>
          <w:szCs w:val="36"/>
        </w:rPr>
        <w:t>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项目产出类指标由4个二级指标和7个三级指标构成，权重分30分，实际得分28.5分。具体如下：</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1.</w:t>
      </w:r>
      <w:r>
        <w:rPr>
          <w:rStyle w:val="18"/>
          <w:rFonts w:hint="default" w:ascii="Times New Roman" w:hAnsi="Times New Roman" w:eastAsia="仿宋_GB2312" w:cs="Times New Roman"/>
          <w:b w:val="0"/>
          <w:bCs w:val="0"/>
          <w:spacing w:val="-4"/>
          <w:sz w:val="36"/>
          <w:szCs w:val="36"/>
        </w:rPr>
        <w:t>数量指标</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编印发放宣讲资料”指标，预期指标值为4种，30万册，指标完成值为2种，30万册，完成率为100%(主要原因是受疫情影响，“双语教材”审读时间较长，完成政府采购时间滞后，未完成资金支付)，分值2分，得分1.5分。</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“开展宣传教育活动”指标，预期指标值为3次，指标完成值为3次，完成率为100%，分值2分，得分2分。</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“调研指导”指标，预期指标值为12次，指标完成值为12次，完成率为100%，分值2分，得分2分。</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“购买保险人数”指标，预期指标值为117000人，指标完成值为94029人，完成率为80.36%，分值2分，得分2分，此项指标不扣分的原因主要是此项指标根据“访惠聚”驻村工作人数变化而变化，做到应保尽保。</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2.</w:t>
      </w:r>
      <w:r>
        <w:rPr>
          <w:rStyle w:val="18"/>
          <w:rFonts w:hint="default" w:ascii="Times New Roman" w:hAnsi="Times New Roman" w:eastAsia="仿宋_GB2312" w:cs="Times New Roman"/>
          <w:b w:val="0"/>
          <w:bCs w:val="0"/>
          <w:spacing w:val="-4"/>
          <w:sz w:val="36"/>
          <w:szCs w:val="36"/>
        </w:rPr>
        <w:t>质量指标</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保障正常运转”指标，预期指标值为“确保工作部署有效传达，有效开展宣传、调研、督促检查”，指标完成值为“确保工作部署有效传达，有效开展宣传、调研、督促检查”，完成率为100%，分值5分，得分5分。</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3.</w:t>
      </w:r>
      <w:r>
        <w:rPr>
          <w:rStyle w:val="18"/>
          <w:rFonts w:hint="default" w:ascii="Times New Roman" w:hAnsi="Times New Roman" w:eastAsia="仿宋_GB2312" w:cs="Times New Roman"/>
          <w:b w:val="0"/>
          <w:bCs w:val="0"/>
          <w:spacing w:val="-4"/>
          <w:sz w:val="36"/>
          <w:szCs w:val="36"/>
        </w:rPr>
        <w:t>时效指标</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“及时购买保险”指标，预期指标值为1个月内完成，指标完成值为1个月内完成，完成率为100%，分值5分，得分5分。</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4.</w:t>
      </w:r>
      <w:r>
        <w:rPr>
          <w:rStyle w:val="18"/>
          <w:rFonts w:hint="default" w:ascii="Times New Roman" w:hAnsi="Times New Roman" w:eastAsia="仿宋_GB2312" w:cs="Times New Roman"/>
          <w:b w:val="0"/>
          <w:bCs w:val="0"/>
          <w:spacing w:val="-4"/>
          <w:sz w:val="36"/>
          <w:szCs w:val="36"/>
        </w:rPr>
        <w:t>成本指标</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“办公、印刷等”指标，预期指标值为全部支出，指标完成值为支出4004.31，完成率为67.19%(主要原因是印刷前审读较严格，时间较长，影响采购等后续流程)，分值10分，得分9分。</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Fonts w:hint="default" w:ascii="Times New Roman" w:hAnsi="Times New Roman" w:eastAsia="楷体_GB2312" w:cs="Times New Roman"/>
          <w:b w:val="0"/>
          <w:bCs/>
          <w:spacing w:val="-4"/>
          <w:sz w:val="36"/>
          <w:szCs w:val="36"/>
        </w:rPr>
      </w:pPr>
      <w:r>
        <w:rPr>
          <w:rFonts w:hint="default" w:ascii="Times New Roman" w:hAnsi="Times New Roman" w:eastAsia="楷体_GB2312" w:cs="Times New Roman"/>
          <w:b w:val="0"/>
          <w:bCs/>
          <w:spacing w:val="-4"/>
          <w:sz w:val="36"/>
          <w:szCs w:val="36"/>
        </w:rPr>
        <w:t>（四）项目效益情况。</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项目效益类指标由1个二级指标和2个三级指标构成，权重分20分，实际得分20分。</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1.</w:t>
      </w:r>
      <w:r>
        <w:rPr>
          <w:rStyle w:val="18"/>
          <w:rFonts w:hint="default" w:ascii="Times New Roman" w:hAnsi="Times New Roman" w:eastAsia="仿宋_GB2312" w:cs="Times New Roman"/>
          <w:b w:val="0"/>
          <w:bCs w:val="0"/>
          <w:spacing w:val="-4"/>
          <w:sz w:val="36"/>
          <w:szCs w:val="36"/>
        </w:rPr>
        <w:t>经济效益指标</w:t>
      </w:r>
      <w:r>
        <w:rPr>
          <w:rStyle w:val="18"/>
          <w:rFonts w:hint="default" w:ascii="Times New Roman" w:hAnsi="Times New Roman" w:eastAsia="仿宋_GB2312" w:cs="Times New Roman"/>
          <w:b w:val="0"/>
          <w:bCs w:val="0"/>
          <w:spacing w:val="-4"/>
          <w:sz w:val="36"/>
          <w:szCs w:val="36"/>
        </w:rPr>
        <w:cr/>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“关心关爱驻村干部”指标，预期指标值为保障好“访惠聚”驻村干部的切身利益，指标完成值为切实保障驻村干部利益，完成率为100%，分值10分，得分10分。</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2.</w:t>
      </w:r>
      <w:r>
        <w:rPr>
          <w:rStyle w:val="18"/>
          <w:rFonts w:hint="default" w:ascii="Times New Roman" w:hAnsi="Times New Roman" w:eastAsia="仿宋_GB2312" w:cs="Times New Roman"/>
          <w:b w:val="0"/>
          <w:bCs w:val="0"/>
          <w:spacing w:val="-4"/>
          <w:sz w:val="36"/>
          <w:szCs w:val="36"/>
        </w:rPr>
        <w:t>社会效益指标</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“访民情惠民生聚民心”指标，预期指标值为持续、深入推进，指标完成值为持续、深入推进，完成率为100%，分值10分，得分10分。</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3.</w:t>
      </w:r>
      <w:r>
        <w:rPr>
          <w:rStyle w:val="18"/>
          <w:rFonts w:hint="default" w:ascii="Times New Roman" w:hAnsi="Times New Roman" w:eastAsia="仿宋_GB2312" w:cs="Times New Roman"/>
          <w:b w:val="0"/>
          <w:bCs w:val="0"/>
          <w:spacing w:val="-4"/>
          <w:sz w:val="36"/>
          <w:szCs w:val="36"/>
        </w:rPr>
        <w:t>生态效益指标</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无。</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eastAsia" w:eastAsia="仿宋_GB2312" w:cs="Times New Roman"/>
          <w:b w:val="0"/>
          <w:bCs w:val="0"/>
          <w:spacing w:val="-4"/>
          <w:sz w:val="36"/>
          <w:szCs w:val="36"/>
          <w:lang w:val="en-US" w:eastAsia="zh-CN"/>
        </w:rPr>
        <w:t>4.</w:t>
      </w:r>
      <w:r>
        <w:rPr>
          <w:rStyle w:val="18"/>
          <w:rFonts w:hint="default" w:ascii="Times New Roman" w:hAnsi="Times New Roman" w:eastAsia="仿宋_GB2312" w:cs="Times New Roman"/>
          <w:b w:val="0"/>
          <w:bCs w:val="0"/>
          <w:spacing w:val="-4"/>
          <w:sz w:val="36"/>
          <w:szCs w:val="36"/>
        </w:rPr>
        <w:t>可持续影响指标</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无。</w:t>
      </w:r>
    </w:p>
    <w:p>
      <w:pPr>
        <w:keepNext w:val="0"/>
        <w:keepLines w:val="0"/>
        <w:pageBreakBefore w:val="0"/>
        <w:widowControl w:val="0"/>
        <w:kinsoku/>
        <w:wordWrap/>
        <w:overflowPunct/>
        <w:topLinePunct w:val="0"/>
        <w:autoSpaceDE/>
        <w:autoSpaceDN/>
        <w:bidi w:val="0"/>
        <w:adjustRightInd/>
        <w:snapToGrid/>
        <w:spacing w:line="640" w:lineRule="exact"/>
        <w:ind w:firstLine="637" w:firstLineChars="181"/>
        <w:textAlignment w:val="auto"/>
        <w:rPr>
          <w:rFonts w:hint="default" w:ascii="Times New Roman" w:hAnsi="Times New Roman" w:eastAsia="楷体_GB2312" w:cs="Times New Roman"/>
          <w:b w:val="0"/>
          <w:bCs/>
          <w:spacing w:val="-4"/>
          <w:sz w:val="36"/>
          <w:szCs w:val="36"/>
        </w:rPr>
      </w:pPr>
      <w:r>
        <w:rPr>
          <w:rFonts w:hint="default" w:ascii="Times New Roman" w:hAnsi="Times New Roman" w:eastAsia="楷体_GB2312" w:cs="Times New Roman"/>
          <w:b w:val="0"/>
          <w:bCs/>
          <w:spacing w:val="-4"/>
          <w:sz w:val="36"/>
          <w:szCs w:val="36"/>
        </w:rPr>
        <w:t>（五）满意度指标完成情况分析。</w:t>
      </w:r>
    </w:p>
    <w:p>
      <w:pPr>
        <w:keepNext w:val="0"/>
        <w:keepLines w:val="0"/>
        <w:pageBreakBefore w:val="0"/>
        <w:widowControl w:val="0"/>
        <w:kinsoku/>
        <w:wordWrap/>
        <w:overflowPunct/>
        <w:topLinePunct w:val="0"/>
        <w:autoSpaceDE/>
        <w:autoSpaceDN/>
        <w:bidi w:val="0"/>
        <w:adjustRightInd/>
        <w:snapToGrid/>
        <w:spacing w:line="640" w:lineRule="exact"/>
        <w:ind w:firstLine="567"/>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项目满意度指标由1个二级指标和2个三级指标构成，权重分10分，实际得分10分。具体如下：</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“派出单位满意度”指标，预期指标值为大于95%，指标完成值为满意，完成率为100%，分值5分，得分5分。</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仿宋_GB2312" w:cs="Times New Roman"/>
          <w:b w:val="0"/>
          <w:bCs w:val="0"/>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“驻村干部满意度”指标，预期指标值为大于95%，指标完成值为满意，完成率为100%，分值5分，得分5分。</w:t>
      </w:r>
    </w:p>
    <w:p>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Style w:val="18"/>
          <w:rFonts w:hint="default" w:ascii="Times New Roman" w:hAnsi="Times New Roman" w:eastAsia="黑体" w:cs="Times New Roman"/>
          <w:spacing w:val="-4"/>
          <w:sz w:val="36"/>
          <w:szCs w:val="36"/>
        </w:rPr>
      </w:pPr>
      <w:r>
        <w:rPr>
          <w:rStyle w:val="18"/>
          <w:rFonts w:hint="default" w:ascii="Times New Roman" w:hAnsi="Times New Roman" w:eastAsia="黑体" w:cs="Times New Roman"/>
          <w:b w:val="0"/>
          <w:spacing w:val="-4"/>
          <w:sz w:val="36"/>
          <w:szCs w:val="36"/>
          <w:lang w:eastAsia="zh-CN"/>
        </w:rPr>
        <w:t>五</w:t>
      </w:r>
      <w:r>
        <w:rPr>
          <w:rStyle w:val="18"/>
          <w:rFonts w:hint="default" w:ascii="Times New Roman" w:hAnsi="Times New Roman" w:eastAsia="黑体" w:cs="Times New Roman"/>
          <w:b w:val="0"/>
          <w:spacing w:val="-4"/>
          <w:sz w:val="36"/>
          <w:szCs w:val="36"/>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楷体_GB2312" w:cs="Times New Roman"/>
          <w:b w:val="0"/>
          <w:bCs w:val="0"/>
          <w:spacing w:val="-4"/>
          <w:sz w:val="36"/>
          <w:szCs w:val="36"/>
        </w:rPr>
      </w:pPr>
      <w:r>
        <w:rPr>
          <w:rStyle w:val="18"/>
          <w:rFonts w:hint="default" w:ascii="Times New Roman" w:hAnsi="Times New Roman" w:eastAsia="楷体_GB2312" w:cs="Times New Roman"/>
          <w:b w:val="0"/>
          <w:bCs w:val="0"/>
          <w:spacing w:val="-4"/>
          <w:sz w:val="36"/>
          <w:szCs w:val="36"/>
        </w:rPr>
        <w:t>（一）主要经验及做法。</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自治区“访惠聚”办根据工作需要，承担的临时性任务较多，如2022年承担抓党建促乡村振兴、党建引领基层治理等重点工作，在年初预算时，做好常规性工作经费测算的同时，还应相对应预留突发事件和临时性工作任务经费，严格按照预算相关规定执行，加快支出进度，确保资金及时发挥效益。</w:t>
      </w:r>
      <w:r>
        <w:rPr>
          <w:rStyle w:val="18"/>
          <w:rFonts w:hint="default" w:ascii="Times New Roman" w:hAnsi="Times New Roman" w:eastAsia="仿宋_GB2312" w:cs="Times New Roman"/>
          <w:b w:val="0"/>
          <w:bCs w:val="0"/>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楷体_GB2312" w:cs="Times New Roman"/>
          <w:b w:val="0"/>
          <w:bCs w:val="0"/>
          <w:spacing w:val="-4"/>
          <w:sz w:val="36"/>
          <w:szCs w:val="36"/>
        </w:rPr>
        <w:t>（二）存在的问题及原因分析。</w:t>
      </w:r>
      <w:r>
        <w:rPr>
          <w:rStyle w:val="18"/>
          <w:rFonts w:hint="default" w:ascii="Times New Roman" w:hAnsi="Times New Roman" w:eastAsia="楷体" w:cs="Times New Roman"/>
          <w:spacing w:val="-4"/>
          <w:sz w:val="36"/>
          <w:szCs w:val="36"/>
        </w:rPr>
        <w:br w:type="textWrapping"/>
      </w:r>
      <w:r>
        <w:rPr>
          <w:rStyle w:val="18"/>
          <w:rFonts w:hint="default" w:ascii="Times New Roman" w:hAnsi="Times New Roman" w:eastAsia="楷体" w:cs="Times New Roman"/>
          <w:spacing w:val="-4"/>
          <w:sz w:val="36"/>
          <w:szCs w:val="36"/>
          <w:lang w:val="en-US" w:eastAsia="zh-CN"/>
        </w:rPr>
        <w:t xml:space="preserve">    </w:t>
      </w:r>
      <w:r>
        <w:rPr>
          <w:rStyle w:val="18"/>
          <w:rFonts w:hint="default" w:ascii="Times New Roman" w:hAnsi="Times New Roman" w:eastAsia="仿宋_GB2312" w:cs="Times New Roman"/>
          <w:b w:val="0"/>
          <w:bCs w:val="0"/>
          <w:spacing w:val="-4"/>
          <w:sz w:val="36"/>
          <w:szCs w:val="36"/>
        </w:rPr>
        <w:t>无。</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黑体" w:cs="Times New Roman"/>
          <w:b w:val="0"/>
          <w:spacing w:val="-4"/>
          <w:sz w:val="36"/>
          <w:szCs w:val="36"/>
        </w:rPr>
      </w:pPr>
      <w:r>
        <w:rPr>
          <w:rStyle w:val="18"/>
          <w:rFonts w:hint="default" w:ascii="Times New Roman" w:hAnsi="Times New Roman" w:eastAsia="黑体" w:cs="Times New Roman"/>
          <w:b w:val="0"/>
          <w:spacing w:val="-4"/>
          <w:sz w:val="36"/>
          <w:szCs w:val="36"/>
          <w:lang w:eastAsia="zh-CN"/>
        </w:rPr>
        <w:t>六</w:t>
      </w:r>
      <w:r>
        <w:rPr>
          <w:rStyle w:val="18"/>
          <w:rFonts w:hint="default" w:ascii="Times New Roman" w:hAnsi="Times New Roman" w:eastAsia="黑体" w:cs="Times New Roman"/>
          <w:b w:val="0"/>
          <w:spacing w:val="-4"/>
          <w:sz w:val="36"/>
          <w:szCs w:val="36"/>
        </w:rPr>
        <w:t>、有关建议</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建议优化工作流程，提早谋划全年预算，年初即开展部分刊物的编辑审读等相关工作，上半年积极筹划全年宣传片拍摄等，做好前期准备，按月支出保险费等相关费用，进一步加快项目预算执行进度，切实发挥资金使用效益。</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黑体" w:cs="Times New Roman"/>
          <w:b w:val="0"/>
          <w:spacing w:val="-4"/>
          <w:sz w:val="36"/>
          <w:szCs w:val="36"/>
        </w:rPr>
      </w:pPr>
      <w:r>
        <w:rPr>
          <w:rStyle w:val="18"/>
          <w:rFonts w:hint="default" w:ascii="Times New Roman" w:hAnsi="Times New Roman" w:eastAsia="黑体" w:cs="Times New Roman"/>
          <w:b w:val="0"/>
          <w:spacing w:val="-4"/>
          <w:sz w:val="36"/>
          <w:szCs w:val="36"/>
          <w:lang w:eastAsia="zh-CN"/>
        </w:rPr>
        <w:t>七</w:t>
      </w:r>
      <w:r>
        <w:rPr>
          <w:rStyle w:val="18"/>
          <w:rFonts w:hint="default" w:ascii="Times New Roman" w:hAnsi="Times New Roman" w:eastAsia="黑体" w:cs="Times New Roman"/>
          <w:b w:val="0"/>
          <w:spacing w:val="-4"/>
          <w:sz w:val="36"/>
          <w:szCs w:val="36"/>
        </w:rPr>
        <w:t>、其他需要说明的问题</w:t>
      </w:r>
    </w:p>
    <w:p>
      <w:pPr>
        <w:keepNext w:val="0"/>
        <w:keepLines w:val="0"/>
        <w:pageBreakBefore w:val="0"/>
        <w:widowControl w:val="0"/>
        <w:kinsoku/>
        <w:wordWrap/>
        <w:overflowPunct/>
        <w:topLinePunct w:val="0"/>
        <w:autoSpaceDE/>
        <w:autoSpaceDN/>
        <w:bidi w:val="0"/>
        <w:adjustRightInd/>
        <w:snapToGrid/>
        <w:spacing w:line="640" w:lineRule="exact"/>
        <w:ind w:firstLine="704" w:firstLineChars="200"/>
        <w:textAlignment w:val="auto"/>
        <w:rPr>
          <w:rStyle w:val="18"/>
          <w:rFonts w:hint="default" w:ascii="Times New Roman" w:hAnsi="Times New Roman" w:eastAsia="仿宋_GB2312" w:cs="Times New Roman"/>
          <w:b w:val="0"/>
          <w:bCs w:val="0"/>
          <w:spacing w:val="-4"/>
          <w:sz w:val="36"/>
          <w:szCs w:val="36"/>
        </w:rPr>
      </w:pPr>
      <w:r>
        <w:rPr>
          <w:rStyle w:val="18"/>
          <w:rFonts w:hint="default" w:ascii="Times New Roman" w:hAnsi="Times New Roman" w:eastAsia="仿宋_GB2312" w:cs="Times New Roman"/>
          <w:b w:val="0"/>
          <w:bCs w:val="0"/>
          <w:spacing w:val="-4"/>
          <w:sz w:val="36"/>
          <w:szCs w:val="36"/>
        </w:rPr>
        <w:t>无</w:t>
      </w:r>
    </w:p>
    <w:p>
      <w:pPr>
        <w:spacing w:line="540" w:lineRule="exact"/>
        <w:ind w:firstLine="567"/>
        <w:rPr>
          <w:rStyle w:val="18"/>
          <w:rFonts w:hint="default" w:ascii="Times New Roman" w:hAnsi="Times New Roman" w:eastAsia="仿宋" w:cs="Times New Roman"/>
          <w:b w:val="0"/>
          <w:spacing w:val="-4"/>
          <w:sz w:val="36"/>
          <w:szCs w:val="36"/>
        </w:rPr>
      </w:pPr>
    </w:p>
    <w:p>
      <w:pPr>
        <w:spacing w:line="540" w:lineRule="exact"/>
        <w:rPr>
          <w:rStyle w:val="18"/>
          <w:rFonts w:hint="default" w:ascii="Times New Roman" w:hAnsi="Times New Roman" w:eastAsia="仿宋" w:cs="Times New Roman"/>
          <w:b w:val="0"/>
          <w:spacing w:val="-4"/>
          <w:sz w:val="36"/>
          <w:szCs w:val="36"/>
        </w:rPr>
      </w:pPr>
      <w:bookmarkStart w:id="0" w:name="_GoBack"/>
      <w:bookmarkEnd w:id="0"/>
    </w:p>
    <w:sectPr>
      <w:footerReference r:id="rId3" w:type="default"/>
      <w:pgSz w:w="11906" w:h="16838"/>
      <w:pgMar w:top="2098" w:right="1531" w:bottom="204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mc:Fallback>
      </mc:AlternateContent>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1FABE"/>
    <w:multiLevelType w:val="singleLevel"/>
    <w:tmpl w:val="85B1FABE"/>
    <w:lvl w:ilvl="0" w:tentative="0">
      <w:start w:val="3"/>
      <w:numFmt w:val="chineseCounting"/>
      <w:suff w:val="nothing"/>
      <w:lvlText w:val="（%1）"/>
      <w:lvlJc w:val="left"/>
      <w:rPr>
        <w:rFonts w:hint="eastAsia"/>
      </w:rPr>
    </w:lvl>
  </w:abstractNum>
  <w:abstractNum w:abstractNumId="1">
    <w:nsid w:val="7C19644C"/>
    <w:multiLevelType w:val="singleLevel"/>
    <w:tmpl w:val="7C19644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6FA0990"/>
    <w:rsid w:val="0CB44F22"/>
    <w:rsid w:val="4D2606A1"/>
    <w:rsid w:val="50F02FDD"/>
    <w:rsid w:val="7C3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8</TotalTime>
  <ScaleCrop>false</ScaleCrop>
  <LinksUpToDate>false</LinksUpToDate>
  <CharactersWithSpaces>760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zzbcws2</cp:lastModifiedBy>
  <cp:lastPrinted>2018-12-31T10:56:00Z</cp:lastPrinted>
  <dcterms:modified xsi:type="dcterms:W3CDTF">2023-08-28T13:59:30Z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9DC69851FCE5431A8E492B1C3BB6684E</vt:lpwstr>
  </property>
</Properties>
</file>