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default" w:ascii="Times New Roman" w:hAnsi="Times New Roman" w:eastAsia="华文中宋" w:cs="Times New Roman"/>
          <w:b/>
          <w:kern w:val="0"/>
          <w:sz w:val="52"/>
          <w:szCs w:val="52"/>
        </w:rPr>
      </w:pPr>
    </w:p>
    <w:p>
      <w:pPr>
        <w:spacing w:line="540" w:lineRule="exact"/>
        <w:jc w:val="both"/>
        <w:rPr>
          <w:rFonts w:hint="default" w:ascii="Times New Roman" w:hAnsi="Times New Roman" w:eastAsia="华文中宋" w:cs="Times New Roman"/>
          <w:b/>
          <w:kern w:val="0"/>
          <w:sz w:val="52"/>
          <w:szCs w:val="52"/>
        </w:rPr>
      </w:pP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default" w:ascii="Times New Roman" w:hAnsi="Times New Roman" w:eastAsia="方正小标宋简体" w:cs="Times New Roman"/>
          <w:kern w:val="0"/>
          <w:sz w:val="44"/>
          <w:szCs w:val="44"/>
        </w:rPr>
      </w:pPr>
      <w:r>
        <w:rPr>
          <w:rFonts w:hint="default" w:ascii="Times New Roman" w:hAnsi="Times New Roman" w:eastAsia="方正小标宋简体" w:cs="Times New Roman"/>
          <w:kern w:val="0"/>
          <w:sz w:val="44"/>
          <w:szCs w:val="44"/>
          <w:lang w:eastAsia="zh-CN"/>
        </w:rPr>
        <w:t>民主党派参政议政</w:t>
      </w:r>
      <w:r>
        <w:rPr>
          <w:rFonts w:hint="default" w:ascii="Times New Roman" w:hAnsi="Times New Roman" w:eastAsia="方正小标宋简体" w:cs="Times New Roman"/>
          <w:kern w:val="0"/>
          <w:sz w:val="44"/>
          <w:szCs w:val="44"/>
        </w:rPr>
        <w:t>项目支出</w: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default" w:ascii="Times New Roman" w:hAnsi="Times New Roman" w:eastAsia="方正小标宋简体" w:cs="Times New Roman"/>
          <w:kern w:val="0"/>
          <w:sz w:val="44"/>
          <w:szCs w:val="44"/>
        </w:rPr>
      </w:pPr>
      <w:r>
        <w:rPr>
          <w:rFonts w:hint="default" w:ascii="Times New Roman" w:hAnsi="Times New Roman" w:eastAsia="方正小标宋简体" w:cs="Times New Roman"/>
          <w:kern w:val="0"/>
          <w:sz w:val="44"/>
          <w:szCs w:val="44"/>
        </w:rPr>
        <w:t>绩效评价报告</w:t>
      </w: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 2022年度）</w:t>
      </w: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pStyle w:val="2"/>
        <w:rPr>
          <w:rFonts w:hint="default" w:ascii="Times New Roman" w:hAnsi="Times New Roman" w:eastAsia="仿宋_GB2312" w:cs="Times New Roman"/>
          <w:kern w:val="0"/>
          <w:sz w:val="30"/>
          <w:szCs w:val="30"/>
        </w:rPr>
      </w:pPr>
    </w:p>
    <w:p>
      <w:pPr>
        <w:rPr>
          <w:rFonts w:hint="default" w:ascii="Times New Roman" w:hAnsi="Times New Roman" w:cs="Times New Roman"/>
        </w:rPr>
      </w:pPr>
    </w:p>
    <w:p>
      <w:pPr>
        <w:pStyle w:val="9"/>
        <w:rPr>
          <w:rFonts w:hint="default" w:ascii="Times New Roman" w:hAnsi="Times New Roman" w:cs="Times New Roman"/>
        </w:rPr>
      </w:pPr>
    </w:p>
    <w:p>
      <w:pPr>
        <w:spacing w:line="540" w:lineRule="exact"/>
        <w:rPr>
          <w:rFonts w:hint="default" w:ascii="Times New Roman" w:hAnsi="Times New Roman" w:eastAsia="仿宋_GB2312" w:cs="Times New Roman"/>
          <w:kern w:val="0"/>
          <w:sz w:val="30"/>
          <w:szCs w:val="30"/>
        </w:rPr>
      </w:pPr>
    </w:p>
    <w:p>
      <w:pPr>
        <w:spacing w:line="700" w:lineRule="exact"/>
        <w:jc w:val="left"/>
        <w:rPr>
          <w:rFonts w:hint="default" w:ascii="Times New Roman" w:hAnsi="Times New Roman" w:eastAsia="仿宋_GB2312" w:cs="Times New Roman"/>
          <w:kern w:val="0"/>
          <w:sz w:val="36"/>
          <w:szCs w:val="36"/>
          <w:lang w:eastAsia="zh-CN"/>
        </w:rPr>
      </w:pPr>
      <w:r>
        <w:rPr>
          <w:rFonts w:hint="default" w:ascii="Times New Roman" w:hAnsi="Times New Roman" w:eastAsia="仿宋_GB2312" w:cs="Times New Roman"/>
          <w:kern w:val="0"/>
          <w:sz w:val="36"/>
          <w:szCs w:val="36"/>
        </w:rPr>
        <w:t>项目名称：</w:t>
      </w:r>
      <w:r>
        <w:rPr>
          <w:rFonts w:hint="default" w:ascii="Times New Roman" w:hAnsi="Times New Roman" w:eastAsia="仿宋_GB2312" w:cs="Times New Roman"/>
          <w:kern w:val="0"/>
          <w:sz w:val="36"/>
          <w:szCs w:val="36"/>
          <w:lang w:eastAsia="zh-CN"/>
        </w:rPr>
        <w:t>民主党派参政议政</w:t>
      </w:r>
    </w:p>
    <w:p>
      <w:pPr>
        <w:spacing w:line="700" w:lineRule="exact"/>
        <w:jc w:val="left"/>
        <w:rPr>
          <w:rFonts w:hint="default" w:ascii="Times New Roman" w:hAnsi="Times New Roman" w:eastAsia="仿宋_GB2312" w:cs="Times New Roman"/>
          <w:spacing w:val="-28"/>
          <w:kern w:val="0"/>
          <w:sz w:val="36"/>
          <w:szCs w:val="36"/>
          <w:lang w:eastAsia="zh-CN"/>
        </w:rPr>
      </w:pPr>
      <w:r>
        <w:rPr>
          <w:rFonts w:hint="default" w:ascii="Times New Roman" w:hAnsi="Times New Roman" w:eastAsia="仿宋_GB2312" w:cs="Times New Roman"/>
          <w:kern w:val="0"/>
          <w:sz w:val="36"/>
          <w:szCs w:val="36"/>
        </w:rPr>
        <w:t>实施单位（公章）：</w:t>
      </w:r>
      <w:r>
        <w:rPr>
          <w:rFonts w:hint="default" w:ascii="Times New Roman" w:hAnsi="Times New Roman" w:eastAsia="仿宋_GB2312" w:cs="Times New Roman"/>
          <w:spacing w:val="-20"/>
          <w:kern w:val="0"/>
          <w:sz w:val="36"/>
          <w:szCs w:val="36"/>
          <w:lang w:eastAsia="zh-CN"/>
        </w:rPr>
        <w:t>中国民主建国会新疆维吾尔自治区委员会</w:t>
      </w:r>
    </w:p>
    <w:p>
      <w:pPr>
        <w:spacing w:line="700" w:lineRule="exact"/>
        <w:jc w:val="left"/>
        <w:rPr>
          <w:rFonts w:hint="default" w:ascii="Times New Roman" w:hAnsi="Times New Roman" w:eastAsia="仿宋_GB2312" w:cs="Times New Roman"/>
          <w:spacing w:val="-20"/>
          <w:kern w:val="0"/>
          <w:sz w:val="36"/>
          <w:szCs w:val="36"/>
          <w:lang w:eastAsia="zh-CN"/>
        </w:rPr>
      </w:pPr>
      <w:r>
        <w:rPr>
          <w:rFonts w:hint="default" w:ascii="Times New Roman" w:hAnsi="Times New Roman" w:eastAsia="仿宋_GB2312" w:cs="Times New Roman"/>
          <w:kern w:val="0"/>
          <w:sz w:val="36"/>
          <w:szCs w:val="36"/>
        </w:rPr>
        <w:t>主管部门（公章）：</w:t>
      </w:r>
      <w:r>
        <w:rPr>
          <w:rFonts w:hint="default" w:ascii="Times New Roman" w:hAnsi="Times New Roman" w:eastAsia="仿宋_GB2312" w:cs="Times New Roman"/>
          <w:spacing w:val="-20"/>
          <w:kern w:val="0"/>
          <w:sz w:val="36"/>
          <w:szCs w:val="36"/>
          <w:lang w:eastAsia="zh-CN"/>
        </w:rPr>
        <w:t>中国民主建国会新疆维吾尔自治区委员会</w:t>
      </w:r>
    </w:p>
    <w:p>
      <w:pPr>
        <w:spacing w:line="700" w:lineRule="exact"/>
        <w:jc w:val="left"/>
        <w:rPr>
          <w:rFonts w:hint="default" w:ascii="Times New Roman" w:hAnsi="Times New Roman" w:eastAsia="仿宋_GB2312" w:cs="Times New Roman"/>
          <w:kern w:val="0"/>
          <w:sz w:val="36"/>
          <w:szCs w:val="36"/>
          <w:lang w:eastAsia="zh-CN"/>
        </w:rPr>
      </w:pPr>
      <w:r>
        <w:rPr>
          <w:rFonts w:hint="default" w:ascii="Times New Roman" w:hAnsi="Times New Roman" w:eastAsia="仿宋_GB2312" w:cs="Times New Roman"/>
          <w:kern w:val="0"/>
          <w:sz w:val="36"/>
          <w:szCs w:val="36"/>
        </w:rPr>
        <w:t>项目负责人（签章）：</w:t>
      </w:r>
      <w:r>
        <w:rPr>
          <w:rFonts w:hint="default" w:ascii="Times New Roman" w:hAnsi="Times New Roman" w:eastAsia="仿宋_GB2312" w:cs="Times New Roman"/>
          <w:kern w:val="0"/>
          <w:sz w:val="36"/>
          <w:szCs w:val="36"/>
          <w:lang w:eastAsia="zh-CN"/>
        </w:rPr>
        <w:t>王</w:t>
      </w:r>
      <w:r>
        <w:rPr>
          <w:rFonts w:hint="default" w:ascii="Times New Roman" w:hAnsi="Times New Roman" w:eastAsia="仿宋_GB2312" w:cs="Times New Roman"/>
          <w:kern w:val="0"/>
          <w:sz w:val="36"/>
          <w:szCs w:val="36"/>
          <w:lang w:val="en-US" w:eastAsia="zh-CN"/>
        </w:rPr>
        <w:t xml:space="preserve">  </w:t>
      </w:r>
      <w:r>
        <w:rPr>
          <w:rFonts w:hint="default" w:ascii="Times New Roman" w:hAnsi="Times New Roman" w:eastAsia="仿宋_GB2312" w:cs="Times New Roman"/>
          <w:kern w:val="0"/>
          <w:sz w:val="36"/>
          <w:szCs w:val="36"/>
          <w:lang w:eastAsia="zh-CN"/>
        </w:rPr>
        <w:t>磊</w:t>
      </w:r>
    </w:p>
    <w:p>
      <w:pPr>
        <w:spacing w:line="700" w:lineRule="exact"/>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填报时间：</w:t>
      </w:r>
      <w:r>
        <w:rPr>
          <w:rFonts w:hint="default" w:ascii="Times New Roman" w:hAnsi="Times New Roman" w:eastAsia="仿宋_GB2312" w:cs="Times New Roman"/>
          <w:kern w:val="0"/>
          <w:sz w:val="36"/>
          <w:szCs w:val="36"/>
          <w:lang w:val="en-US" w:eastAsia="zh-CN"/>
        </w:rPr>
        <w:t xml:space="preserve"> 2023 </w:t>
      </w:r>
      <w:r>
        <w:rPr>
          <w:rFonts w:hint="default" w:ascii="Times New Roman" w:hAnsi="Times New Roman" w:eastAsia="仿宋_GB2312" w:cs="Times New Roman"/>
          <w:kern w:val="0"/>
          <w:sz w:val="36"/>
          <w:szCs w:val="36"/>
        </w:rPr>
        <w:t>年</w:t>
      </w:r>
      <w:r>
        <w:rPr>
          <w:rFonts w:hint="default" w:ascii="Times New Roman" w:hAnsi="Times New Roman" w:eastAsia="仿宋_GB2312" w:cs="Times New Roman"/>
          <w:kern w:val="0"/>
          <w:sz w:val="36"/>
          <w:szCs w:val="36"/>
          <w:lang w:val="en-US" w:eastAsia="zh-CN"/>
        </w:rPr>
        <w:t xml:space="preserve"> 4 </w:t>
      </w:r>
      <w:r>
        <w:rPr>
          <w:rFonts w:hint="default" w:ascii="Times New Roman" w:hAnsi="Times New Roman" w:eastAsia="仿宋_GB2312" w:cs="Times New Roman"/>
          <w:kern w:val="0"/>
          <w:sz w:val="36"/>
          <w:szCs w:val="36"/>
        </w:rPr>
        <w:t>月</w:t>
      </w:r>
      <w:r>
        <w:rPr>
          <w:rFonts w:hint="default" w:ascii="Times New Roman" w:hAnsi="Times New Roman" w:eastAsia="仿宋_GB2312" w:cs="Times New Roman"/>
          <w:kern w:val="0"/>
          <w:sz w:val="36"/>
          <w:szCs w:val="36"/>
          <w:lang w:val="en-US" w:eastAsia="zh-CN"/>
        </w:rPr>
        <w:t xml:space="preserve"> 10 </w:t>
      </w:r>
      <w:r>
        <w:rPr>
          <w:rFonts w:hint="default" w:ascii="Times New Roman" w:hAnsi="Times New Roman" w:eastAsia="仿宋_GB2312" w:cs="Times New Roman"/>
          <w:kern w:val="0"/>
          <w:sz w:val="36"/>
          <w:szCs w:val="36"/>
        </w:rPr>
        <w:t>日</w:t>
      </w:r>
    </w:p>
    <w:p>
      <w:pPr>
        <w:spacing w:line="540" w:lineRule="exact"/>
        <w:rPr>
          <w:rStyle w:val="15"/>
          <w:rFonts w:hint="default" w:ascii="Times New Roman" w:hAnsi="Times New Roman" w:eastAsia="黑体" w:cs="Times New Roman"/>
          <w:b w:val="0"/>
          <w:spacing w:val="-4"/>
          <w:sz w:val="32"/>
          <w:szCs w:val="32"/>
        </w:rPr>
      </w:pPr>
    </w:p>
    <w:p>
      <w:pPr>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br w:type="page"/>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1、项目背景</w:t>
      </w:r>
    </w:p>
    <w:p>
      <w:pPr>
        <w:pStyle w:val="18"/>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b/>
          <w:bCs/>
          <w:color w:val="auto"/>
          <w:sz w:val="32"/>
          <w:szCs w:val="32"/>
        </w:rPr>
      </w:pPr>
      <w:r>
        <w:rPr>
          <w:rFonts w:hint="default" w:ascii="Times New Roman" w:hAnsi="Times New Roman" w:eastAsia="仿宋_GB2312" w:cs="Times New Roman"/>
          <w:color w:val="auto"/>
          <w:sz w:val="32"/>
          <w:szCs w:val="32"/>
        </w:rPr>
        <w:t>本项目遵循财政部《项目支出绩效评价管理办法》（财预〔2020〕10号）和自治区财政厅《自治区财政支出绩效评价管理暂行办法》（新财预〔2018〕189号）等相关政策文件与规定，旨在评价</w:t>
      </w:r>
      <w:r>
        <w:rPr>
          <w:rFonts w:hint="default" w:ascii="Times New Roman" w:hAnsi="Times New Roman" w:eastAsia="仿宋_GB2312" w:cs="Times New Roman"/>
          <w:color w:val="auto"/>
          <w:sz w:val="32"/>
          <w:szCs w:val="32"/>
          <w:lang w:eastAsia="zh-CN"/>
        </w:rPr>
        <w:t>民主党派参政议政专项</w:t>
      </w:r>
      <w:r>
        <w:rPr>
          <w:rFonts w:hint="default" w:ascii="Times New Roman" w:hAnsi="Times New Roman" w:eastAsia="仿宋_GB2312" w:cs="Times New Roman"/>
          <w:color w:val="auto"/>
          <w:sz w:val="32"/>
          <w:szCs w:val="32"/>
        </w:rPr>
        <w:t>实施前期、过程及效果，评价财政预算资金使用的效率及效益。通过该项目的实施，</w:t>
      </w:r>
      <w:r>
        <w:rPr>
          <w:rFonts w:hint="default" w:ascii="Times New Roman" w:hAnsi="Times New Roman" w:eastAsia="仿宋_GB2312" w:cs="Times New Roman"/>
          <w:color w:val="auto"/>
          <w:sz w:val="32"/>
          <w:szCs w:val="32"/>
          <w:lang w:eastAsia="zh-CN"/>
        </w:rPr>
        <w:t>民建新疆区委会</w:t>
      </w:r>
      <w:r>
        <w:rPr>
          <w:rFonts w:hint="default" w:ascii="Times New Roman" w:hAnsi="Times New Roman" w:eastAsia="仿宋_GB2312" w:cs="Times New Roman"/>
          <w:color w:val="auto"/>
          <w:sz w:val="32"/>
          <w:szCs w:val="32"/>
        </w:rPr>
        <w:t>开展4个重点课题调研，指导6个专委会完成6个调研任务，协助自治区政协委员参加自治区政协十三届一次会议，协助全国政协委员参加全国政协十四届一次会议，按政协专题议政性常委会、双周协商会要求协助相关人员参会6次，上报提案20个，反映社情民意24篇，召开参政议政工作会议暨骨干会员参政议政培训班1期，按照年初既定计划积极履行参政议政职能，完成各项工作任务，</w:t>
      </w:r>
      <w:r>
        <w:rPr>
          <w:rFonts w:hint="default" w:ascii="Times New Roman" w:hAnsi="Times New Roman" w:eastAsia="仿宋_GB2312" w:cs="Times New Roman"/>
          <w:color w:val="auto"/>
          <w:sz w:val="32"/>
          <w:szCs w:val="32"/>
          <w:lang w:eastAsia="zh-CN"/>
        </w:rPr>
        <w:t>保障</w:t>
      </w:r>
      <w:r>
        <w:rPr>
          <w:rFonts w:hint="default" w:ascii="Times New Roman" w:hAnsi="Times New Roman" w:eastAsia="仿宋_GB2312" w:cs="Times New Roman"/>
          <w:color w:val="auto"/>
          <w:sz w:val="32"/>
          <w:szCs w:val="32"/>
        </w:rPr>
        <w:t>机关运转正常，</w:t>
      </w:r>
      <w:r>
        <w:rPr>
          <w:rFonts w:hint="default" w:ascii="Times New Roman" w:hAnsi="Times New Roman" w:eastAsia="仿宋_GB2312" w:cs="Times New Roman"/>
          <w:color w:val="auto"/>
          <w:sz w:val="32"/>
          <w:szCs w:val="32"/>
          <w:lang w:eastAsia="zh-CN"/>
        </w:rPr>
        <w:t>同时可使机关</w:t>
      </w:r>
      <w:r>
        <w:rPr>
          <w:rFonts w:hint="default" w:ascii="Times New Roman" w:hAnsi="Times New Roman" w:eastAsia="仿宋_GB2312" w:cs="Times New Roman"/>
          <w:color w:val="auto"/>
          <w:sz w:val="32"/>
          <w:szCs w:val="32"/>
        </w:rPr>
        <w:t>工作人员及会员满意度有所提高。</w:t>
      </w:r>
    </w:p>
    <w:p>
      <w:pPr>
        <w:pStyle w:val="9"/>
        <w:keepNext w:val="0"/>
        <w:keepLines w:val="0"/>
        <w:pageBreakBefore w:val="0"/>
        <w:numPr>
          <w:ilvl w:val="0"/>
          <w:numId w:val="1"/>
        </w:numPr>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仿宋_GB2312" w:cs="Times New Roman"/>
          <w:kern w:val="2"/>
        </w:rPr>
      </w:pPr>
      <w:r>
        <w:rPr>
          <w:rFonts w:hint="default" w:ascii="Times New Roman" w:hAnsi="Times New Roman" w:eastAsia="仿宋_GB2312" w:cs="Times New Roman"/>
          <w:kern w:val="2"/>
        </w:rPr>
        <w:t>项目主要内容：</w:t>
      </w:r>
    </w:p>
    <w:p>
      <w:pPr>
        <w:pStyle w:val="18"/>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sz w:val="32"/>
          <w:szCs w:val="32"/>
          <w:highlight w:val="none"/>
          <w:lang w:val="en-US" w:eastAsia="zh-CN"/>
        </w:rPr>
        <w:t>项目主要内容：</w:t>
      </w:r>
      <w:r>
        <w:rPr>
          <w:rFonts w:hint="default" w:ascii="Times New Roman" w:hAnsi="Times New Roman" w:eastAsia="仿宋_GB2312" w:cs="Times New Roman"/>
          <w:color w:val="auto"/>
          <w:sz w:val="32"/>
          <w:szCs w:val="32"/>
        </w:rPr>
        <w:t>本项目</w:t>
      </w:r>
      <w:r>
        <w:rPr>
          <w:rFonts w:hint="default" w:ascii="Times New Roman" w:hAnsi="Times New Roman" w:eastAsia="仿宋_GB2312" w:cs="Times New Roman"/>
          <w:color w:val="auto"/>
          <w:sz w:val="32"/>
          <w:szCs w:val="32"/>
          <w:lang w:eastAsia="zh-CN"/>
        </w:rPr>
        <w:t>为民主党派参政议政工作经费，</w:t>
      </w:r>
      <w:r>
        <w:rPr>
          <w:rFonts w:hint="default" w:ascii="Times New Roman" w:hAnsi="Times New Roman" w:eastAsia="仿宋_GB2312" w:cs="Times New Roman"/>
          <w:color w:val="auto"/>
          <w:sz w:val="32"/>
          <w:szCs w:val="32"/>
        </w:rPr>
        <w:t>属于部门（单位）确定的经常性项目</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主要服务于</w:t>
      </w:r>
      <w:r>
        <w:rPr>
          <w:rFonts w:hint="default" w:ascii="Times New Roman" w:hAnsi="Times New Roman" w:eastAsia="仿宋_GB2312" w:cs="Times New Roman"/>
          <w:color w:val="auto"/>
          <w:sz w:val="32"/>
          <w:szCs w:val="32"/>
          <w:lang w:eastAsia="zh-CN"/>
        </w:rPr>
        <w:t>民主党派</w:t>
      </w:r>
      <w:r>
        <w:rPr>
          <w:rFonts w:hint="default" w:ascii="Times New Roman" w:hAnsi="Times New Roman" w:eastAsia="仿宋_GB2312" w:cs="Times New Roman"/>
          <w:color w:val="auto"/>
          <w:sz w:val="32"/>
          <w:szCs w:val="32"/>
        </w:rPr>
        <w:t>参政议政</w:t>
      </w:r>
      <w:r>
        <w:rPr>
          <w:rFonts w:hint="default" w:ascii="Times New Roman" w:hAnsi="Times New Roman" w:eastAsia="仿宋_GB2312" w:cs="Times New Roman"/>
          <w:color w:val="auto"/>
          <w:sz w:val="32"/>
          <w:szCs w:val="32"/>
          <w:lang w:eastAsia="zh-CN"/>
        </w:rPr>
        <w:t>工作</w:t>
      </w:r>
      <w:r>
        <w:rPr>
          <w:rFonts w:hint="default" w:ascii="Times New Roman" w:hAnsi="Times New Roman" w:eastAsia="仿宋_GB2312" w:cs="Times New Roman"/>
          <w:color w:val="auto"/>
          <w:sz w:val="32"/>
          <w:szCs w:val="32"/>
        </w:rPr>
        <w:t>。根据民建中央的要求，结合自治区党委和政府的工作指示精神，主动聚</w:t>
      </w:r>
      <w:r>
        <w:rPr>
          <w:rFonts w:hint="default" w:ascii="Times New Roman" w:hAnsi="Times New Roman" w:eastAsia="仿宋_GB2312" w:cs="Times New Roman"/>
          <w:color w:val="auto"/>
          <w:sz w:val="32"/>
          <w:szCs w:val="32"/>
          <w:lang w:eastAsia="zh-CN"/>
        </w:rPr>
        <w:t>焦</w:t>
      </w:r>
      <w:r>
        <w:rPr>
          <w:rFonts w:hint="default" w:ascii="Times New Roman" w:hAnsi="Times New Roman" w:eastAsia="仿宋_GB2312" w:cs="Times New Roman"/>
          <w:color w:val="auto"/>
          <w:sz w:val="32"/>
          <w:szCs w:val="32"/>
        </w:rPr>
        <w:t>社会稳定和长治久安总目标，有计划有步骤地开展一系列参政议政调研工作。主要用于开展重点课题调研，指导专委会调研，参加自治区“两会”、政协专题议政性常委会、双周协商会，参与提案工作，反映社情民意，召开参政议政工作会议，举办骨干会员参政议政培训班，积极履行参政议政职能,本项目涉及范围为全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rPr>
      </w:pPr>
      <w:r>
        <w:rPr>
          <w:rFonts w:hint="default" w:ascii="Times New Roman" w:hAnsi="Times New Roman" w:eastAsia="仿宋_GB2312" w:cs="Times New Roman"/>
          <w:sz w:val="32"/>
          <w:szCs w:val="32"/>
        </w:rPr>
        <w:t>项目实施情况：项目目前已经完成实际设立的目标，项目在实施过程中严格按照目标设立的各阶段任务开展工作，在前期立项过程中严格把质量关，建立安全防护机制，保证项目实施各阶段安全顺利进行。</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3、资金投入和使用情况</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（1）资金投入情况</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该项目年初预算数30.00万元，全年预算数30.00万元，实际总投入30.00万元，该项目资金已全部落实到位，资金来源为一般公共预算资金。</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（2）资金使用情况</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该项目年初预算数30.00万元，全年预算数30.00万元，全年执行数30.00万元，预算执行率为100%，主要用于：</w:t>
      </w:r>
      <w:r>
        <w:rPr>
          <w:rFonts w:hint="default" w:ascii="Times New Roman" w:hAnsi="Times New Roman" w:eastAsia="仿宋_GB2312" w:cs="Times New Roman"/>
          <w:b w:val="0"/>
          <w:bCs w:val="0"/>
          <w:color w:val="auto"/>
          <w:spacing w:val="-4"/>
          <w:sz w:val="32"/>
          <w:szCs w:val="32"/>
          <w:highlight w:val="none"/>
          <w:shd w:val="clear" w:color="auto" w:fill="auto"/>
          <w:lang w:eastAsia="zh-CN"/>
        </w:rPr>
        <w:t>参政议政工作中产生的差旅费、印刷费、劳务费、办公费等</w:t>
      </w:r>
      <w:r>
        <w:rPr>
          <w:rFonts w:hint="default" w:ascii="Times New Roman" w:hAnsi="Times New Roman" w:eastAsia="仿宋_GB2312" w:cs="Times New Roman"/>
          <w:color w:val="auto"/>
          <w:sz w:val="32"/>
          <w:szCs w:val="32"/>
          <w:highlight w:val="none"/>
          <w:lang w:val="en-US" w:eastAsia="zh-CN"/>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1、总体目标</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hint="default" w:ascii="Times New Roman" w:hAnsi="Times New Roman" w:eastAsia="仿宋_GB2312" w:cs="Times New Roman"/>
          <w:b w:val="0"/>
          <w:bCs/>
          <w:sz w:val="32"/>
          <w:szCs w:val="32"/>
          <w:highlight w:val="none"/>
          <w:lang w:eastAsia="zh-CN"/>
        </w:rPr>
      </w:pPr>
      <w:r>
        <w:rPr>
          <w:rStyle w:val="15"/>
          <w:rFonts w:hint="default" w:ascii="Times New Roman" w:hAnsi="Times New Roman" w:eastAsia="仿宋_GB2312" w:cs="Times New Roman"/>
          <w:b w:val="0"/>
          <w:bCs/>
          <w:spacing w:val="-4"/>
          <w:sz w:val="32"/>
          <w:szCs w:val="32"/>
          <w:highlight w:val="none"/>
        </w:rPr>
        <w:t>开展重点课题调研，指导专委会调研，参加自治区“两会”、政协专题议政性常委会、双周协商会，参与提案工作，反映社情民意，召开参政议政工作会议，举办骨干会员参政议政培训班，积极履行参政议政职能；完成各项工作任务，保障机关正常运转，提高工作满意度。</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阶段性目标</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2022年度预计开展4个重点课题调研，指导6个专委会完成了6个调研任务，协助自治区政协委员参加自治区政协十三届一次会议，协助全国政协委员参加全国政协十四届一次会议，按政协专题议政性常委会、双周协商会要求协助相关人员参会6次，上报提案20个，反映社情民意24篇，召开参政议政工作会议暨骨干会员参政议政培训班1期。其中，1-3月为课题筹划期，4-9月为课题调研实施期（社情民意及提案素材同期完成），10-12月为调研成果撰写阶段，为两会撰写提案、完成大会发言等。</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pPr>
        <w:pStyle w:val="9"/>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1、绩效评价的目的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keepNext w:val="0"/>
        <w:keepLines w:val="0"/>
        <w:pageBreakBefore w:val="0"/>
        <w:numPr>
          <w:ilvl w:val="0"/>
          <w:numId w:val="2"/>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项目在实施前向项目负责人提供财政支出绩效方面的资金管理信息，促进项目支出严格按照资金管理规定进行。</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（2）项目绩效管理财政支出运行提供及时、有效的信息。</w:t>
      </w:r>
    </w:p>
    <w:p>
      <w:pPr>
        <w:pStyle w:val="18"/>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仿宋_GB2312" w:cs="Times New Roman"/>
          <w:sz w:val="32"/>
          <w:szCs w:val="32"/>
        </w:rPr>
        <w:t>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pStyle w:val="9"/>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2、绩效评价的对象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民主党派参政议政</w:t>
      </w:r>
      <w:r>
        <w:rPr>
          <w:rFonts w:hint="default" w:ascii="Times New Roman" w:hAnsi="Times New Roman" w:eastAsia="仿宋_GB2312" w:cs="Times New Roman"/>
          <w:sz w:val="32"/>
          <w:szCs w:val="32"/>
        </w:rPr>
        <w:t>项目所包含的全部项目内容。</w:t>
      </w:r>
    </w:p>
    <w:p>
      <w:pPr>
        <w:pStyle w:val="9"/>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3、绩效评价的范围</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本次评价从项目决策（包括绩效目标、决策过程）、项目管理（包括项目资金、项目实施）、项目产出（包括项目产出数量、产出质量、产出时效和产出成本）项目效益四个维度对</w:t>
      </w:r>
      <w:r>
        <w:rPr>
          <w:rFonts w:hint="default" w:ascii="Times New Roman" w:hAnsi="Times New Roman" w:eastAsia="仿宋_GB2312" w:cs="Times New Roman"/>
          <w:color w:val="auto"/>
          <w:sz w:val="32"/>
          <w:szCs w:val="32"/>
          <w:highlight w:val="none"/>
          <w:lang w:eastAsia="zh-CN"/>
        </w:rPr>
        <w:t>民主党派参政议政</w:t>
      </w:r>
      <w:r>
        <w:rPr>
          <w:rFonts w:hint="default" w:ascii="Times New Roman" w:hAnsi="Times New Roman" w:eastAsia="仿宋_GB2312" w:cs="Times New Roman"/>
          <w:color w:val="auto"/>
          <w:sz w:val="32"/>
          <w:szCs w:val="32"/>
          <w:highlight w:val="none"/>
        </w:rPr>
        <w:t>项目进行评价，评价核心为专项资金的支出完</w:t>
      </w:r>
      <w:r>
        <w:rPr>
          <w:rFonts w:hint="default" w:ascii="Times New Roman" w:hAnsi="Times New Roman" w:eastAsia="仿宋_GB2312" w:cs="Times New Roman"/>
          <w:sz w:val="32"/>
          <w:szCs w:val="32"/>
        </w:rPr>
        <w:t>成情况和效果。</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pPr>
        <w:pStyle w:val="9"/>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1、绩效评价原则</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pPr>
        <w:pStyle w:val="9"/>
        <w:keepNext w:val="0"/>
        <w:keepLines w:val="0"/>
        <w:pageBreakBefore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pPr>
        <w:pStyle w:val="9"/>
        <w:keepNext w:val="0"/>
        <w:keepLines w:val="0"/>
        <w:pageBreakBefore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pPr>
        <w:pStyle w:val="9"/>
        <w:keepNext w:val="0"/>
        <w:keepLines w:val="0"/>
        <w:pageBreakBefore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pPr>
        <w:pStyle w:val="9"/>
        <w:keepNext w:val="0"/>
        <w:keepLines w:val="0"/>
        <w:pageBreakBefore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pPr>
        <w:pStyle w:val="9"/>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2、评价指标体系</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绩效评价框架是开展绩效评价的核心。绩效评价框架包括评价准则、关键评价问题、评价指标、数据来源、数据收集方法等。指标体系建立过程如下：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（1）确定评价指标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（2）确定权重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确定各个指标相对于项目总体绩效的权重分值。在绩效评价指标体系中，项目决策权重为20分，项目过程权重为20分，项目产出权重为40分，项目效益权重为20分。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（3）确定指标标准值</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指标标准值是绩效评价指标的尺度，既要反映同类项目的先进水平，又要符合项目的实际绩效水平。具体采用</w:t>
      </w:r>
      <w:r>
        <w:rPr>
          <w:rFonts w:hint="default" w:ascii="Times New Roman" w:hAnsi="Times New Roman" w:eastAsia="仿宋_GB2312" w:cs="Times New Roman"/>
          <w:color w:val="000000"/>
          <w:spacing w:val="17"/>
          <w:sz w:val="32"/>
          <w:szCs w:val="32"/>
        </w:rPr>
        <w:t>计划标准等</w:t>
      </w:r>
      <w:r>
        <w:rPr>
          <w:rFonts w:hint="default" w:ascii="Times New Roman" w:hAnsi="Times New Roman" w:eastAsia="仿宋_GB2312" w:cs="Times New Roman"/>
          <w:sz w:val="32"/>
          <w:szCs w:val="32"/>
        </w:rPr>
        <w:t>确定此次绩效评价指标标准值。</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具体评价指标体系详情见附件1</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3、绩效评价方法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绩效评价从项目决策、项目过程、项目产出、项目效益四个维度进行评价。评价对象为项目目标实施情况，评价核心为资金的支出完成情况和项目的产出效益。</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本次评价指标中，既有定性指标又有定量指标，各类指标因考核内容不同和客观标准不同存在较大差异，因此核定具体指标时采用了不同方法，具体评价方法如下：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（1）比较法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通过对绩效目标与实施效果、历史与当期情况，综合分析绩效目标实现程度。对项目最终验收情况与年度绩效目标对比、预算资金执行情况等相关因素进行比较。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（2）因素分析法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sz w:val="32"/>
          <w:szCs w:val="32"/>
        </w:rPr>
        <w:t>通过综合分析影响绩效目标实现、实施效果的内外因素，评价绩效目标实现程度。通过对项目的开展情况、项目产出数量、成本控制、资金拨付文件及自评报告等相关资料的收集和审核，综合分析各因素对绩效目标实现的影</w:t>
      </w:r>
      <w:r>
        <w:rPr>
          <w:rFonts w:hint="default" w:ascii="Times New Roman" w:hAnsi="Times New Roman" w:eastAsia="仿宋_GB2312" w:cs="Times New Roman"/>
          <w:color w:val="000000"/>
          <w:spacing w:val="17"/>
          <w:sz w:val="32"/>
          <w:szCs w:val="32"/>
        </w:rPr>
        <w:t>响。</w:t>
      </w:r>
    </w:p>
    <w:p>
      <w:pPr>
        <w:pStyle w:val="9"/>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4、评价标准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绩效评价标准通常包括计划标准、行业标准、历史标准等，用于对绩效指标完成情况进行比较、分析、评价。本次评价主要采用了</w:t>
      </w:r>
      <w:r>
        <w:rPr>
          <w:rFonts w:hint="default" w:ascii="Times New Roman" w:hAnsi="Times New Roman" w:eastAsia="仿宋_GB2312" w:cs="Times New Roman"/>
          <w:sz w:val="32"/>
          <w:szCs w:val="32"/>
          <w:lang w:val="en-US" w:eastAsia="zh-CN"/>
        </w:rPr>
        <w:t>历史</w:t>
      </w:r>
      <w:r>
        <w:rPr>
          <w:rFonts w:hint="default" w:ascii="Times New Roman" w:hAnsi="Times New Roman" w:eastAsia="仿宋_GB2312" w:cs="Times New Roman"/>
          <w:sz w:val="32"/>
          <w:szCs w:val="32"/>
        </w:rPr>
        <w:t>标准。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bookmarkStart w:id="0" w:name="_Toc17882"/>
      <w:bookmarkStart w:id="1" w:name="_Toc31464"/>
      <w:r>
        <w:rPr>
          <w:rFonts w:hint="default" w:ascii="Times New Roman" w:hAnsi="Times New Roman" w:eastAsia="仿宋_GB2312" w:cs="Times New Roman"/>
          <w:sz w:val="32"/>
          <w:szCs w:val="32"/>
        </w:rPr>
        <w:t>计划标准：指以预先制定的目标、计划、预算、定额等作为评价标准。</w:t>
      </w:r>
      <w:bookmarkEnd w:id="0"/>
      <w:bookmarkEnd w:id="1"/>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bookmarkStart w:id="2" w:name="_Toc5633"/>
      <w:bookmarkStart w:id="3" w:name="_Toc2318"/>
      <w:r>
        <w:rPr>
          <w:rFonts w:hint="default" w:ascii="Times New Roman" w:hAnsi="Times New Roman" w:eastAsia="仿宋_GB2312" w:cs="Times New Roman"/>
          <w:sz w:val="32"/>
          <w:szCs w:val="32"/>
        </w:rPr>
        <w:t>行业标准：指参照国家公布的行业指标数据制定的评价标准。</w:t>
      </w:r>
      <w:bookmarkEnd w:id="2"/>
      <w:bookmarkEnd w:id="3"/>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bookmarkStart w:id="4" w:name="_Toc430"/>
      <w:bookmarkStart w:id="5" w:name="_Toc16028"/>
      <w:r>
        <w:rPr>
          <w:rFonts w:hint="default" w:ascii="Times New Roman" w:hAnsi="Times New Roman" w:eastAsia="仿宋_GB2312" w:cs="Times New Roman"/>
          <w:sz w:val="32"/>
          <w:szCs w:val="32"/>
        </w:rPr>
        <w:t>历史标准：指参照历史数据制定的评价标准，为体现绩效改进的原则，在可实现的条件下应当确定相对较高的评价标准。</w:t>
      </w:r>
      <w:bookmarkEnd w:id="4"/>
      <w:bookmarkEnd w:id="5"/>
    </w:p>
    <w:p>
      <w:pPr>
        <w:pStyle w:val="9"/>
        <w:keepNext w:val="0"/>
        <w:keepLines w:val="0"/>
        <w:pageBreakBefore w:val="0"/>
        <w:numPr>
          <w:ilvl w:val="0"/>
          <w:numId w:val="3"/>
        </w:numPr>
        <w:kinsoku/>
        <w:wordWrap/>
        <w:overflowPunct/>
        <w:topLinePunct w:val="0"/>
        <w:autoSpaceDE/>
        <w:autoSpaceDN/>
        <w:bidi w:val="0"/>
        <w:adjustRightInd/>
        <w:snapToGrid/>
        <w:spacing w:before="0" w:after="0" w:line="560" w:lineRule="exact"/>
        <w:ind w:firstLine="711" w:firstLineChars="200"/>
        <w:jc w:val="both"/>
        <w:textAlignment w:val="auto"/>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lang w:val="en-US" w:eastAsia="zh-CN"/>
        </w:rPr>
        <w:t>1.</w:t>
      </w:r>
      <w:r>
        <w:rPr>
          <w:rFonts w:hint="default" w:ascii="Times New Roman" w:hAnsi="Times New Roman" w:eastAsia="仿宋_GB2312" w:cs="Times New Roman"/>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lang w:val="en-US" w:eastAsia="zh-CN"/>
        </w:rPr>
        <w:t>2.</w:t>
      </w:r>
      <w:r>
        <w:rPr>
          <w:rFonts w:hint="default" w:ascii="Times New Roman" w:hAnsi="Times New Roman" w:eastAsia="仿宋_GB2312" w:cs="Times New Roman"/>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cs="Times New Roman"/>
          <w:sz w:val="32"/>
          <w:szCs w:val="32"/>
        </w:rPr>
      </w:pPr>
      <w:r>
        <w:rPr>
          <w:rFonts w:hint="default" w:ascii="Times New Roman" w:hAnsi="Times New Roman" w:eastAsia="仿宋_GB2312" w:cs="Times New Roman"/>
          <w:bCs/>
          <w:sz w:val="32"/>
          <w:szCs w:val="32"/>
          <w:lang w:val="en-US" w:eastAsia="zh-CN"/>
        </w:rPr>
        <w:t>3.</w:t>
      </w:r>
      <w:r>
        <w:rPr>
          <w:rFonts w:hint="default" w:ascii="Times New Roman" w:hAnsi="Times New Roman" w:eastAsia="仿宋_GB2312" w:cs="Times New Roman"/>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pPr>
        <w:keepNext w:val="0"/>
        <w:keepLines w:val="0"/>
        <w:pageBreakBefore w:val="0"/>
        <w:numPr>
          <w:ilvl w:val="0"/>
          <w:numId w:val="4"/>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pPr>
        <w:pStyle w:val="9"/>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Style w:val="9"/>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pPr>
        <w:pStyle w:val="9"/>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：总得分为</w:t>
      </w:r>
      <w:r>
        <w:rPr>
          <w:rFonts w:hint="default" w:ascii="Times New Roman" w:hAnsi="Times New Roman" w:eastAsia="仿宋_GB2312" w:cs="Times New Roman"/>
          <w:b w:val="0"/>
          <w:bCs w:val="0"/>
          <w:highlight w:val="none"/>
          <w:lang w:val="en-US" w:eastAsia="zh-CN"/>
        </w:rPr>
        <w:t>99.40</w:t>
      </w:r>
      <w:r>
        <w:rPr>
          <w:rFonts w:hint="default" w:ascii="Times New Roman" w:hAnsi="Times New Roman" w:eastAsia="仿宋_GB2312" w:cs="Times New Roman"/>
          <w:b w:val="0"/>
          <w:bCs w:val="0"/>
          <w:highlight w:val="none"/>
        </w:rPr>
        <w:t>分，属于“优”。其中，项目决策类指标权重为20分，得分为</w:t>
      </w:r>
      <w:r>
        <w:rPr>
          <w:rFonts w:hint="default"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default"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default"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default"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%。项目产出类指标权重为40分，得分为</w:t>
      </w:r>
      <w:r>
        <w:rPr>
          <w:rFonts w:hint="default" w:ascii="Times New Roman" w:hAnsi="Times New Roman" w:eastAsia="仿宋_GB2312" w:cs="Times New Roman"/>
          <w:b w:val="0"/>
          <w:bCs w:val="0"/>
          <w:highlight w:val="none"/>
          <w:lang w:val="en-US" w:eastAsia="zh-CN"/>
        </w:rPr>
        <w:t>39.4</w:t>
      </w:r>
      <w:r>
        <w:rPr>
          <w:rFonts w:hint="default" w:ascii="Times New Roman" w:hAnsi="Times New Roman" w:eastAsia="仿宋_GB2312" w:cs="Times New Roman"/>
          <w:b w:val="0"/>
          <w:bCs w:val="0"/>
          <w:highlight w:val="none"/>
        </w:rPr>
        <w:t xml:space="preserve">分，得分率为 </w:t>
      </w:r>
      <w:r>
        <w:rPr>
          <w:rFonts w:hint="default" w:ascii="Times New Roman" w:hAnsi="Times New Roman" w:eastAsia="仿宋_GB2312" w:cs="Times New Roman"/>
          <w:b w:val="0"/>
          <w:bCs w:val="0"/>
          <w:highlight w:val="none"/>
          <w:lang w:val="en-US" w:eastAsia="zh-CN"/>
        </w:rPr>
        <w:t>98.5</w:t>
      </w:r>
      <w:r>
        <w:rPr>
          <w:rFonts w:hint="default" w:ascii="Times New Roman" w:hAnsi="Times New Roman" w:eastAsia="仿宋_GB2312" w:cs="Times New Roman"/>
          <w:b w:val="0"/>
          <w:bCs w:val="0"/>
          <w:highlight w:val="none"/>
        </w:rPr>
        <w:t>%。项目效益类指标权重为20分，得分为</w:t>
      </w:r>
      <w:r>
        <w:rPr>
          <w:rFonts w:hint="default"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default"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%。具</w:t>
      </w:r>
      <w:r>
        <w:rPr>
          <w:rFonts w:hint="default" w:ascii="Times New Roman" w:hAnsi="Times New Roman" w:eastAsia="仿宋_GB2312" w:cs="Times New Roman"/>
          <w:b w:val="0"/>
          <w:bCs w:val="0"/>
        </w:rPr>
        <w:t>体打分情况详见：附件1综合评分表</w:t>
      </w:r>
      <w:r>
        <w:rPr>
          <w:rFonts w:hint="default" w:ascii="Times New Roman" w:hAnsi="Times New Roman" w:eastAsia="仿宋_GB2312" w:cs="Times New Roman"/>
          <w:b w:val="0"/>
          <w:bCs w:val="0"/>
          <w:lang w:eastAsia="zh-CN"/>
        </w:rPr>
        <w:t>。</w:t>
      </w:r>
    </w:p>
    <w:p>
      <w:pPr>
        <w:pStyle w:val="9"/>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表1综合评分表</w:t>
      </w:r>
    </w:p>
    <w:tbl>
      <w:tblPr>
        <w:tblStyle w:val="13"/>
        <w:tblW w:w="7583" w:type="dxa"/>
        <w:jc w:val="center"/>
        <w:shd w:val="clear" w:color="auto" w:fill="auto"/>
        <w:tblLayout w:type="fixed"/>
        <w:tblCellMar>
          <w:top w:w="0" w:type="dxa"/>
          <w:left w:w="108" w:type="dxa"/>
          <w:bottom w:w="0" w:type="dxa"/>
          <w:right w:w="108" w:type="dxa"/>
        </w:tblCellMar>
      </w:tblPr>
      <w:tblGrid>
        <w:gridCol w:w="3137"/>
        <w:gridCol w:w="2168"/>
        <w:gridCol w:w="2278"/>
      </w:tblGrid>
      <w:tr>
        <w:tblPrEx>
          <w:shd w:val="clear" w:color="auto" w:fill="auto"/>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auto"/>
                <w:sz w:val="28"/>
                <w:szCs w:val="28"/>
              </w:rPr>
            </w:pPr>
            <w:r>
              <w:rPr>
                <w:rFonts w:hint="default" w:ascii="Times New Roman" w:hAnsi="Times New Roman" w:eastAsia="仿宋_GB2312" w:cs="Times New Roman"/>
                <w:b/>
                <w:bCs/>
                <w:color w:val="auto"/>
                <w:sz w:val="28"/>
                <w:szCs w:val="28"/>
              </w:rPr>
              <w:t>一级指标</w:t>
            </w:r>
          </w:p>
        </w:tc>
        <w:tc>
          <w:tcPr>
            <w:tcW w:w="2168" w:type="dxa"/>
            <w:tcBorders>
              <w:top w:val="single" w:color="auto" w:sz="4" w:space="0"/>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auto"/>
                <w:sz w:val="28"/>
                <w:szCs w:val="28"/>
              </w:rPr>
            </w:pPr>
            <w:r>
              <w:rPr>
                <w:rFonts w:hint="default" w:ascii="Times New Roman" w:hAnsi="Times New Roman" w:eastAsia="仿宋_GB2312" w:cs="Times New Roman"/>
                <w:b/>
                <w:bCs/>
                <w:color w:val="auto"/>
                <w:sz w:val="28"/>
                <w:szCs w:val="28"/>
              </w:rPr>
              <w:t>权重分</w:t>
            </w:r>
          </w:p>
        </w:tc>
        <w:tc>
          <w:tcPr>
            <w:tcW w:w="2278" w:type="dxa"/>
            <w:tcBorders>
              <w:top w:val="single" w:color="auto" w:sz="4" w:space="0"/>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auto"/>
                <w:sz w:val="28"/>
                <w:szCs w:val="28"/>
              </w:rPr>
            </w:pPr>
            <w:r>
              <w:rPr>
                <w:rFonts w:hint="default" w:ascii="Times New Roman" w:hAnsi="Times New Roman" w:eastAsia="仿宋_GB2312" w:cs="Times New Roman"/>
                <w:b/>
                <w:bCs/>
                <w:color w:val="auto"/>
                <w:sz w:val="28"/>
                <w:szCs w:val="28"/>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auto"/>
                <w:sz w:val="28"/>
                <w:szCs w:val="28"/>
                <w:lang w:val="en-US" w:eastAsia="zh-CN"/>
              </w:rPr>
            </w:pPr>
            <w:r>
              <w:rPr>
                <w:rFonts w:hint="default" w:ascii="Times New Roman" w:hAnsi="Times New Roman" w:eastAsia="仿宋_GB2312" w:cs="Times New Roman"/>
                <w:color w:val="auto"/>
                <w:sz w:val="28"/>
                <w:szCs w:val="28"/>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auto"/>
                <w:sz w:val="28"/>
                <w:szCs w:val="28"/>
                <w:lang w:val="en-US" w:eastAsia="zh-CN"/>
              </w:rPr>
            </w:pPr>
            <w:r>
              <w:rPr>
                <w:rFonts w:hint="default" w:ascii="Times New Roman" w:hAnsi="Times New Roman" w:eastAsia="仿宋_GB2312" w:cs="Times New Roman"/>
                <w:color w:val="auto"/>
                <w:sz w:val="28"/>
                <w:szCs w:val="28"/>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auto"/>
                <w:sz w:val="28"/>
                <w:szCs w:val="28"/>
                <w:lang w:val="en-US" w:eastAsia="zh-CN"/>
              </w:rPr>
            </w:pPr>
            <w:r>
              <w:rPr>
                <w:rFonts w:hint="default" w:ascii="Times New Roman" w:hAnsi="Times New Roman" w:eastAsia="仿宋_GB2312" w:cs="Times New Roman"/>
                <w:color w:val="auto"/>
                <w:sz w:val="28"/>
                <w:szCs w:val="28"/>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auto"/>
                <w:sz w:val="28"/>
                <w:szCs w:val="28"/>
                <w:lang w:val="en-US" w:eastAsia="zh-CN"/>
              </w:rPr>
            </w:pPr>
            <w:r>
              <w:rPr>
                <w:rFonts w:hint="default" w:ascii="Times New Roman" w:hAnsi="Times New Roman" w:eastAsia="仿宋_GB2312" w:cs="Times New Roman"/>
                <w:color w:val="auto"/>
                <w:sz w:val="28"/>
                <w:szCs w:val="28"/>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auto"/>
                <w:sz w:val="28"/>
                <w:szCs w:val="28"/>
                <w:lang w:val="en-US" w:eastAsia="zh-CN"/>
              </w:rPr>
            </w:pPr>
            <w:r>
              <w:rPr>
                <w:rFonts w:hint="default" w:ascii="Times New Roman" w:hAnsi="Times New Roman" w:eastAsia="仿宋_GB2312" w:cs="Times New Roman"/>
                <w:color w:val="auto"/>
                <w:sz w:val="28"/>
                <w:szCs w:val="28"/>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auto"/>
                <w:sz w:val="28"/>
                <w:szCs w:val="28"/>
                <w:lang w:val="en-US" w:eastAsia="zh-CN"/>
              </w:rPr>
            </w:pPr>
            <w:r>
              <w:rPr>
                <w:rFonts w:hint="default" w:ascii="Times New Roman" w:hAnsi="Times New Roman" w:eastAsia="仿宋_GB2312" w:cs="Times New Roman"/>
                <w:color w:val="auto"/>
                <w:sz w:val="28"/>
                <w:szCs w:val="28"/>
                <w:lang w:val="en-US" w:eastAsia="zh-CN"/>
              </w:rPr>
              <w:t>39.4</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auto"/>
                <w:sz w:val="28"/>
                <w:szCs w:val="28"/>
                <w:lang w:val="en-US" w:eastAsia="zh-CN"/>
              </w:rPr>
            </w:pPr>
            <w:r>
              <w:rPr>
                <w:rFonts w:hint="default" w:ascii="Times New Roman" w:hAnsi="Times New Roman" w:eastAsia="仿宋_GB2312" w:cs="Times New Roman"/>
                <w:color w:val="auto"/>
                <w:sz w:val="28"/>
                <w:szCs w:val="28"/>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auto"/>
                <w:sz w:val="28"/>
                <w:szCs w:val="28"/>
                <w:lang w:val="en-US" w:eastAsia="zh-CN"/>
              </w:rPr>
            </w:pPr>
            <w:r>
              <w:rPr>
                <w:rFonts w:hint="default" w:ascii="Times New Roman" w:hAnsi="Times New Roman" w:eastAsia="仿宋_GB2312" w:cs="Times New Roman"/>
                <w:color w:val="auto"/>
                <w:sz w:val="28"/>
                <w:szCs w:val="28"/>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auto"/>
                <w:sz w:val="28"/>
                <w:szCs w:val="28"/>
              </w:rPr>
            </w:pPr>
            <w:r>
              <w:rPr>
                <w:rFonts w:hint="default" w:ascii="Times New Roman" w:hAnsi="Times New Roman" w:eastAsia="仿宋_GB2312" w:cs="Times New Roman"/>
                <w:b/>
                <w:bCs/>
                <w:color w:val="auto"/>
                <w:sz w:val="28"/>
                <w:szCs w:val="28"/>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auto"/>
                <w:sz w:val="28"/>
                <w:szCs w:val="28"/>
                <w:lang w:val="en-US" w:eastAsia="zh-CN"/>
              </w:rPr>
            </w:pPr>
            <w:r>
              <w:rPr>
                <w:rFonts w:hint="default" w:ascii="Times New Roman" w:hAnsi="Times New Roman" w:eastAsia="仿宋_GB2312" w:cs="Times New Roman"/>
                <w:b/>
                <w:bCs/>
                <w:color w:val="auto"/>
                <w:sz w:val="28"/>
                <w:szCs w:val="28"/>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auto"/>
                <w:sz w:val="28"/>
                <w:szCs w:val="28"/>
                <w:lang w:val="en-US" w:eastAsia="zh-CN"/>
              </w:rPr>
            </w:pPr>
            <w:r>
              <w:rPr>
                <w:rFonts w:hint="default" w:ascii="Times New Roman" w:hAnsi="Times New Roman" w:eastAsia="仿宋_GB2312" w:cs="Times New Roman"/>
                <w:b/>
                <w:bCs/>
                <w:color w:val="auto"/>
                <w:sz w:val="28"/>
                <w:szCs w:val="28"/>
                <w:lang w:val="en-US" w:eastAsia="zh-CN"/>
              </w:rPr>
              <w:t>99.4</w:t>
            </w:r>
          </w:p>
        </w:tc>
      </w:tr>
    </w:tbl>
    <w:p>
      <w:pPr>
        <w:rPr>
          <w:rFonts w:hint="default" w:ascii="Times New Roman" w:hAnsi="Times New Roman" w:eastAsia="黑体" w:cs="Times New Roman"/>
          <w:sz w:val="32"/>
          <w:szCs w:val="32"/>
        </w:rPr>
      </w:pPr>
      <w:r>
        <w:rPr>
          <w:rFonts w:hint="default" w:ascii="Times New Roman" w:hAnsi="Times New Roman" w:eastAsia="黑体" w:cs="Times New Roman"/>
          <w:sz w:val="32"/>
          <w:szCs w:val="32"/>
        </w:rPr>
        <w:br w:type="page"/>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pPr>
        <w:pStyle w:val="9"/>
        <w:pageBreakBefore w:val="0"/>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rPr>
      </w:pPr>
      <w:r>
        <w:rPr>
          <w:rFonts w:hint="default" w:ascii="Times New Roman" w:hAnsi="Times New Roman" w:eastAsia="楷体_GB2312" w:cs="Times New Roman"/>
        </w:rPr>
        <w:t>（一）项目决策情况</w:t>
      </w:r>
    </w:p>
    <w:p>
      <w:pPr>
        <w:pageBreakBefore w:val="0"/>
        <w:shd w:val="clear"/>
        <w:kinsoku/>
        <w:wordWrap/>
        <w:overflowPunct/>
        <w:topLinePunct w:val="0"/>
        <w:autoSpaceDE/>
        <w:autoSpaceDN/>
        <w:bidi w:val="0"/>
        <w:adjustRightInd/>
        <w:snapToGrid/>
        <w:spacing w:line="560" w:lineRule="exact"/>
        <w:ind w:firstLine="600" w:firstLineChars="200"/>
        <w:textAlignment w:val="auto"/>
        <w:outlineLvl w:val="0"/>
        <w:rPr>
          <w:rFonts w:hint="default" w:ascii="Times New Roman" w:hAnsi="Times New Roman" w:eastAsia="仿宋_GB2312" w:cs="Times New Roman"/>
          <w:sz w:val="30"/>
          <w:szCs w:val="30"/>
          <w:highlight w:val="none"/>
          <w:lang w:val="en-US" w:eastAsia="zh-CN"/>
        </w:rPr>
      </w:pPr>
      <w:r>
        <w:rPr>
          <w:rFonts w:hint="default" w:ascii="Times New Roman" w:hAnsi="Times New Roman" w:eastAsia="仿宋_GB2312" w:cs="Times New Roman"/>
          <w:sz w:val="30"/>
          <w:szCs w:val="30"/>
          <w:highlight w:val="none"/>
          <w:lang w:val="en-US" w:eastAsia="zh-CN"/>
        </w:rPr>
        <w:t>项目决策类指标包括项目立项、绩效目标和资金投入三方面的内容，由6个三级指标构成，权重分值为20分，实际得分20分，得分率为100%。</w:t>
      </w:r>
    </w:p>
    <w:p>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预算编制经过科学论证，提供充分的测算依据佐证资料，预算内容与项目内容相匹配。项目投资额与工作任务相匹配。</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（2）资金分配合理性</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资金分配额度与项目单位实际工作内容相适应，资金分配额度合理，资金分配依据充分。</w:t>
      </w:r>
    </w:p>
    <w:p>
      <w:pPr>
        <w:pStyle w:val="9"/>
        <w:pageBreakBefore w:val="0"/>
        <w:numPr>
          <w:ilvl w:val="0"/>
          <w:numId w:val="5"/>
        </w:numPr>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 w:cs="Times New Roman"/>
        </w:rPr>
      </w:pPr>
      <w:r>
        <w:rPr>
          <w:rFonts w:hint="default" w:ascii="Times New Roman" w:hAnsi="Times New Roman" w:eastAsia="楷体" w:cs="Times New Roman"/>
        </w:rPr>
        <w:t>项目过程情况</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项目过程类指标包括资金管理和组织实施两方面的内容，由</w:t>
      </w:r>
      <w:r>
        <w:rPr>
          <w:rFonts w:hint="default" w:ascii="Times New Roman" w:hAnsi="Times New Roman" w:eastAsia="仿宋_GB2312" w:cs="Times New Roman"/>
          <w:sz w:val="32"/>
          <w:szCs w:val="32"/>
          <w:highlight w:val="none"/>
          <w:lang w:val="en-US" w:eastAsia="zh-CN"/>
        </w:rPr>
        <w:t>5个</w:t>
      </w:r>
      <w:r>
        <w:rPr>
          <w:rFonts w:hint="default" w:ascii="Times New Roman" w:hAnsi="Times New Roman" w:eastAsia="仿宋_GB2312" w:cs="Times New Roman"/>
          <w:sz w:val="32"/>
          <w:szCs w:val="32"/>
          <w:lang w:val="en-US" w:eastAsia="zh-CN"/>
        </w:rPr>
        <w:t>三级指标构成，权重分值为20分，</w:t>
      </w:r>
      <w:r>
        <w:rPr>
          <w:rFonts w:hint="default" w:ascii="Times New Roman" w:hAnsi="Times New Roman" w:eastAsia="仿宋_GB2312" w:cs="Times New Roman"/>
          <w:sz w:val="32"/>
          <w:szCs w:val="32"/>
          <w:highlight w:val="none"/>
          <w:lang w:val="en-US" w:eastAsia="zh-CN"/>
        </w:rPr>
        <w:t>实际得分20分，得分率为100%。</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项目资金使用符合相关的财务管理制度规定，能够反映和考核项目资金的规范运行情况；项目实施单位的财务和业务管理制度健全，能够反映和考核财务和业务管理制度对项目顺利实施的保障情况。</w:t>
      </w:r>
    </w:p>
    <w:p>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（1）资金到位率</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本项目总投资30.00万元，财政资金及时足额到位，到位率100%，预算资金按计划进度执行。</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（2）预算执行率</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预算编制较为详细，项目资金支出总体能够按照预算执行，预算资金支出30.00万元，预算执行率为100%。</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2.组织实施</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（1）管理制度健全性</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对资金使用的合法合规性进行监督，年末对资金使用效果进行评价。项目管理、实施人员落实到位，有效按照计划执行。项目执行情况等资料齐全，项目相关手续完备，及时进行归档。</w:t>
      </w:r>
    </w:p>
    <w:p>
      <w:pPr>
        <w:pStyle w:val="11"/>
        <w:pageBreakBefore w:val="0"/>
        <w:numPr>
          <w:ilvl w:val="0"/>
          <w:numId w:val="5"/>
        </w:numPr>
        <w:kinsoku/>
        <w:wordWrap/>
        <w:overflowPunct/>
        <w:topLinePunct w:val="0"/>
        <w:autoSpaceDE/>
        <w:autoSpaceDN/>
        <w:bidi w:val="0"/>
        <w:adjustRightInd/>
        <w:snapToGrid/>
        <w:spacing w:line="560" w:lineRule="exact"/>
        <w:ind w:firstLine="643"/>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项目产出类指标包括产出数量、产出质量、产出时效、产出成本四方面的内容，</w:t>
      </w:r>
      <w:r>
        <w:rPr>
          <w:rFonts w:hint="default" w:ascii="Times New Roman" w:hAnsi="Times New Roman" w:eastAsia="仿宋_GB2312" w:cs="Times New Roman"/>
          <w:sz w:val="32"/>
          <w:szCs w:val="32"/>
          <w:highlight w:val="none"/>
          <w:lang w:val="en-US" w:eastAsia="zh-CN"/>
        </w:rPr>
        <w:t>由21个三级指标构成，权重分为40分，实际得分39.4分，得分率为98.5%。具</w:t>
      </w:r>
      <w:r>
        <w:rPr>
          <w:rFonts w:hint="default" w:ascii="Times New Roman" w:hAnsi="Times New Roman" w:eastAsia="仿宋_GB2312" w:cs="Times New Roman"/>
          <w:sz w:val="32"/>
          <w:szCs w:val="32"/>
          <w:lang w:val="en-US" w:eastAsia="zh-CN"/>
        </w:rPr>
        <w:t>体产出指标完成情况如下：</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指标1：开展专项课题调研数，指标值：&gt;=4个，实际完成值：4个，指标完成率</w:t>
      </w:r>
      <w:r>
        <w:rPr>
          <w:rFonts w:hint="default"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，偏差率</w:t>
      </w:r>
      <w:r>
        <w:rPr>
          <w:rFonts w:hint="default" w:ascii="Times New Roman" w:hAnsi="Times New Roman" w:eastAsia="仿宋_GB2312" w:cs="Times New Roman"/>
          <w:sz w:val="32"/>
          <w:szCs w:val="32"/>
          <w:highlight w:val="none"/>
          <w:lang w:val="en-US" w:eastAsia="zh-CN"/>
        </w:rPr>
        <w:t>0%。</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：上报社情民意信息数量，指标值：&gt;=</w:t>
      </w:r>
      <w:r>
        <w:rPr>
          <w:rFonts w:hint="default" w:ascii="Times New Roman" w:hAnsi="Times New Roman" w:eastAsia="仿宋_GB2312" w:cs="Times New Roman"/>
          <w:sz w:val="32"/>
          <w:szCs w:val="32"/>
          <w:highlight w:val="none"/>
          <w:lang w:val="en-US" w:eastAsia="zh-CN"/>
        </w:rPr>
        <w:t>20篇</w:t>
      </w:r>
      <w:r>
        <w:rPr>
          <w:rFonts w:hint="default" w:ascii="Times New Roman" w:hAnsi="Times New Roman" w:eastAsia="仿宋_GB2312" w:cs="Times New Roman"/>
          <w:sz w:val="32"/>
          <w:szCs w:val="32"/>
          <w:highlight w:val="none"/>
        </w:rPr>
        <w:t>，实际完成值：</w:t>
      </w:r>
      <w:r>
        <w:rPr>
          <w:rFonts w:hint="default" w:ascii="Times New Roman" w:hAnsi="Times New Roman" w:eastAsia="仿宋_GB2312" w:cs="Times New Roman"/>
          <w:sz w:val="32"/>
          <w:szCs w:val="32"/>
          <w:highlight w:val="none"/>
          <w:lang w:val="en-US" w:eastAsia="zh-CN"/>
        </w:rPr>
        <w:t>20篇</w:t>
      </w:r>
      <w:r>
        <w:rPr>
          <w:rFonts w:hint="default" w:ascii="Times New Roman" w:hAnsi="Times New Roman" w:eastAsia="仿宋_GB2312" w:cs="Times New Roman"/>
          <w:sz w:val="32"/>
          <w:szCs w:val="32"/>
          <w:highlight w:val="none"/>
        </w:rPr>
        <w:t>，指标完成率</w:t>
      </w:r>
      <w:r>
        <w:rPr>
          <w:rFonts w:hint="default"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，偏差率</w:t>
      </w:r>
      <w:r>
        <w:rPr>
          <w:rFonts w:hint="default" w:ascii="Times New Roman" w:hAnsi="Times New Roman" w:eastAsia="仿宋_GB2312" w:cs="Times New Roman"/>
          <w:sz w:val="32"/>
          <w:szCs w:val="32"/>
          <w:highlight w:val="none"/>
          <w:lang w:val="en-US" w:eastAsia="zh-CN"/>
        </w:rPr>
        <w:t>0%。</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：提交“两会”大会发言，指标值：&gt;=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个，实际完成值：</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个，指标完成率</w:t>
      </w:r>
      <w:r>
        <w:rPr>
          <w:rFonts w:hint="default"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，偏差率</w:t>
      </w:r>
      <w:r>
        <w:rPr>
          <w:rFonts w:hint="default" w:ascii="Times New Roman" w:hAnsi="Times New Roman" w:eastAsia="仿宋_GB2312" w:cs="Times New Roman"/>
          <w:sz w:val="32"/>
          <w:szCs w:val="32"/>
          <w:highlight w:val="none"/>
          <w:lang w:val="en-US" w:eastAsia="zh-CN"/>
        </w:rPr>
        <w:t>0%。</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：提交“两会”提案，指标值：&gt;=</w:t>
      </w:r>
      <w:r>
        <w:rPr>
          <w:rFonts w:hint="default" w:ascii="Times New Roman" w:hAnsi="Times New Roman"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rPr>
        <w:t>个，实际完成值：</w:t>
      </w:r>
      <w:r>
        <w:rPr>
          <w:rFonts w:hint="default" w:ascii="Times New Roman" w:hAnsi="Times New Roman"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rPr>
        <w:t>个，指标完成率</w:t>
      </w:r>
      <w:r>
        <w:rPr>
          <w:rFonts w:hint="default"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，偏差率</w:t>
      </w:r>
      <w:r>
        <w:rPr>
          <w:rFonts w:hint="default" w:ascii="Times New Roman" w:hAnsi="Times New Roman" w:eastAsia="仿宋_GB2312" w:cs="Times New Roman"/>
          <w:sz w:val="32"/>
          <w:szCs w:val="32"/>
          <w:highlight w:val="none"/>
          <w:lang w:val="en-US" w:eastAsia="zh-CN"/>
        </w:rPr>
        <w:t>0%。</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rPr>
        <w:t>：印刷刊物、会议材料，指标值：&gt;=</w:t>
      </w:r>
      <w:r>
        <w:rPr>
          <w:rFonts w:hint="default" w:ascii="Times New Roman" w:hAnsi="Times New Roman" w:eastAsia="仿宋_GB2312" w:cs="Times New Roman"/>
          <w:sz w:val="32"/>
          <w:szCs w:val="32"/>
          <w:highlight w:val="none"/>
          <w:lang w:val="en-US" w:eastAsia="zh-CN"/>
        </w:rPr>
        <w:t>2期</w:t>
      </w:r>
      <w:r>
        <w:rPr>
          <w:rFonts w:hint="default" w:ascii="Times New Roman" w:hAnsi="Times New Roman" w:eastAsia="仿宋_GB2312" w:cs="Times New Roman"/>
          <w:sz w:val="32"/>
          <w:szCs w:val="32"/>
          <w:highlight w:val="none"/>
        </w:rPr>
        <w:t>，实际完成值：</w:t>
      </w:r>
      <w:r>
        <w:rPr>
          <w:rFonts w:hint="default" w:ascii="Times New Roman" w:hAnsi="Times New Roman" w:eastAsia="仿宋_GB2312" w:cs="Times New Roman"/>
          <w:sz w:val="32"/>
          <w:szCs w:val="32"/>
          <w:highlight w:val="none"/>
          <w:lang w:val="en-US" w:eastAsia="zh-CN"/>
        </w:rPr>
        <w:t>2期</w:t>
      </w:r>
      <w:r>
        <w:rPr>
          <w:rFonts w:hint="default" w:ascii="Times New Roman" w:hAnsi="Times New Roman" w:eastAsia="仿宋_GB2312" w:cs="Times New Roman"/>
          <w:sz w:val="32"/>
          <w:szCs w:val="32"/>
          <w:highlight w:val="none"/>
        </w:rPr>
        <w:t>，指标完成率</w:t>
      </w:r>
      <w:r>
        <w:rPr>
          <w:rFonts w:hint="default"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，偏差率</w:t>
      </w:r>
      <w:r>
        <w:rPr>
          <w:rFonts w:hint="default" w:ascii="Times New Roman" w:hAnsi="Times New Roman" w:eastAsia="仿宋_GB2312" w:cs="Times New Roman"/>
          <w:sz w:val="32"/>
          <w:szCs w:val="32"/>
          <w:highlight w:val="none"/>
          <w:lang w:val="en-US" w:eastAsia="zh-CN"/>
        </w:rPr>
        <w:t>0%。</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rPr>
        <w:t>：发放精神文明、综合治理奖人数，指标值：&gt;=20人，实际完成值：</w:t>
      </w:r>
      <w:r>
        <w:rPr>
          <w:rFonts w:hint="default" w:ascii="Times New Roman" w:hAnsi="Times New Roman" w:eastAsia="仿宋_GB2312" w:cs="Times New Roman"/>
          <w:sz w:val="32"/>
          <w:szCs w:val="32"/>
          <w:highlight w:val="none"/>
          <w:lang w:val="en-US" w:eastAsia="zh-CN"/>
        </w:rPr>
        <w:t>0人</w:t>
      </w:r>
      <w:r>
        <w:rPr>
          <w:rFonts w:hint="default" w:ascii="Times New Roman" w:hAnsi="Times New Roman" w:eastAsia="仿宋_GB2312" w:cs="Times New Roman"/>
          <w:sz w:val="32"/>
          <w:szCs w:val="32"/>
          <w:highlight w:val="none"/>
        </w:rPr>
        <w:t>，指标完成率</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，偏差率</w:t>
      </w:r>
      <w:r>
        <w:rPr>
          <w:rFonts w:hint="default"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eastAsia="zh-CN"/>
        </w:rPr>
        <w:t>偏差原因：精神文明综合治理奖2022年改由财政追加资金统一支付，不再挤占专项经费，专项经费全额用于保障参政议政工作。。</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7</w:t>
      </w:r>
      <w:r>
        <w:rPr>
          <w:rFonts w:hint="default" w:ascii="Times New Roman" w:hAnsi="Times New Roman" w:eastAsia="仿宋_GB2312" w:cs="Times New Roman"/>
          <w:sz w:val="32"/>
          <w:szCs w:val="32"/>
          <w:highlight w:val="none"/>
        </w:rPr>
        <w:t>：聘用人员工资、社保及福利人次，指标值：&gt;=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4</w:t>
      </w:r>
      <w:r>
        <w:rPr>
          <w:rFonts w:hint="default" w:ascii="Times New Roman" w:hAnsi="Times New Roman" w:eastAsia="仿宋_GB2312" w:cs="Times New Roman"/>
          <w:sz w:val="32"/>
          <w:szCs w:val="32"/>
          <w:highlight w:val="none"/>
          <w:lang w:eastAsia="zh-CN"/>
        </w:rPr>
        <w:t>次</w:t>
      </w:r>
      <w:r>
        <w:rPr>
          <w:rFonts w:hint="default" w:ascii="Times New Roman" w:hAnsi="Times New Roman" w:eastAsia="仿宋_GB2312" w:cs="Times New Roman"/>
          <w:sz w:val="32"/>
          <w:szCs w:val="32"/>
          <w:highlight w:val="none"/>
        </w:rPr>
        <w:t>，实际完成值：</w:t>
      </w:r>
      <w:r>
        <w:rPr>
          <w:rFonts w:hint="default" w:ascii="Times New Roman" w:hAnsi="Times New Roman" w:eastAsia="仿宋_GB2312" w:cs="Times New Roman"/>
          <w:sz w:val="32"/>
          <w:szCs w:val="32"/>
          <w:highlight w:val="none"/>
          <w:lang w:val="en-US" w:eastAsia="zh-CN"/>
        </w:rPr>
        <w:t>14</w:t>
      </w:r>
      <w:r>
        <w:rPr>
          <w:rFonts w:hint="default" w:ascii="Times New Roman" w:hAnsi="Times New Roman" w:eastAsia="仿宋_GB2312" w:cs="Times New Roman"/>
          <w:sz w:val="32"/>
          <w:szCs w:val="32"/>
          <w:highlight w:val="none"/>
          <w:lang w:eastAsia="zh-CN"/>
        </w:rPr>
        <w:t>次</w:t>
      </w:r>
      <w:r>
        <w:rPr>
          <w:rFonts w:hint="default" w:ascii="Times New Roman" w:hAnsi="Times New Roman" w:eastAsia="仿宋_GB2312" w:cs="Times New Roman"/>
          <w:sz w:val="32"/>
          <w:szCs w:val="32"/>
          <w:highlight w:val="none"/>
        </w:rPr>
        <w:t>，指标完成率</w:t>
      </w:r>
      <w:r>
        <w:rPr>
          <w:rFonts w:hint="default"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，偏差率</w:t>
      </w:r>
      <w:r>
        <w:rPr>
          <w:rFonts w:hint="default" w:ascii="Times New Roman" w:hAnsi="Times New Roman" w:eastAsia="仿宋_GB2312" w:cs="Times New Roman"/>
          <w:sz w:val="32"/>
          <w:szCs w:val="32"/>
          <w:highlight w:val="none"/>
          <w:lang w:val="en-US" w:eastAsia="zh-CN"/>
        </w:rPr>
        <w:t>0%。</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指标1：专题课题调研报告提交率（%），指标值：=100%，实际完成值：100%，指标完成率</w:t>
      </w:r>
      <w:r>
        <w:rPr>
          <w:rFonts w:hint="default"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，偏差率</w:t>
      </w:r>
      <w:r>
        <w:rPr>
          <w:rFonts w:hint="default" w:ascii="Times New Roman" w:hAnsi="Times New Roman" w:eastAsia="仿宋_GB2312" w:cs="Times New Roman"/>
          <w:sz w:val="32"/>
          <w:szCs w:val="32"/>
          <w:highlight w:val="none"/>
          <w:lang w:val="en-US" w:eastAsia="zh-CN"/>
        </w:rPr>
        <w:t>0%。</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：社情民意信息上报率（%），指标值：&gt;=</w:t>
      </w:r>
      <w:r>
        <w:rPr>
          <w:rFonts w:hint="default" w:ascii="Times New Roman" w:hAnsi="Times New Roman" w:eastAsia="仿宋_GB2312" w:cs="Times New Roman"/>
          <w:sz w:val="32"/>
          <w:szCs w:val="32"/>
          <w:highlight w:val="none"/>
          <w:lang w:val="en-US" w:eastAsia="zh-CN"/>
        </w:rPr>
        <w:t>9</w:t>
      </w:r>
      <w:r>
        <w:rPr>
          <w:rFonts w:hint="default" w:ascii="Times New Roman" w:hAnsi="Times New Roman" w:eastAsia="仿宋_GB2312" w:cs="Times New Roman"/>
          <w:sz w:val="32"/>
          <w:szCs w:val="32"/>
          <w:highlight w:val="none"/>
        </w:rPr>
        <w:t>0%，实际完成值：</w:t>
      </w:r>
      <w:r>
        <w:rPr>
          <w:rFonts w:hint="default" w:ascii="Times New Roman" w:hAnsi="Times New Roman" w:eastAsia="仿宋_GB2312" w:cs="Times New Roman"/>
          <w:sz w:val="32"/>
          <w:szCs w:val="32"/>
          <w:highlight w:val="none"/>
          <w:lang w:val="en-US" w:eastAsia="zh-CN"/>
        </w:rPr>
        <w:t>9</w:t>
      </w:r>
      <w:r>
        <w:rPr>
          <w:rFonts w:hint="default" w:ascii="Times New Roman" w:hAnsi="Times New Roman" w:eastAsia="仿宋_GB2312" w:cs="Times New Roman"/>
          <w:sz w:val="32"/>
          <w:szCs w:val="32"/>
          <w:highlight w:val="none"/>
        </w:rPr>
        <w:t>0%，指标完成率</w:t>
      </w:r>
      <w:r>
        <w:rPr>
          <w:rFonts w:hint="default"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，偏差率</w:t>
      </w:r>
      <w:r>
        <w:rPr>
          <w:rFonts w:hint="default" w:ascii="Times New Roman" w:hAnsi="Times New Roman" w:eastAsia="仿宋_GB2312" w:cs="Times New Roman"/>
          <w:sz w:val="32"/>
          <w:szCs w:val="32"/>
          <w:highlight w:val="none"/>
          <w:lang w:val="en-US" w:eastAsia="zh-CN"/>
        </w:rPr>
        <w:t>0%。</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：“两会”发言提交率（%），指标值：=</w:t>
      </w:r>
      <w:r>
        <w:rPr>
          <w:rFonts w:hint="default" w:ascii="Times New Roman" w:hAnsi="Times New Roman" w:eastAsia="仿宋_GB2312" w:cs="Times New Roman"/>
          <w:sz w:val="32"/>
          <w:szCs w:val="32"/>
          <w:highlight w:val="none"/>
          <w:lang w:val="en-US" w:eastAsia="zh-CN"/>
        </w:rPr>
        <w:t>10</w:t>
      </w:r>
      <w:r>
        <w:rPr>
          <w:rFonts w:hint="default" w:ascii="Times New Roman" w:hAnsi="Times New Roman" w:eastAsia="仿宋_GB2312" w:cs="Times New Roman"/>
          <w:sz w:val="32"/>
          <w:szCs w:val="32"/>
          <w:highlight w:val="none"/>
        </w:rPr>
        <w:t>0%，实际完成值：</w:t>
      </w:r>
      <w:r>
        <w:rPr>
          <w:rFonts w:hint="default" w:ascii="Times New Roman" w:hAnsi="Times New Roman" w:eastAsia="仿宋_GB2312" w:cs="Times New Roman"/>
          <w:sz w:val="32"/>
          <w:szCs w:val="32"/>
          <w:highlight w:val="none"/>
          <w:lang w:val="en-US" w:eastAsia="zh-CN"/>
        </w:rPr>
        <w:t>10</w:t>
      </w:r>
      <w:r>
        <w:rPr>
          <w:rFonts w:hint="default" w:ascii="Times New Roman" w:hAnsi="Times New Roman" w:eastAsia="仿宋_GB2312" w:cs="Times New Roman"/>
          <w:sz w:val="32"/>
          <w:szCs w:val="32"/>
          <w:highlight w:val="none"/>
        </w:rPr>
        <w:t>0%，指标完成率</w:t>
      </w:r>
      <w:r>
        <w:rPr>
          <w:rFonts w:hint="default"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，偏差率</w:t>
      </w:r>
      <w:r>
        <w:rPr>
          <w:rFonts w:hint="default" w:ascii="Times New Roman" w:hAnsi="Times New Roman" w:eastAsia="仿宋_GB2312" w:cs="Times New Roman"/>
          <w:sz w:val="32"/>
          <w:szCs w:val="32"/>
          <w:highlight w:val="none"/>
          <w:lang w:val="en-US" w:eastAsia="zh-CN"/>
        </w:rPr>
        <w:t>0%。</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：“两会”提案立案率（%），指标值：&gt;=</w:t>
      </w:r>
      <w:r>
        <w:rPr>
          <w:rFonts w:hint="default" w:ascii="Times New Roman" w:hAnsi="Times New Roman" w:eastAsia="仿宋_GB2312" w:cs="Times New Roman"/>
          <w:sz w:val="32"/>
          <w:szCs w:val="32"/>
          <w:highlight w:val="none"/>
          <w:lang w:val="en-US" w:eastAsia="zh-CN"/>
        </w:rPr>
        <w:t>9</w:t>
      </w:r>
      <w:r>
        <w:rPr>
          <w:rFonts w:hint="default" w:ascii="Times New Roman" w:hAnsi="Times New Roman" w:eastAsia="仿宋_GB2312" w:cs="Times New Roman"/>
          <w:sz w:val="32"/>
          <w:szCs w:val="32"/>
          <w:highlight w:val="none"/>
        </w:rPr>
        <w:t>0%，实际完成值：</w:t>
      </w:r>
      <w:r>
        <w:rPr>
          <w:rFonts w:hint="default" w:ascii="Times New Roman" w:hAnsi="Times New Roman" w:eastAsia="仿宋_GB2312" w:cs="Times New Roman"/>
          <w:sz w:val="32"/>
          <w:szCs w:val="32"/>
          <w:highlight w:val="none"/>
          <w:lang w:val="en-US" w:eastAsia="zh-CN"/>
        </w:rPr>
        <w:t>9</w:t>
      </w:r>
      <w:r>
        <w:rPr>
          <w:rFonts w:hint="default" w:ascii="Times New Roman" w:hAnsi="Times New Roman" w:eastAsia="仿宋_GB2312" w:cs="Times New Roman"/>
          <w:sz w:val="32"/>
          <w:szCs w:val="32"/>
          <w:highlight w:val="none"/>
        </w:rPr>
        <w:t>0%，指标完成率</w:t>
      </w:r>
      <w:r>
        <w:rPr>
          <w:rFonts w:hint="default"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，偏差率</w:t>
      </w:r>
      <w:r>
        <w:rPr>
          <w:rFonts w:hint="default" w:ascii="Times New Roman" w:hAnsi="Times New Roman" w:eastAsia="仿宋_GB2312" w:cs="Times New Roman"/>
          <w:sz w:val="32"/>
          <w:szCs w:val="32"/>
          <w:highlight w:val="none"/>
          <w:lang w:val="en-US" w:eastAsia="zh-CN"/>
        </w:rPr>
        <w:t>0%。</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rPr>
        <w:t>：期刊资料印刷完成率（%），指标值：&gt;=</w:t>
      </w:r>
      <w:r>
        <w:rPr>
          <w:rFonts w:hint="default" w:ascii="Times New Roman" w:hAnsi="Times New Roman" w:eastAsia="仿宋_GB2312" w:cs="Times New Roman"/>
          <w:sz w:val="32"/>
          <w:szCs w:val="32"/>
          <w:highlight w:val="none"/>
          <w:lang w:val="en-US" w:eastAsia="zh-CN"/>
        </w:rPr>
        <w:t>8</w:t>
      </w:r>
      <w:r>
        <w:rPr>
          <w:rFonts w:hint="default" w:ascii="Times New Roman" w:hAnsi="Times New Roman" w:eastAsia="仿宋_GB2312" w:cs="Times New Roman"/>
          <w:sz w:val="32"/>
          <w:szCs w:val="32"/>
          <w:highlight w:val="none"/>
        </w:rPr>
        <w:t>0%，实际完成值：</w:t>
      </w:r>
      <w:r>
        <w:rPr>
          <w:rFonts w:hint="default" w:ascii="Times New Roman" w:hAnsi="Times New Roman" w:eastAsia="仿宋_GB2312" w:cs="Times New Roman"/>
          <w:sz w:val="32"/>
          <w:szCs w:val="32"/>
          <w:highlight w:val="none"/>
          <w:lang w:val="en-US" w:eastAsia="zh-CN"/>
        </w:rPr>
        <w:t>8</w:t>
      </w:r>
      <w:r>
        <w:rPr>
          <w:rFonts w:hint="default" w:ascii="Times New Roman" w:hAnsi="Times New Roman" w:eastAsia="仿宋_GB2312" w:cs="Times New Roman"/>
          <w:sz w:val="32"/>
          <w:szCs w:val="32"/>
          <w:highlight w:val="none"/>
        </w:rPr>
        <w:t>0%，指标完成率</w:t>
      </w:r>
      <w:r>
        <w:rPr>
          <w:rFonts w:hint="default"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，偏差率</w:t>
      </w:r>
      <w:r>
        <w:rPr>
          <w:rFonts w:hint="default" w:ascii="Times New Roman" w:hAnsi="Times New Roman" w:eastAsia="仿宋_GB2312" w:cs="Times New Roman"/>
          <w:sz w:val="32"/>
          <w:szCs w:val="32"/>
          <w:highlight w:val="none"/>
          <w:lang w:val="en-US" w:eastAsia="zh-CN"/>
        </w:rPr>
        <w:t>0%。</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rPr>
        <w:t>：资金发放准确率（%），指标值：=100%，实际完成值：100%，指标完成率</w:t>
      </w:r>
      <w:r>
        <w:rPr>
          <w:rFonts w:hint="default"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，偏差率</w:t>
      </w:r>
      <w:r>
        <w:rPr>
          <w:rFonts w:hint="default" w:ascii="Times New Roman" w:hAnsi="Times New Roman" w:eastAsia="仿宋_GB2312" w:cs="Times New Roman"/>
          <w:sz w:val="32"/>
          <w:szCs w:val="32"/>
          <w:highlight w:val="none"/>
          <w:lang w:val="en-US" w:eastAsia="zh-CN"/>
        </w:rPr>
        <w:t>0%。</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指标1：课题调研工作按期开展率（%），指标值：&gt;=</w:t>
      </w:r>
      <w:r>
        <w:rPr>
          <w:rFonts w:hint="default" w:ascii="Times New Roman" w:hAnsi="Times New Roman" w:eastAsia="仿宋_GB2312" w:cs="Times New Roman"/>
          <w:sz w:val="32"/>
          <w:szCs w:val="32"/>
          <w:highlight w:val="none"/>
          <w:lang w:val="en-US" w:eastAsia="zh-CN"/>
        </w:rPr>
        <w:t>9</w:t>
      </w:r>
      <w:r>
        <w:rPr>
          <w:rFonts w:hint="default" w:ascii="Times New Roman" w:hAnsi="Times New Roman" w:eastAsia="仿宋_GB2312" w:cs="Times New Roman"/>
          <w:sz w:val="32"/>
          <w:szCs w:val="32"/>
          <w:highlight w:val="none"/>
        </w:rPr>
        <w:t>0%，实际完成值：</w:t>
      </w:r>
      <w:r>
        <w:rPr>
          <w:rFonts w:hint="default" w:ascii="Times New Roman" w:hAnsi="Times New Roman" w:eastAsia="仿宋_GB2312" w:cs="Times New Roman"/>
          <w:sz w:val="32"/>
          <w:szCs w:val="32"/>
          <w:highlight w:val="none"/>
          <w:lang w:val="en-US" w:eastAsia="zh-CN"/>
        </w:rPr>
        <w:t>9</w:t>
      </w:r>
      <w:r>
        <w:rPr>
          <w:rFonts w:hint="default" w:ascii="Times New Roman" w:hAnsi="Times New Roman" w:eastAsia="仿宋_GB2312" w:cs="Times New Roman"/>
          <w:sz w:val="32"/>
          <w:szCs w:val="32"/>
          <w:highlight w:val="none"/>
        </w:rPr>
        <w:t>0%，指标完成率</w:t>
      </w:r>
      <w:r>
        <w:rPr>
          <w:rFonts w:hint="default"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，偏差率</w:t>
      </w:r>
      <w:r>
        <w:rPr>
          <w:rFonts w:hint="default" w:ascii="Times New Roman" w:hAnsi="Times New Roman" w:eastAsia="仿宋_GB2312" w:cs="Times New Roman"/>
          <w:sz w:val="32"/>
          <w:szCs w:val="32"/>
          <w:highlight w:val="none"/>
          <w:lang w:val="en-US" w:eastAsia="zh-CN"/>
        </w:rPr>
        <w:t>0%。</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：“两会”提案提交及时率（%），指标值：&gt;=</w:t>
      </w:r>
      <w:r>
        <w:rPr>
          <w:rFonts w:hint="default" w:ascii="Times New Roman" w:hAnsi="Times New Roman" w:eastAsia="仿宋_GB2312" w:cs="Times New Roman"/>
          <w:sz w:val="32"/>
          <w:szCs w:val="32"/>
          <w:highlight w:val="none"/>
          <w:lang w:val="en-US" w:eastAsia="zh-CN"/>
        </w:rPr>
        <w:t>9</w:t>
      </w:r>
      <w:r>
        <w:rPr>
          <w:rFonts w:hint="default" w:ascii="Times New Roman" w:hAnsi="Times New Roman" w:eastAsia="仿宋_GB2312" w:cs="Times New Roman"/>
          <w:sz w:val="32"/>
          <w:szCs w:val="32"/>
          <w:highlight w:val="none"/>
        </w:rPr>
        <w:t>0%，实际完成值：</w:t>
      </w:r>
      <w:r>
        <w:rPr>
          <w:rFonts w:hint="default" w:ascii="Times New Roman" w:hAnsi="Times New Roman" w:eastAsia="仿宋_GB2312" w:cs="Times New Roman"/>
          <w:sz w:val="32"/>
          <w:szCs w:val="32"/>
          <w:highlight w:val="none"/>
          <w:lang w:val="en-US" w:eastAsia="zh-CN"/>
        </w:rPr>
        <w:t>9</w:t>
      </w:r>
      <w:r>
        <w:rPr>
          <w:rFonts w:hint="default" w:ascii="Times New Roman" w:hAnsi="Times New Roman" w:eastAsia="仿宋_GB2312" w:cs="Times New Roman"/>
          <w:sz w:val="32"/>
          <w:szCs w:val="32"/>
          <w:highlight w:val="none"/>
        </w:rPr>
        <w:t>0%，指标完成率</w:t>
      </w:r>
      <w:r>
        <w:rPr>
          <w:rFonts w:hint="default"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，偏差率</w:t>
      </w:r>
      <w:r>
        <w:rPr>
          <w:rFonts w:hint="default" w:ascii="Times New Roman" w:hAnsi="Times New Roman" w:eastAsia="仿宋_GB2312" w:cs="Times New Roman"/>
          <w:sz w:val="32"/>
          <w:szCs w:val="32"/>
          <w:highlight w:val="none"/>
          <w:lang w:val="en-US" w:eastAsia="zh-CN"/>
        </w:rPr>
        <w:t>0%。</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：资金发放及时率（%），指标值：&gt;=</w:t>
      </w:r>
      <w:r>
        <w:rPr>
          <w:rFonts w:hint="default" w:ascii="Times New Roman" w:hAnsi="Times New Roman" w:eastAsia="仿宋_GB2312" w:cs="Times New Roman"/>
          <w:sz w:val="32"/>
          <w:szCs w:val="32"/>
          <w:highlight w:val="none"/>
          <w:lang w:val="en-US" w:eastAsia="zh-CN"/>
        </w:rPr>
        <w:t>9</w:t>
      </w:r>
      <w:r>
        <w:rPr>
          <w:rFonts w:hint="default" w:ascii="Times New Roman" w:hAnsi="Times New Roman" w:eastAsia="仿宋_GB2312" w:cs="Times New Roman"/>
          <w:sz w:val="32"/>
          <w:szCs w:val="32"/>
          <w:highlight w:val="none"/>
        </w:rPr>
        <w:t>0%，实际完成值：</w:t>
      </w:r>
      <w:r>
        <w:rPr>
          <w:rFonts w:hint="default" w:ascii="Times New Roman" w:hAnsi="Times New Roman" w:eastAsia="仿宋_GB2312" w:cs="Times New Roman"/>
          <w:sz w:val="32"/>
          <w:szCs w:val="32"/>
          <w:highlight w:val="none"/>
          <w:lang w:val="en-US" w:eastAsia="zh-CN"/>
        </w:rPr>
        <w:t>9</w:t>
      </w:r>
      <w:r>
        <w:rPr>
          <w:rFonts w:hint="default" w:ascii="Times New Roman" w:hAnsi="Times New Roman" w:eastAsia="仿宋_GB2312" w:cs="Times New Roman"/>
          <w:sz w:val="32"/>
          <w:szCs w:val="32"/>
          <w:highlight w:val="none"/>
        </w:rPr>
        <w:t>0%，指标完成率</w:t>
      </w:r>
      <w:r>
        <w:rPr>
          <w:rFonts w:hint="default"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，偏差率</w:t>
      </w:r>
      <w:r>
        <w:rPr>
          <w:rFonts w:hint="default" w:ascii="Times New Roman" w:hAnsi="Times New Roman" w:eastAsia="仿宋_GB2312" w:cs="Times New Roman"/>
          <w:sz w:val="32"/>
          <w:szCs w:val="32"/>
          <w:highlight w:val="none"/>
          <w:lang w:val="en-US" w:eastAsia="zh-CN"/>
        </w:rPr>
        <w:t>0%。</w:t>
      </w:r>
    </w:p>
    <w:p>
      <w:pPr>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br w:type="page"/>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指标1：调研交通、差旅费，指标值：&lt;=3万元，实际完成值：</w:t>
      </w:r>
      <w:r>
        <w:rPr>
          <w:rFonts w:hint="default" w:ascii="Times New Roman" w:hAnsi="Times New Roman" w:eastAsia="仿宋_GB2312" w:cs="Times New Roman"/>
          <w:sz w:val="32"/>
          <w:szCs w:val="32"/>
          <w:highlight w:val="none"/>
          <w:lang w:val="en-US" w:eastAsia="zh-CN"/>
        </w:rPr>
        <w:t>1.77万元</w:t>
      </w:r>
      <w:r>
        <w:rPr>
          <w:rFonts w:hint="default" w:ascii="Times New Roman" w:hAnsi="Times New Roman" w:eastAsia="仿宋_GB2312" w:cs="Times New Roman"/>
          <w:sz w:val="32"/>
          <w:szCs w:val="32"/>
          <w:highlight w:val="none"/>
        </w:rPr>
        <w:t>，指标完成率</w:t>
      </w:r>
      <w:r>
        <w:rPr>
          <w:rFonts w:hint="default" w:ascii="Times New Roman" w:hAnsi="Times New Roman" w:eastAsia="仿宋_GB2312" w:cs="Times New Roman"/>
          <w:sz w:val="32"/>
          <w:szCs w:val="32"/>
          <w:highlight w:val="none"/>
          <w:lang w:val="en-US" w:eastAsia="zh-CN"/>
        </w:rPr>
        <w:t>59</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，偏差率</w:t>
      </w:r>
      <w:r>
        <w:rPr>
          <w:rFonts w:hint="default" w:ascii="Times New Roman" w:hAnsi="Times New Roman" w:eastAsia="仿宋_GB2312" w:cs="Times New Roman"/>
          <w:sz w:val="32"/>
          <w:szCs w:val="32"/>
          <w:highlight w:val="none"/>
          <w:lang w:val="en-US" w:eastAsia="zh-CN"/>
        </w:rPr>
        <w:t>41%。</w:t>
      </w:r>
      <w:r>
        <w:rPr>
          <w:rFonts w:hint="default" w:ascii="Times New Roman" w:hAnsi="Times New Roman" w:eastAsia="仿宋_GB2312" w:cs="Times New Roman"/>
          <w:sz w:val="32"/>
          <w:szCs w:val="32"/>
          <w:highlight w:val="none"/>
          <w:lang w:eastAsia="zh-CN"/>
        </w:rPr>
        <w:t>偏差原因：因疫情及党派换届原因，参政议政外出调研工作比年初计划次数减少，改由委托当地人员调研及调查问卷模式开展。</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：刊物、会议资料印刷费，指标值：&lt;=5万元，实际完成值：</w:t>
      </w:r>
      <w:r>
        <w:rPr>
          <w:rFonts w:hint="default" w:ascii="Times New Roman" w:hAnsi="Times New Roman" w:eastAsia="仿宋_GB2312" w:cs="Times New Roman"/>
          <w:sz w:val="32"/>
          <w:szCs w:val="32"/>
          <w:highlight w:val="none"/>
          <w:lang w:val="en-US" w:eastAsia="zh-CN"/>
        </w:rPr>
        <w:t>2.12万元</w:t>
      </w:r>
      <w:r>
        <w:rPr>
          <w:rFonts w:hint="default" w:ascii="Times New Roman" w:hAnsi="Times New Roman" w:eastAsia="仿宋_GB2312" w:cs="Times New Roman"/>
          <w:sz w:val="32"/>
          <w:szCs w:val="32"/>
          <w:highlight w:val="none"/>
        </w:rPr>
        <w:t>，指标完成率</w:t>
      </w:r>
      <w:r>
        <w:rPr>
          <w:rFonts w:hint="default" w:ascii="Times New Roman" w:hAnsi="Times New Roman" w:eastAsia="仿宋_GB2312" w:cs="Times New Roman"/>
          <w:sz w:val="32"/>
          <w:szCs w:val="32"/>
          <w:highlight w:val="none"/>
          <w:lang w:val="en-US" w:eastAsia="zh-CN"/>
        </w:rPr>
        <w:t>42.40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，偏差率</w:t>
      </w:r>
      <w:r>
        <w:rPr>
          <w:rFonts w:hint="default" w:ascii="Times New Roman" w:hAnsi="Times New Roman" w:eastAsia="仿宋_GB2312" w:cs="Times New Roman"/>
          <w:sz w:val="32"/>
          <w:szCs w:val="32"/>
          <w:highlight w:val="none"/>
          <w:lang w:val="en-US" w:eastAsia="zh-CN"/>
        </w:rPr>
        <w:t>57.60%。</w:t>
      </w:r>
      <w:r>
        <w:rPr>
          <w:rFonts w:hint="default" w:ascii="Times New Roman" w:hAnsi="Times New Roman" w:eastAsia="仿宋_GB2312" w:cs="Times New Roman"/>
          <w:sz w:val="32"/>
          <w:szCs w:val="32"/>
          <w:highlight w:val="none"/>
          <w:lang w:eastAsia="zh-CN"/>
        </w:rPr>
        <w:t>偏差原因：因疫情原因，会议减少，《新疆民建》第2期延时到12月底编印。</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：精神文明、综合治理奖等费用，指标值：&lt;=5.80万元，实际完成值</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%，指标完成率</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，偏差率</w:t>
      </w:r>
      <w:r>
        <w:rPr>
          <w:rFonts w:hint="default"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eastAsia="zh-CN"/>
        </w:rPr>
        <w:t>偏差原因：精神文明综合治理奖2022年改由财政追加资金统一支付，不再挤占专项经费，专项经费全额用于保障参政议政工作。</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w:t>
      </w:r>
      <w:r>
        <w:rPr>
          <w:rFonts w:hint="default" w:ascii="Times New Roman" w:hAnsi="Times New Roman" w:eastAsia="仿宋_GB2312" w:cs="Times New Roman"/>
          <w:sz w:val="32"/>
          <w:szCs w:val="32"/>
          <w:highlight w:val="none"/>
          <w:lang w:eastAsia="zh-CN"/>
        </w:rPr>
        <w:t>标</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：聘用人员工资、社保及福利费用，指标值：&lt;=7.2万元，实际完成值：</w:t>
      </w:r>
      <w:r>
        <w:rPr>
          <w:rFonts w:hint="default" w:ascii="Times New Roman" w:hAnsi="Times New Roman" w:eastAsia="仿宋_GB2312" w:cs="Times New Roman"/>
          <w:sz w:val="32"/>
          <w:szCs w:val="32"/>
          <w:highlight w:val="none"/>
          <w:lang w:val="en-US" w:eastAsia="zh-CN"/>
        </w:rPr>
        <w:t>&lt;=7.2万元</w:t>
      </w:r>
      <w:r>
        <w:rPr>
          <w:rFonts w:hint="default" w:ascii="Times New Roman" w:hAnsi="Times New Roman" w:eastAsia="仿宋_GB2312" w:cs="Times New Roman"/>
          <w:sz w:val="32"/>
          <w:szCs w:val="32"/>
          <w:highlight w:val="none"/>
        </w:rPr>
        <w:t>，指标完成率</w:t>
      </w:r>
      <w:r>
        <w:rPr>
          <w:rFonts w:hint="default"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，偏差率</w:t>
      </w:r>
      <w:r>
        <w:rPr>
          <w:rFonts w:hint="default" w:ascii="Times New Roman" w:hAnsi="Times New Roman" w:eastAsia="仿宋_GB2312" w:cs="Times New Roman"/>
          <w:sz w:val="32"/>
          <w:szCs w:val="32"/>
          <w:highlight w:val="none"/>
          <w:lang w:val="en-US" w:eastAsia="zh-CN"/>
        </w:rPr>
        <w:t xml:space="preserve">0%。  </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w:t>
      </w:r>
      <w:r>
        <w:rPr>
          <w:rFonts w:hint="default" w:ascii="Times New Roman" w:hAnsi="Times New Roman" w:eastAsia="仿宋_GB2312" w:cs="Times New Roman"/>
          <w:sz w:val="32"/>
          <w:szCs w:val="32"/>
          <w:highlight w:val="none"/>
          <w:lang w:eastAsia="zh-CN"/>
        </w:rPr>
        <w:t>标</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rPr>
        <w:t>：机关运行费用，指标值：&lt;=9万元，实际完成值：</w:t>
      </w:r>
      <w:r>
        <w:rPr>
          <w:rFonts w:hint="default" w:ascii="Times New Roman" w:hAnsi="Times New Roman" w:eastAsia="仿宋_GB2312" w:cs="Times New Roman"/>
          <w:sz w:val="32"/>
          <w:szCs w:val="32"/>
          <w:highlight w:val="none"/>
          <w:lang w:val="en-US" w:eastAsia="zh-CN"/>
        </w:rPr>
        <w:t>18.91万元</w:t>
      </w:r>
      <w:r>
        <w:rPr>
          <w:rFonts w:hint="default" w:ascii="Times New Roman" w:hAnsi="Times New Roman" w:eastAsia="仿宋_GB2312" w:cs="Times New Roman"/>
          <w:sz w:val="32"/>
          <w:szCs w:val="32"/>
          <w:highlight w:val="none"/>
        </w:rPr>
        <w:t>，指标完成率</w:t>
      </w:r>
      <w:r>
        <w:rPr>
          <w:rFonts w:hint="default" w:ascii="Times New Roman" w:hAnsi="Times New Roman" w:eastAsia="仿宋_GB2312" w:cs="Times New Roman"/>
          <w:sz w:val="32"/>
          <w:szCs w:val="32"/>
          <w:highlight w:val="none"/>
          <w:lang w:val="en-US" w:eastAsia="zh-CN"/>
        </w:rPr>
        <w:t>210.11</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，偏差率</w:t>
      </w:r>
      <w:r>
        <w:rPr>
          <w:rFonts w:hint="default" w:ascii="Times New Roman" w:hAnsi="Times New Roman" w:eastAsia="仿宋_GB2312" w:cs="Times New Roman"/>
          <w:sz w:val="32"/>
          <w:szCs w:val="32"/>
          <w:highlight w:val="none"/>
          <w:lang w:val="en-US" w:eastAsia="zh-CN"/>
        </w:rPr>
        <w:t>110.11%。</w:t>
      </w:r>
      <w:r>
        <w:rPr>
          <w:rFonts w:hint="default" w:ascii="Times New Roman" w:hAnsi="Times New Roman" w:eastAsia="仿宋_GB2312" w:cs="Times New Roman"/>
          <w:sz w:val="32"/>
          <w:szCs w:val="32"/>
          <w:highlight w:val="none"/>
          <w:lang w:eastAsia="zh-CN"/>
        </w:rPr>
        <w:t>偏差原因：精神文明综合治理奖2022年改由财政追加资金统一支付，不再挤占专项经费，专项经费全额用于保障参政议政工作。</w:t>
      </w:r>
    </w:p>
    <w:p>
      <w:pPr>
        <w:pStyle w:val="11"/>
        <w:pageBreakBefore w:val="0"/>
        <w:numPr>
          <w:ilvl w:val="0"/>
          <w:numId w:val="5"/>
        </w:numPr>
        <w:kinsoku/>
        <w:wordWrap/>
        <w:overflowPunct/>
        <w:topLinePunct w:val="0"/>
        <w:autoSpaceDE/>
        <w:autoSpaceDN/>
        <w:bidi w:val="0"/>
        <w:adjustRightInd/>
        <w:snapToGrid/>
        <w:spacing w:line="560" w:lineRule="exact"/>
        <w:ind w:firstLine="643"/>
        <w:textAlignment w:val="auto"/>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项目效益类指标包括项目实施效益和满意度两方面的内容，由4个三级指标构成，权重分为20分，实际得分20分，得分率为100%。具体效益指标及满意度指标完成情况如下：</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1.实施效益</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经济效益指标：</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eastAsia="zh-CN"/>
        </w:rPr>
        <w:t>无</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②</w:t>
      </w:r>
      <w:r>
        <w:rPr>
          <w:rFonts w:hint="default" w:ascii="Times New Roman" w:hAnsi="Times New Roman" w:eastAsia="仿宋_GB2312" w:cs="Times New Roman"/>
          <w:sz w:val="32"/>
          <w:szCs w:val="32"/>
          <w:highlight w:val="none"/>
        </w:rPr>
        <w:t>社会效益指标：</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指标1：提案已解决或被采纳率（%），指标值：&gt;=80%，实际完成值：</w:t>
      </w:r>
      <w:r>
        <w:rPr>
          <w:rFonts w:hint="default" w:ascii="Times New Roman" w:hAnsi="Times New Roman" w:eastAsia="仿宋_GB2312" w:cs="Times New Roman"/>
          <w:sz w:val="32"/>
          <w:szCs w:val="32"/>
          <w:highlight w:val="none"/>
          <w:lang w:val="en-US" w:eastAsia="zh-CN"/>
        </w:rPr>
        <w:t>80%</w:t>
      </w:r>
      <w:r>
        <w:rPr>
          <w:rFonts w:hint="default" w:ascii="Times New Roman" w:hAnsi="Times New Roman" w:eastAsia="仿宋_GB2312" w:cs="Times New Roman"/>
          <w:sz w:val="32"/>
          <w:szCs w:val="32"/>
          <w:highlight w:val="none"/>
        </w:rPr>
        <w:t>，指标完成率</w:t>
      </w:r>
      <w:r>
        <w:rPr>
          <w:rFonts w:hint="default"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，偏差率</w:t>
      </w:r>
      <w:r>
        <w:rPr>
          <w:rFonts w:hint="default" w:ascii="Times New Roman" w:hAnsi="Times New Roman" w:eastAsia="仿宋_GB2312" w:cs="Times New Roman"/>
          <w:sz w:val="32"/>
          <w:szCs w:val="32"/>
          <w:highlight w:val="none"/>
          <w:lang w:val="en-US" w:eastAsia="zh-CN"/>
        </w:rPr>
        <w:t>0%。</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：加强民建会员思想教育工作，指标值：</w:t>
      </w:r>
      <w:r>
        <w:rPr>
          <w:rFonts w:hint="default" w:ascii="Times New Roman" w:hAnsi="Times New Roman" w:eastAsia="仿宋_GB2312" w:cs="Times New Roman"/>
          <w:sz w:val="32"/>
          <w:szCs w:val="32"/>
          <w:highlight w:val="none"/>
          <w:lang w:eastAsia="zh-CN"/>
        </w:rPr>
        <w:t>明显加强</w:t>
      </w:r>
      <w:r>
        <w:rPr>
          <w:rFonts w:hint="default" w:ascii="Times New Roman" w:hAnsi="Times New Roman" w:eastAsia="仿宋_GB2312" w:cs="Times New Roman"/>
          <w:sz w:val="32"/>
          <w:szCs w:val="32"/>
          <w:highlight w:val="none"/>
        </w:rPr>
        <w:t>，实际完成值：</w:t>
      </w:r>
      <w:r>
        <w:rPr>
          <w:rFonts w:hint="default" w:ascii="Times New Roman" w:hAnsi="Times New Roman" w:eastAsia="仿宋_GB2312" w:cs="Times New Roman"/>
          <w:sz w:val="32"/>
          <w:szCs w:val="32"/>
          <w:highlight w:val="none"/>
          <w:lang w:val="en-US" w:eastAsia="zh-CN"/>
        </w:rPr>
        <w:t>明显加强</w:t>
      </w:r>
      <w:r>
        <w:rPr>
          <w:rFonts w:hint="default" w:ascii="Times New Roman" w:hAnsi="Times New Roman" w:eastAsia="仿宋_GB2312" w:cs="Times New Roman"/>
          <w:sz w:val="32"/>
          <w:szCs w:val="32"/>
          <w:highlight w:val="none"/>
        </w:rPr>
        <w:t>，指标完成率</w:t>
      </w:r>
      <w:r>
        <w:rPr>
          <w:rFonts w:hint="default"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，偏差率</w:t>
      </w:r>
      <w:r>
        <w:rPr>
          <w:rFonts w:hint="default" w:ascii="Times New Roman" w:hAnsi="Times New Roman" w:eastAsia="仿宋_GB2312" w:cs="Times New Roman"/>
          <w:sz w:val="32"/>
          <w:szCs w:val="32"/>
          <w:highlight w:val="none"/>
          <w:lang w:val="en-US" w:eastAsia="zh-CN"/>
        </w:rPr>
        <w:t>0%。</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③生态效益指标：</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eastAsia="zh-CN"/>
        </w:rPr>
        <w:t>无</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④可持续影响指标：</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eastAsia="zh-CN"/>
        </w:rPr>
        <w:t>无</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满意度指标</w:t>
      </w:r>
      <w:r>
        <w:rPr>
          <w:rFonts w:hint="default" w:ascii="Times New Roman" w:hAnsi="Times New Roman" w:eastAsia="仿宋_GB2312" w:cs="Times New Roman"/>
          <w:sz w:val="32"/>
          <w:szCs w:val="32"/>
          <w:highlight w:val="none"/>
        </w:rPr>
        <w:t>1：会员满意度（%），指标值：&gt;=80%，实际完成值：</w:t>
      </w:r>
      <w:r>
        <w:rPr>
          <w:rFonts w:hint="default" w:ascii="Times New Roman" w:hAnsi="Times New Roman" w:eastAsia="仿宋_GB2312" w:cs="Times New Roman"/>
          <w:sz w:val="32"/>
          <w:szCs w:val="32"/>
          <w:highlight w:val="none"/>
          <w:lang w:val="en-US" w:eastAsia="zh-CN"/>
        </w:rPr>
        <w:t>80%</w:t>
      </w:r>
      <w:r>
        <w:rPr>
          <w:rFonts w:hint="default" w:ascii="Times New Roman" w:hAnsi="Times New Roman" w:eastAsia="仿宋_GB2312" w:cs="Times New Roman"/>
          <w:sz w:val="32"/>
          <w:szCs w:val="32"/>
          <w:highlight w:val="none"/>
        </w:rPr>
        <w:t>，指标完成率</w:t>
      </w:r>
      <w:r>
        <w:rPr>
          <w:rFonts w:hint="default"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，偏差率</w:t>
      </w:r>
      <w:r>
        <w:rPr>
          <w:rFonts w:hint="default" w:ascii="Times New Roman" w:hAnsi="Times New Roman" w:eastAsia="仿宋_GB2312" w:cs="Times New Roman"/>
          <w:sz w:val="32"/>
          <w:szCs w:val="32"/>
          <w:highlight w:val="none"/>
          <w:lang w:val="en-US" w:eastAsia="zh-CN"/>
        </w:rPr>
        <w:t>0%。</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满意度指标2</w:t>
      </w:r>
      <w:r>
        <w:rPr>
          <w:rFonts w:hint="default" w:ascii="Times New Roman" w:hAnsi="Times New Roman" w:eastAsia="仿宋_GB2312" w:cs="Times New Roman"/>
          <w:sz w:val="32"/>
          <w:szCs w:val="32"/>
          <w:highlight w:val="none"/>
        </w:rPr>
        <w:t>：工作人员满意度（%），指标值：&gt;=</w:t>
      </w:r>
      <w:r>
        <w:rPr>
          <w:rFonts w:hint="default" w:ascii="Times New Roman" w:hAnsi="Times New Roman" w:eastAsia="仿宋_GB2312" w:cs="Times New Roman"/>
          <w:sz w:val="32"/>
          <w:szCs w:val="32"/>
          <w:highlight w:val="none"/>
          <w:lang w:val="en-US" w:eastAsia="zh-CN"/>
        </w:rPr>
        <w:t>9</w:t>
      </w:r>
      <w:r>
        <w:rPr>
          <w:rFonts w:hint="default" w:ascii="Times New Roman" w:hAnsi="Times New Roman" w:eastAsia="仿宋_GB2312" w:cs="Times New Roman"/>
          <w:sz w:val="32"/>
          <w:szCs w:val="32"/>
          <w:highlight w:val="none"/>
        </w:rPr>
        <w:t>0%，实际完成值：</w:t>
      </w:r>
      <w:r>
        <w:rPr>
          <w:rFonts w:hint="default" w:ascii="Times New Roman" w:hAnsi="Times New Roman" w:eastAsia="仿宋_GB2312" w:cs="Times New Roman"/>
          <w:sz w:val="32"/>
          <w:szCs w:val="32"/>
          <w:highlight w:val="none"/>
          <w:lang w:val="en-US" w:eastAsia="zh-CN"/>
        </w:rPr>
        <w:t>90%</w:t>
      </w:r>
      <w:r>
        <w:rPr>
          <w:rFonts w:hint="default" w:ascii="Times New Roman" w:hAnsi="Times New Roman" w:eastAsia="仿宋_GB2312" w:cs="Times New Roman"/>
          <w:sz w:val="32"/>
          <w:szCs w:val="32"/>
          <w:highlight w:val="none"/>
        </w:rPr>
        <w:t>，指标完成率</w:t>
      </w:r>
      <w:r>
        <w:rPr>
          <w:rFonts w:hint="default"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，偏差率</w:t>
      </w:r>
      <w:r>
        <w:rPr>
          <w:rFonts w:hint="default" w:ascii="Times New Roman" w:hAnsi="Times New Roman" w:eastAsia="仿宋_GB2312" w:cs="Times New Roman"/>
          <w:sz w:val="32"/>
          <w:szCs w:val="32"/>
          <w:highlight w:val="none"/>
          <w:lang w:val="en-US" w:eastAsia="zh-CN"/>
        </w:rPr>
        <w:t>0%。</w:t>
      </w:r>
    </w:p>
    <w:p>
      <w:pPr>
        <w:pageBreakBefore w:val="0"/>
        <w:numPr>
          <w:ilvl w:val="0"/>
          <w:numId w:val="4"/>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黑体" w:cs="Times New Roman"/>
          <w:sz w:val="32"/>
          <w:szCs w:val="32"/>
          <w:lang w:eastAsia="zh-Hans"/>
        </w:rPr>
      </w:pPr>
      <w:r>
        <w:rPr>
          <w:rFonts w:hint="default" w:ascii="Times New Roman" w:hAnsi="Times New Roman" w:eastAsia="黑体" w:cs="Times New Roman"/>
          <w:sz w:val="32"/>
          <w:szCs w:val="32"/>
          <w:lang w:eastAsia="zh-Hans"/>
        </w:rPr>
        <w:t>预算执行进度与绩效指标总体完成率偏差</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民主党派参政议政</w:t>
      </w:r>
      <w:r>
        <w:rPr>
          <w:rFonts w:hint="default" w:ascii="Times New Roman" w:hAnsi="Times New Roman" w:eastAsia="仿宋_GB2312" w:cs="Times New Roman"/>
          <w:sz w:val="32"/>
          <w:szCs w:val="32"/>
        </w:rPr>
        <w:t>项目年初预算</w:t>
      </w:r>
      <w:r>
        <w:rPr>
          <w:rFonts w:hint="default" w:ascii="Times New Roman" w:hAnsi="Times New Roman" w:eastAsia="仿宋_GB2312" w:cs="Times New Roman"/>
          <w:sz w:val="32"/>
          <w:szCs w:val="32"/>
          <w:lang w:val="en-US" w:eastAsia="zh-CN"/>
        </w:rPr>
        <w:t>30.00</w:t>
      </w:r>
      <w:r>
        <w:rPr>
          <w:rFonts w:hint="default" w:ascii="Times New Roman" w:hAnsi="Times New Roman" w:eastAsia="仿宋_GB2312" w:cs="Times New Roman"/>
          <w:sz w:val="32"/>
          <w:szCs w:val="32"/>
        </w:rPr>
        <w:t>万元，全年预算</w:t>
      </w:r>
      <w:r>
        <w:rPr>
          <w:rFonts w:hint="default" w:ascii="Times New Roman" w:hAnsi="Times New Roman" w:eastAsia="仿宋_GB2312" w:cs="Times New Roman"/>
          <w:sz w:val="32"/>
          <w:szCs w:val="32"/>
          <w:lang w:val="en-US" w:eastAsia="zh-CN"/>
        </w:rPr>
        <w:t>30.00</w:t>
      </w:r>
      <w:r>
        <w:rPr>
          <w:rFonts w:hint="default" w:ascii="Times New Roman" w:hAnsi="Times New Roman" w:eastAsia="仿宋_GB2312" w:cs="Times New Roman"/>
          <w:sz w:val="32"/>
          <w:szCs w:val="32"/>
        </w:rPr>
        <w:t>万元，实际支出</w:t>
      </w:r>
      <w:r>
        <w:rPr>
          <w:rFonts w:hint="default" w:ascii="Times New Roman" w:hAnsi="Times New Roman" w:eastAsia="仿宋_GB2312" w:cs="Times New Roman"/>
          <w:sz w:val="32"/>
          <w:szCs w:val="32"/>
          <w:lang w:val="en-US" w:eastAsia="zh-CN"/>
        </w:rPr>
        <w:t>30.00</w:t>
      </w:r>
      <w:r>
        <w:rPr>
          <w:rFonts w:hint="default" w:ascii="Times New Roman" w:hAnsi="Times New Roman" w:eastAsia="仿宋_GB2312" w:cs="Times New Roman"/>
          <w:sz w:val="32"/>
          <w:szCs w:val="32"/>
        </w:rPr>
        <w:t>万元，预算执行率为</w:t>
      </w:r>
      <w:r>
        <w:rPr>
          <w:rFonts w:hint="default"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%，项目绩效指标总体完成率为</w:t>
      </w:r>
      <w:r>
        <w:rPr>
          <w:rFonts w:hint="eastAsia" w:eastAsia="仿宋_GB2312" w:cs="Times New Roman"/>
          <w:sz w:val="32"/>
          <w:szCs w:val="32"/>
          <w:lang w:val="en-US" w:eastAsia="zh-CN"/>
        </w:rPr>
        <w:t>92.46</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Hans"/>
        </w:rPr>
        <w:t>总体</w:t>
      </w:r>
      <w:r>
        <w:rPr>
          <w:rFonts w:hint="default" w:ascii="Times New Roman" w:hAnsi="Times New Roman" w:eastAsia="仿宋_GB2312" w:cs="Times New Roman"/>
          <w:sz w:val="32"/>
          <w:szCs w:val="32"/>
        </w:rPr>
        <w:t>偏差率为</w:t>
      </w:r>
      <w:r>
        <w:rPr>
          <w:rFonts w:hint="eastAsia" w:eastAsia="仿宋_GB2312" w:cs="Times New Roman"/>
          <w:sz w:val="32"/>
          <w:szCs w:val="32"/>
          <w:lang w:val="en-US" w:eastAsia="zh-CN"/>
        </w:rPr>
        <w:t>7.54</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eastAsia="zh-Hans"/>
        </w:rPr>
        <w:t>偏差</w:t>
      </w:r>
      <w:r>
        <w:rPr>
          <w:rFonts w:hint="default" w:ascii="Times New Roman" w:hAnsi="Times New Roman" w:eastAsia="仿宋_GB2312" w:cs="Times New Roman"/>
          <w:sz w:val="32"/>
          <w:szCs w:val="32"/>
        </w:rPr>
        <w:t>原因</w:t>
      </w:r>
      <w:r>
        <w:rPr>
          <w:rFonts w:hint="default" w:ascii="Times New Roman" w:hAnsi="Times New Roman" w:eastAsia="仿宋_GB2312" w:cs="Times New Roman"/>
          <w:sz w:val="32"/>
          <w:szCs w:val="32"/>
          <w:lang w:val="en-US" w:eastAsia="zh-CN"/>
        </w:rPr>
        <w:t>：一是因为精神文明综合治理奖2022年改由财政追加资金统一支付，不再挤占专项经费，专项经费全额用于保障参政议政工作；二是因疫情及党派换届原因，参政议政外出调研工作比年初计划次数减少，改由委托当地人员调研及调查问卷模式开展。</w:t>
      </w:r>
      <w:r>
        <w:rPr>
          <w:rFonts w:hint="default" w:ascii="Times New Roman" w:hAnsi="Times New Roman" w:eastAsia="仿宋_GB2312" w:cs="Times New Roman"/>
          <w:sz w:val="32"/>
          <w:szCs w:val="32"/>
          <w:lang w:eastAsia="zh-Hans"/>
        </w:rPr>
        <w:t>改进</w:t>
      </w:r>
      <w:r>
        <w:rPr>
          <w:rFonts w:hint="default" w:ascii="Times New Roman" w:hAnsi="Times New Roman" w:eastAsia="仿宋_GB2312" w:cs="Times New Roman"/>
          <w:sz w:val="32"/>
          <w:szCs w:val="32"/>
        </w:rPr>
        <w:t>措施</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根据财政政策变化及时修订绩效指标，确保绩效指标与实际工作高度匹配</w:t>
      </w:r>
      <w:r>
        <w:rPr>
          <w:rFonts w:hint="default" w:ascii="Times New Roman" w:hAnsi="Times New Roman" w:eastAsia="仿宋_GB2312" w:cs="Times New Roman"/>
          <w:sz w:val="32"/>
          <w:szCs w:val="32"/>
        </w:rPr>
        <w:t>。</w:t>
      </w:r>
    </w:p>
    <w:p>
      <w:pPr>
        <w:pageBreakBefore w:val="0"/>
        <w:kinsoku/>
        <w:wordWrap/>
        <w:overflowPunct/>
        <w:topLinePunct w:val="0"/>
        <w:autoSpaceDE/>
        <w:autoSpaceDN/>
        <w:bidi w:val="0"/>
        <w:adjustRightInd/>
        <w:snapToGrid/>
        <w:spacing w:line="560" w:lineRule="exact"/>
        <w:ind w:firstLine="640" w:firstLineChars="200"/>
        <w:textAlignment w:val="auto"/>
        <w:rPr>
          <w:rStyle w:val="17"/>
          <w:rFonts w:hint="default" w:ascii="Times New Roman" w:hAnsi="Times New Roman" w:cs="Times New Roman"/>
          <w:color w:val="auto"/>
        </w:rPr>
      </w:pPr>
      <w:r>
        <w:rPr>
          <w:rFonts w:hint="default" w:ascii="Times New Roman" w:hAnsi="Times New Roman" w:eastAsia="黑体" w:cs="Times New Roman"/>
          <w:sz w:val="32"/>
          <w:szCs w:val="32"/>
          <w:lang w:eastAsia="zh-Hans"/>
        </w:rPr>
        <w:t>六</w:t>
      </w:r>
      <w:r>
        <w:rPr>
          <w:rFonts w:hint="default" w:ascii="Times New Roman" w:hAnsi="Times New Roman" w:eastAsia="黑体" w:cs="Times New Roman"/>
          <w:sz w:val="32"/>
          <w:szCs w:val="32"/>
        </w:rPr>
        <w:t>、主要经验及做法、存在的问题及原因分析</w:t>
      </w:r>
    </w:p>
    <w:p>
      <w:pPr>
        <w:pageBreakBefore w:val="0"/>
        <w:kinsoku/>
        <w:wordWrap/>
        <w:overflowPunct/>
        <w:topLinePunct w:val="0"/>
        <w:autoSpaceDE/>
        <w:autoSpaceDN/>
        <w:bidi w:val="0"/>
        <w:adjustRightInd/>
        <w:snapToGrid/>
        <w:spacing w:line="560" w:lineRule="exact"/>
        <w:ind w:firstLine="627" w:firstLineChars="200"/>
        <w:textAlignment w:val="auto"/>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9"/>
        <w:pageBreakBefore w:val="0"/>
        <w:kinsoku/>
        <w:wordWrap/>
        <w:overflowPunct/>
        <w:topLinePunct w:val="0"/>
        <w:autoSpaceDE/>
        <w:autoSpaceDN/>
        <w:bidi w:val="0"/>
        <w:adjustRightInd/>
        <w:snapToGrid/>
        <w:spacing w:before="0" w:after="0" w:line="560" w:lineRule="exact"/>
        <w:ind w:firstLine="640" w:firstLineChars="200"/>
        <w:jc w:val="left"/>
        <w:textAlignment w:val="auto"/>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pageBreakBefore w:val="0"/>
        <w:numPr>
          <w:ilvl w:val="0"/>
          <w:numId w:val="6"/>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2.因轮岗、调动、等因素使我单位绩效工作人员流动频繁，造成了工作衔接不到位的情况。</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lang w:eastAsia="zh-Hans"/>
        </w:rPr>
        <w:t>七、</w:t>
      </w:r>
      <w:r>
        <w:rPr>
          <w:rFonts w:hint="default" w:ascii="Times New Roman" w:hAnsi="Times New Roman" w:eastAsia="黑体" w:cs="Times New Roman"/>
          <w:sz w:val="32"/>
          <w:szCs w:val="32"/>
        </w:rPr>
        <w:t>有关建议</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cs="Times New Roman"/>
          <w:sz w:val="22"/>
          <w:szCs w:val="28"/>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lang w:eastAsia="zh-Hans"/>
        </w:rPr>
        <w:t>八、</w:t>
      </w:r>
      <w:r>
        <w:rPr>
          <w:rFonts w:hint="default" w:ascii="Times New Roman" w:hAnsi="Times New Roman" w:eastAsia="黑体" w:cs="Times New Roman"/>
          <w:sz w:val="32"/>
          <w:szCs w:val="32"/>
        </w:rPr>
        <w:t>其他需要说</w:t>
      </w:r>
      <w:bookmarkStart w:id="6" w:name="page8"/>
      <w:bookmarkEnd w:id="6"/>
      <w:r>
        <w:rPr>
          <w:rFonts w:hint="default" w:ascii="Times New Roman" w:hAnsi="Times New Roman" w:eastAsia="黑体" w:cs="Times New Roman"/>
          <w:sz w:val="32"/>
          <w:szCs w:val="32"/>
        </w:rPr>
        <w:t>明的问题</w:t>
      </w:r>
    </w:p>
    <w:p>
      <w:pPr>
        <w:pStyle w:val="12"/>
        <w:pageBreakBefore w:val="0"/>
        <w:kinsoku/>
        <w:wordWrap/>
        <w:overflowPunct/>
        <w:topLinePunct w:val="0"/>
        <w:autoSpaceDE/>
        <w:autoSpaceDN/>
        <w:bidi w:val="0"/>
        <w:adjustRightInd/>
        <w:snapToGrid/>
        <w:spacing w:after="0" w:line="560" w:lineRule="exact"/>
        <w:ind w:left="0" w:leftChars="0" w:firstLine="64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Hans"/>
        </w:rPr>
        <w:t>本项目无其他需说明的问题。</w:t>
      </w:r>
    </w:p>
    <w:p>
      <w:pPr>
        <w:pStyle w:val="12"/>
        <w:spacing w:after="0" w:line="560" w:lineRule="exact"/>
        <w:ind w:left="0" w:leftChars="0" w:firstLine="640"/>
        <w:rPr>
          <w:rFonts w:hint="default" w:ascii="Times New Roman" w:hAnsi="Times New Roman" w:eastAsia="仿宋_GB2312" w:cs="Times New Roman"/>
          <w:sz w:val="32"/>
          <w:szCs w:val="32"/>
        </w:rPr>
      </w:pPr>
    </w:p>
    <w:p>
      <w:pPr>
        <w:pStyle w:val="12"/>
        <w:spacing w:after="0" w:line="560" w:lineRule="exact"/>
        <w:ind w:left="0" w:leftChars="0" w:firstLine="640"/>
        <w:rPr>
          <w:rFonts w:hint="default" w:ascii="Times New Roman" w:hAnsi="Times New Roman" w:eastAsia="仿宋_GB2312" w:cs="Times New Roman"/>
          <w:sz w:val="32"/>
          <w:szCs w:val="32"/>
        </w:rPr>
      </w:pPr>
    </w:p>
    <w:p>
      <w:pPr>
        <w:pStyle w:val="12"/>
        <w:spacing w:after="0" w:line="560" w:lineRule="exact"/>
        <w:ind w:left="0" w:leftChars="0" w:firstLine="0" w:firstLineChars="0"/>
        <w:rPr>
          <w:rFonts w:hint="default" w:ascii="Times New Roman" w:hAnsi="Times New Roman" w:eastAsia="仿宋_GB2312" w:cs="Times New Roman"/>
          <w:sz w:val="32"/>
          <w:szCs w:val="32"/>
        </w:rPr>
      </w:pPr>
    </w:p>
    <w:p>
      <w:pPr>
        <w:widowControl/>
        <w:jc w:val="center"/>
        <w:textAlignment w:val="center"/>
        <w:rPr>
          <w:rFonts w:hint="default" w:ascii="Times New Roman" w:hAnsi="Times New Roman" w:eastAsia="方正小标宋简体" w:cs="Times New Roman"/>
          <w:b/>
          <w:kern w:val="0"/>
          <w:sz w:val="32"/>
          <w:szCs w:val="32"/>
          <w:lang w:bidi="ar"/>
        </w:rPr>
        <w:sectPr>
          <w:footerReference r:id="rId3" w:type="default"/>
          <w:pgSz w:w="11906" w:h="16838"/>
          <w:pgMar w:top="1984" w:right="1474" w:bottom="1531" w:left="1474" w:header="851" w:footer="992" w:gutter="0"/>
          <w:pgBorders>
            <w:top w:val="none" w:sz="0" w:space="0"/>
            <w:left w:val="none" w:sz="0" w:space="0"/>
            <w:bottom w:val="none" w:sz="0" w:space="0"/>
            <w:right w:val="none" w:sz="0" w:space="0"/>
          </w:pgBorders>
          <w:cols w:space="425" w:num="1"/>
          <w:docGrid w:type="lines" w:linePitch="312" w:charSpace="0"/>
        </w:sectPr>
      </w:pPr>
    </w:p>
    <w:tbl>
      <w:tblPr>
        <w:tblStyle w:val="13"/>
        <w:tblW w:w="10285" w:type="dxa"/>
        <w:jc w:val="center"/>
        <w:tblLayout w:type="fixed"/>
        <w:tblCellMar>
          <w:top w:w="0" w:type="dxa"/>
          <w:left w:w="0" w:type="dxa"/>
          <w:bottom w:w="0" w:type="dxa"/>
          <w:right w:w="0" w:type="dxa"/>
        </w:tblCellMar>
      </w:tblPr>
      <w:tblGrid>
        <w:gridCol w:w="885"/>
        <w:gridCol w:w="578"/>
        <w:gridCol w:w="954"/>
        <w:gridCol w:w="309"/>
        <w:gridCol w:w="1314"/>
        <w:gridCol w:w="404"/>
        <w:gridCol w:w="1028"/>
        <w:gridCol w:w="1077"/>
        <w:gridCol w:w="3736"/>
      </w:tblGrid>
      <w:tr>
        <w:tblPrEx>
          <w:tblCellMar>
            <w:top w:w="0" w:type="dxa"/>
            <w:left w:w="0" w:type="dxa"/>
            <w:bottom w:w="0" w:type="dxa"/>
            <w:right w:w="0" w:type="dxa"/>
          </w:tblCellMar>
        </w:tblPrEx>
        <w:trPr>
          <w:trHeight w:val="420" w:hRule="atLeast"/>
          <w:jc w:val="center"/>
        </w:trPr>
        <w:tc>
          <w:tcPr>
            <w:tcW w:w="10285" w:type="dxa"/>
            <w:gridSpan w:val="9"/>
            <w:tcBorders>
              <w:top w:val="nil"/>
              <w:left w:val="nil"/>
              <w:bottom w:val="single" w:color="auto" w:sz="4" w:space="0"/>
              <w:right w:val="nil"/>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b/>
                <w:sz w:val="32"/>
                <w:szCs w:val="32"/>
                <w:u w:val="single"/>
              </w:rPr>
            </w:pPr>
            <w:r>
              <w:rPr>
                <w:rFonts w:hint="default" w:ascii="Times New Roman" w:hAnsi="Times New Roman" w:eastAsia="仿宋_GB2312" w:cs="Times New Roman"/>
                <w:b/>
                <w:bCs/>
                <w:i w:val="0"/>
                <w:iCs w:val="0"/>
                <w:color w:val="000000"/>
                <w:kern w:val="0"/>
                <w:sz w:val="32"/>
                <w:szCs w:val="32"/>
                <w:u w:val="none"/>
                <w:lang w:val="en-US" w:eastAsia="zh-CN" w:bidi="ar"/>
              </w:rPr>
              <w:t>项目支出绩效自评表</w:t>
            </w:r>
          </w:p>
        </w:tc>
      </w:tr>
      <w:tr>
        <w:tblPrEx>
          <w:tblCellMar>
            <w:top w:w="0" w:type="dxa"/>
            <w:left w:w="0" w:type="dxa"/>
            <w:bottom w:w="0" w:type="dxa"/>
            <w:right w:w="0" w:type="dxa"/>
          </w:tblCellMar>
        </w:tblPrEx>
        <w:trPr>
          <w:trHeight w:val="454" w:hRule="exact"/>
          <w:jc w:val="center"/>
        </w:trPr>
        <w:tc>
          <w:tcPr>
            <w:tcW w:w="10285" w:type="dxa"/>
            <w:gridSpan w:val="9"/>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22"/>
                <w:szCs w:val="22"/>
              </w:rPr>
            </w:pPr>
            <w:r>
              <w:rPr>
                <w:rFonts w:hint="default" w:ascii="Times New Roman" w:hAnsi="Times New Roman" w:eastAsia="仿宋_GB2312" w:cs="Times New Roman"/>
                <w:i w:val="0"/>
                <w:iCs w:val="0"/>
                <w:color w:val="000000"/>
                <w:kern w:val="0"/>
                <w:sz w:val="20"/>
                <w:szCs w:val="20"/>
                <w:u w:val="none"/>
                <w:lang w:val="en-US" w:eastAsia="zh-CN" w:bidi="ar"/>
              </w:rPr>
              <w:t>(2022年度)</w:t>
            </w:r>
          </w:p>
        </w:tc>
      </w:tr>
      <w:tr>
        <w:tblPrEx>
          <w:tblCellMar>
            <w:top w:w="0" w:type="dxa"/>
            <w:left w:w="0" w:type="dxa"/>
            <w:bottom w:w="0" w:type="dxa"/>
            <w:right w:w="0" w:type="dxa"/>
          </w:tblCellMar>
        </w:tblPrEx>
        <w:trPr>
          <w:trHeight w:val="454" w:hRule="exact"/>
          <w:jc w:val="center"/>
        </w:trPr>
        <w:tc>
          <w:tcPr>
            <w:tcW w:w="88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项目名称</w:t>
            </w:r>
          </w:p>
        </w:tc>
        <w:tc>
          <w:tcPr>
            <w:tcW w:w="9400"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民主党派参政议政</w:t>
            </w:r>
          </w:p>
        </w:tc>
      </w:tr>
      <w:tr>
        <w:tblPrEx>
          <w:tblCellMar>
            <w:top w:w="0" w:type="dxa"/>
            <w:left w:w="0" w:type="dxa"/>
            <w:bottom w:w="0" w:type="dxa"/>
            <w:right w:w="0" w:type="dxa"/>
          </w:tblCellMar>
        </w:tblPrEx>
        <w:trPr>
          <w:trHeight w:val="454" w:hRule="exact"/>
          <w:jc w:val="center"/>
        </w:trPr>
        <w:tc>
          <w:tcPr>
            <w:tcW w:w="88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主管部门</w:t>
            </w:r>
          </w:p>
        </w:tc>
        <w:tc>
          <w:tcPr>
            <w:tcW w:w="4587" w:type="dxa"/>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i w:val="0"/>
                <w:iCs w:val="0"/>
                <w:color w:val="000000"/>
                <w:kern w:val="0"/>
                <w:sz w:val="20"/>
                <w:szCs w:val="20"/>
                <w:u w:val="none"/>
                <w:lang w:val="en-US" w:eastAsia="zh-CN" w:bidi="ar"/>
              </w:rPr>
              <w:t>中国民主建国会新疆维吾尔自治区委员会</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实施单位</w:t>
            </w:r>
          </w:p>
        </w:tc>
        <w:tc>
          <w:tcPr>
            <w:tcW w:w="37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中国民主建国会新疆维吾尔自治区委员会</w:t>
            </w:r>
          </w:p>
        </w:tc>
      </w:tr>
      <w:tr>
        <w:tblPrEx>
          <w:tblCellMar>
            <w:top w:w="0" w:type="dxa"/>
            <w:left w:w="0" w:type="dxa"/>
            <w:bottom w:w="0" w:type="dxa"/>
            <w:right w:w="0" w:type="dxa"/>
          </w:tblCellMar>
        </w:tblPrEx>
        <w:trPr>
          <w:trHeight w:val="454" w:hRule="exact"/>
          <w:jc w:val="center"/>
        </w:trPr>
        <w:tc>
          <w:tcPr>
            <w:tcW w:w="885"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项目资金</w:t>
            </w:r>
            <w:r>
              <w:rPr>
                <w:rFonts w:hint="default" w:ascii="Times New Roman" w:hAnsi="Times New Roman" w:eastAsia="仿宋_GB2312" w:cs="Times New Roman"/>
                <w:i w:val="0"/>
                <w:iCs w:val="0"/>
                <w:color w:val="000000"/>
                <w:kern w:val="0"/>
                <w:sz w:val="20"/>
                <w:szCs w:val="20"/>
                <w:u w:val="none"/>
                <w:lang w:val="en-US" w:eastAsia="zh-CN" w:bidi="ar"/>
              </w:rPr>
              <w:br w:type="textWrapping"/>
            </w:r>
            <w:r>
              <w:rPr>
                <w:rFonts w:hint="default" w:ascii="Times New Roman" w:hAnsi="Times New Roman" w:eastAsia="仿宋_GB2312" w:cs="Times New Roman"/>
                <w:i w:val="0"/>
                <w:iCs w:val="0"/>
                <w:color w:val="000000"/>
                <w:kern w:val="0"/>
                <w:sz w:val="20"/>
                <w:szCs w:val="20"/>
                <w:u w:val="none"/>
                <w:lang w:val="en-US" w:eastAsia="zh-CN" w:bidi="ar"/>
              </w:rPr>
              <w:t>（万元）</w:t>
            </w:r>
          </w:p>
        </w:tc>
        <w:tc>
          <w:tcPr>
            <w:tcW w:w="1841"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rPr>
            </w:pPr>
          </w:p>
        </w:tc>
        <w:tc>
          <w:tcPr>
            <w:tcW w:w="13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年初预算数</w:t>
            </w:r>
          </w:p>
        </w:tc>
        <w:tc>
          <w:tcPr>
            <w:tcW w:w="143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i w:val="0"/>
                <w:iCs w:val="0"/>
                <w:color w:val="000000"/>
                <w:kern w:val="0"/>
                <w:sz w:val="20"/>
                <w:szCs w:val="20"/>
                <w:u w:val="none"/>
                <w:lang w:val="en-US" w:eastAsia="zh-CN" w:bidi="ar"/>
              </w:rPr>
              <w:t>全年预算数</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全年执行数</w:t>
            </w:r>
          </w:p>
        </w:tc>
        <w:tc>
          <w:tcPr>
            <w:tcW w:w="37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执行率</w:t>
            </w:r>
          </w:p>
        </w:tc>
      </w:tr>
      <w:tr>
        <w:tblPrEx>
          <w:tblCellMar>
            <w:top w:w="0" w:type="dxa"/>
            <w:left w:w="0" w:type="dxa"/>
            <w:bottom w:w="0" w:type="dxa"/>
            <w:right w:w="0" w:type="dxa"/>
          </w:tblCellMar>
        </w:tblPrEx>
        <w:trPr>
          <w:trHeight w:val="454" w:hRule="exac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1841"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i w:val="0"/>
                <w:iCs w:val="0"/>
                <w:color w:val="000000"/>
                <w:kern w:val="0"/>
                <w:sz w:val="20"/>
                <w:szCs w:val="20"/>
                <w:u w:val="none"/>
                <w:lang w:val="en-US" w:eastAsia="zh-CN" w:bidi="ar"/>
              </w:rPr>
              <w:t>年度资金总额</w:t>
            </w:r>
          </w:p>
        </w:tc>
        <w:tc>
          <w:tcPr>
            <w:tcW w:w="13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30.00</w:t>
            </w:r>
          </w:p>
        </w:tc>
        <w:tc>
          <w:tcPr>
            <w:tcW w:w="143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i w:val="0"/>
                <w:iCs w:val="0"/>
                <w:color w:val="000000"/>
                <w:kern w:val="0"/>
                <w:sz w:val="20"/>
                <w:szCs w:val="20"/>
                <w:u w:val="none"/>
                <w:lang w:val="en-US" w:eastAsia="zh-CN" w:bidi="ar"/>
              </w:rPr>
              <w:t>30.00</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30.00</w:t>
            </w:r>
          </w:p>
        </w:tc>
        <w:tc>
          <w:tcPr>
            <w:tcW w:w="37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100.00%</w:t>
            </w:r>
          </w:p>
        </w:tc>
      </w:tr>
      <w:tr>
        <w:tblPrEx>
          <w:tblCellMar>
            <w:top w:w="0" w:type="dxa"/>
            <w:left w:w="0" w:type="dxa"/>
            <w:bottom w:w="0" w:type="dxa"/>
            <w:right w:w="0" w:type="dxa"/>
          </w:tblCellMar>
        </w:tblPrEx>
        <w:trPr>
          <w:trHeight w:val="454" w:hRule="exac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1841"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i w:val="0"/>
                <w:iCs w:val="0"/>
                <w:color w:val="000000"/>
                <w:kern w:val="0"/>
                <w:sz w:val="20"/>
                <w:szCs w:val="20"/>
                <w:u w:val="none"/>
                <w:lang w:val="en-US" w:eastAsia="zh-CN" w:bidi="ar"/>
              </w:rPr>
              <w:t>其中：当年财政拨款</w:t>
            </w:r>
          </w:p>
        </w:tc>
        <w:tc>
          <w:tcPr>
            <w:tcW w:w="13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30</w:t>
            </w:r>
          </w:p>
        </w:tc>
        <w:tc>
          <w:tcPr>
            <w:tcW w:w="143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i w:val="0"/>
                <w:iCs w:val="0"/>
                <w:color w:val="000000"/>
                <w:kern w:val="0"/>
                <w:sz w:val="20"/>
                <w:szCs w:val="20"/>
                <w:u w:val="none"/>
                <w:lang w:val="en-US" w:eastAsia="zh-CN" w:bidi="ar"/>
              </w:rPr>
              <w:t>30</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30</w:t>
            </w:r>
          </w:p>
        </w:tc>
        <w:tc>
          <w:tcPr>
            <w:tcW w:w="37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w:t>
            </w:r>
          </w:p>
        </w:tc>
      </w:tr>
      <w:tr>
        <w:tblPrEx>
          <w:tblCellMar>
            <w:top w:w="0" w:type="dxa"/>
            <w:left w:w="0" w:type="dxa"/>
            <w:bottom w:w="0" w:type="dxa"/>
            <w:right w:w="0" w:type="dxa"/>
          </w:tblCellMar>
        </w:tblPrEx>
        <w:trPr>
          <w:trHeight w:val="454" w:hRule="exac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1841"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i w:val="0"/>
                <w:iCs w:val="0"/>
                <w:color w:val="000000"/>
                <w:kern w:val="0"/>
                <w:sz w:val="20"/>
                <w:szCs w:val="20"/>
                <w:u w:val="none"/>
                <w:lang w:val="en-US" w:eastAsia="zh-CN" w:bidi="ar"/>
              </w:rPr>
              <w:t xml:space="preserve">  上年结转资金</w:t>
            </w:r>
          </w:p>
        </w:tc>
        <w:tc>
          <w:tcPr>
            <w:tcW w:w="13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0</w:t>
            </w:r>
          </w:p>
        </w:tc>
        <w:tc>
          <w:tcPr>
            <w:tcW w:w="143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i w:val="0"/>
                <w:iCs w:val="0"/>
                <w:color w:val="000000"/>
                <w:kern w:val="0"/>
                <w:sz w:val="20"/>
                <w:szCs w:val="20"/>
                <w:u w:val="none"/>
                <w:lang w:val="en-US" w:eastAsia="zh-CN" w:bidi="ar"/>
              </w:rPr>
              <w:t>0</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37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w:t>
            </w:r>
          </w:p>
        </w:tc>
      </w:tr>
      <w:tr>
        <w:tblPrEx>
          <w:tblCellMar>
            <w:top w:w="0" w:type="dxa"/>
            <w:left w:w="0" w:type="dxa"/>
            <w:bottom w:w="0" w:type="dxa"/>
            <w:right w:w="0" w:type="dxa"/>
          </w:tblCellMar>
        </w:tblPrEx>
        <w:trPr>
          <w:trHeight w:val="454" w:hRule="exac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1841"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i w:val="0"/>
                <w:iCs w:val="0"/>
                <w:color w:val="000000"/>
                <w:kern w:val="0"/>
                <w:sz w:val="20"/>
                <w:szCs w:val="20"/>
                <w:u w:val="none"/>
                <w:lang w:val="en-US" w:eastAsia="zh-CN" w:bidi="ar"/>
              </w:rPr>
              <w:t xml:space="preserve">  其他资金</w:t>
            </w:r>
          </w:p>
        </w:tc>
        <w:tc>
          <w:tcPr>
            <w:tcW w:w="13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0</w:t>
            </w:r>
          </w:p>
        </w:tc>
        <w:tc>
          <w:tcPr>
            <w:tcW w:w="143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i w:val="0"/>
                <w:iCs w:val="0"/>
                <w:color w:val="000000"/>
                <w:kern w:val="0"/>
                <w:sz w:val="20"/>
                <w:szCs w:val="20"/>
                <w:u w:val="none"/>
                <w:lang w:val="en-US" w:eastAsia="zh-CN" w:bidi="ar"/>
              </w:rPr>
              <w:t>0</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37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w:t>
            </w:r>
          </w:p>
        </w:tc>
      </w:tr>
      <w:tr>
        <w:tblPrEx>
          <w:tblCellMar>
            <w:top w:w="0" w:type="dxa"/>
            <w:left w:w="0" w:type="dxa"/>
            <w:bottom w:w="0" w:type="dxa"/>
            <w:right w:w="0" w:type="dxa"/>
          </w:tblCellMar>
        </w:tblPrEx>
        <w:trPr>
          <w:trHeight w:val="454" w:hRule="exact"/>
          <w:jc w:val="center"/>
        </w:trPr>
        <w:tc>
          <w:tcPr>
            <w:tcW w:w="885"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年度总体目标</w:t>
            </w:r>
          </w:p>
        </w:tc>
        <w:tc>
          <w:tcPr>
            <w:tcW w:w="4587" w:type="dxa"/>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预期目标</w:t>
            </w:r>
          </w:p>
        </w:tc>
        <w:tc>
          <w:tcPr>
            <w:tcW w:w="4813"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实际完成情况</w:t>
            </w:r>
          </w:p>
        </w:tc>
      </w:tr>
      <w:tr>
        <w:tblPrEx>
          <w:tblCellMar>
            <w:top w:w="0" w:type="dxa"/>
            <w:left w:w="0" w:type="dxa"/>
            <w:bottom w:w="0" w:type="dxa"/>
            <w:right w:w="0" w:type="dxa"/>
          </w:tblCellMar>
        </w:tblPrEx>
        <w:trPr>
          <w:trHeight w:val="720" w:hRule="atLeas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4587" w:type="dxa"/>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left"/>
              <w:textAlignment w:val="top"/>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开展重点课题调研，指导专委会调研，参加自治区“两会”、政协专题议政性常委会、双周协商会，参与提案工作，反映社情民意，召开参政议政工作会议，举办骨干会员参政议政培训班，积极履行参政议政职能；完成各项工作任务，保障机关正常运转，提高工作满意度。</w:t>
            </w:r>
          </w:p>
        </w:tc>
        <w:tc>
          <w:tcPr>
            <w:tcW w:w="4813"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left"/>
              <w:textAlignment w:val="top"/>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2022年度开展了4个重点课题调研，指导6个专委会完成了6个调研任务，协助自治区政协委员参加自治区政协十三届一次会议，协助全国政协委员参加全国政协十四届一次会议，按政协专题议政性常委会、双周协商会要求协助相关人员参会6次，上报提案20个，反映社情民意24篇，召开参政议政工作会议暨骨干会员参政议政培训班1期，按照年初既定计划积极履行参政议政职能，完成了各项工作任务，机关运转正常，工作人员及会员满意度有所提高。</w:t>
            </w:r>
          </w:p>
        </w:tc>
      </w:tr>
      <w:tr>
        <w:tblPrEx>
          <w:tblCellMar>
            <w:top w:w="0" w:type="dxa"/>
            <w:left w:w="0" w:type="dxa"/>
            <w:bottom w:w="0" w:type="dxa"/>
            <w:right w:w="0" w:type="dxa"/>
          </w:tblCellMar>
        </w:tblPrEx>
        <w:trPr>
          <w:trHeight w:val="408" w:hRule="atLeast"/>
          <w:jc w:val="center"/>
        </w:trPr>
        <w:tc>
          <w:tcPr>
            <w:tcW w:w="88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57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一级指标</w:t>
            </w:r>
          </w:p>
        </w:tc>
        <w:tc>
          <w:tcPr>
            <w:tcW w:w="95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i w:val="0"/>
                <w:iCs w:val="0"/>
                <w:color w:val="000000"/>
                <w:kern w:val="0"/>
                <w:sz w:val="20"/>
                <w:szCs w:val="20"/>
                <w:u w:val="none"/>
                <w:lang w:val="en-US" w:eastAsia="zh-CN" w:bidi="ar"/>
              </w:rPr>
              <w:t>二级指标</w:t>
            </w:r>
          </w:p>
        </w:tc>
        <w:tc>
          <w:tcPr>
            <w:tcW w:w="2027"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三级指标</w:t>
            </w: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年度指标值</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i w:val="0"/>
                <w:iCs w:val="0"/>
                <w:color w:val="000000"/>
                <w:kern w:val="0"/>
                <w:sz w:val="20"/>
                <w:szCs w:val="20"/>
                <w:u w:val="none"/>
                <w:lang w:val="en-US" w:eastAsia="zh-CN" w:bidi="ar"/>
              </w:rPr>
              <w:t>实际完成值</w:t>
            </w:r>
          </w:p>
        </w:tc>
        <w:tc>
          <w:tcPr>
            <w:tcW w:w="37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偏差原因分析及改进措施</w:t>
            </w:r>
          </w:p>
        </w:tc>
      </w:tr>
      <w:tr>
        <w:tblPrEx>
          <w:tblCellMar>
            <w:top w:w="0" w:type="dxa"/>
            <w:left w:w="0" w:type="dxa"/>
            <w:bottom w:w="0" w:type="dxa"/>
            <w:right w:w="0" w:type="dxa"/>
          </w:tblCellMar>
        </w:tblPrEx>
        <w:trPr>
          <w:trHeight w:val="647" w:hRule="atLeast"/>
          <w:jc w:val="center"/>
        </w:trPr>
        <w:tc>
          <w:tcPr>
            <w:tcW w:w="885"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年度绩效指标完成情况</w:t>
            </w:r>
          </w:p>
        </w:tc>
        <w:tc>
          <w:tcPr>
            <w:tcW w:w="57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产出指标</w:t>
            </w:r>
          </w:p>
        </w:tc>
        <w:tc>
          <w:tcPr>
            <w:tcW w:w="95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i w:val="0"/>
                <w:iCs w:val="0"/>
                <w:color w:val="000000"/>
                <w:kern w:val="0"/>
                <w:sz w:val="20"/>
                <w:szCs w:val="20"/>
                <w:u w:val="none"/>
                <w:lang w:val="en-US" w:eastAsia="zh-CN" w:bidi="ar"/>
              </w:rPr>
              <w:t>数量指标</w:t>
            </w:r>
          </w:p>
        </w:tc>
        <w:tc>
          <w:tcPr>
            <w:tcW w:w="2027"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开展专项课题调研数</w:t>
            </w: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&gt;=4个</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i w:val="0"/>
                <w:iCs w:val="0"/>
                <w:color w:val="000000"/>
                <w:kern w:val="0"/>
                <w:sz w:val="20"/>
                <w:szCs w:val="20"/>
                <w:u w:val="none"/>
                <w:lang w:val="en-US" w:eastAsia="zh-CN" w:bidi="ar"/>
              </w:rPr>
              <w:t>4个</w:t>
            </w:r>
          </w:p>
        </w:tc>
        <w:tc>
          <w:tcPr>
            <w:tcW w:w="37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r>
      <w:tr>
        <w:tblPrEx>
          <w:tblCellMar>
            <w:top w:w="0" w:type="dxa"/>
            <w:left w:w="0" w:type="dxa"/>
            <w:bottom w:w="0" w:type="dxa"/>
            <w:right w:w="0" w:type="dxa"/>
          </w:tblCellMar>
        </w:tblPrEx>
        <w:trPr>
          <w:trHeight w:val="876" w:hRule="atLeas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578"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kern w:val="0"/>
                <w:sz w:val="18"/>
                <w:szCs w:val="18"/>
                <w:lang w:bidi="ar"/>
              </w:rPr>
            </w:pPr>
          </w:p>
        </w:tc>
        <w:tc>
          <w:tcPr>
            <w:tcW w:w="954" w:type="dxa"/>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i w:val="0"/>
                <w:iCs w:val="0"/>
                <w:color w:val="000000"/>
                <w:kern w:val="0"/>
                <w:sz w:val="20"/>
                <w:szCs w:val="20"/>
                <w:u w:val="none"/>
                <w:lang w:val="en-US" w:eastAsia="zh-CN" w:bidi="ar"/>
              </w:rPr>
              <w:t>数量指标</w:t>
            </w:r>
          </w:p>
        </w:tc>
        <w:tc>
          <w:tcPr>
            <w:tcW w:w="2027"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default" w:ascii="Times New Roman" w:hAnsi="Times New Roman" w:eastAsia="仿宋_GB2312" w:cs="Times New Roman"/>
                <w:kern w:val="0"/>
                <w:sz w:val="18"/>
                <w:szCs w:val="18"/>
                <w:lang w:bidi="ar"/>
              </w:rPr>
            </w:pPr>
            <w:r>
              <w:rPr>
                <w:rFonts w:hint="default" w:ascii="Times New Roman" w:hAnsi="Times New Roman" w:eastAsia="仿宋_GB2312" w:cs="Times New Roman"/>
                <w:i w:val="0"/>
                <w:iCs w:val="0"/>
                <w:color w:val="000000"/>
                <w:kern w:val="0"/>
                <w:sz w:val="20"/>
                <w:szCs w:val="20"/>
                <w:u w:val="none"/>
                <w:lang w:val="en-US" w:eastAsia="zh-CN" w:bidi="ar"/>
              </w:rPr>
              <w:t>上报社情民意信息数量</w:t>
            </w: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&gt;=20篇</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i w:val="0"/>
                <w:iCs w:val="0"/>
                <w:color w:val="000000"/>
                <w:kern w:val="0"/>
                <w:sz w:val="20"/>
                <w:szCs w:val="20"/>
                <w:u w:val="none"/>
                <w:lang w:val="en-US" w:eastAsia="zh-CN" w:bidi="ar"/>
              </w:rPr>
              <w:t>20篇</w:t>
            </w:r>
          </w:p>
        </w:tc>
        <w:tc>
          <w:tcPr>
            <w:tcW w:w="37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r>
      <w:tr>
        <w:tblPrEx>
          <w:tblCellMar>
            <w:top w:w="0" w:type="dxa"/>
            <w:left w:w="0" w:type="dxa"/>
            <w:bottom w:w="0" w:type="dxa"/>
            <w:right w:w="0" w:type="dxa"/>
          </w:tblCellMar>
        </w:tblPrEx>
        <w:trPr>
          <w:trHeight w:val="500" w:hRule="atLeas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95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i w:val="0"/>
                <w:iCs w:val="0"/>
                <w:color w:val="000000"/>
                <w:kern w:val="0"/>
                <w:sz w:val="20"/>
                <w:szCs w:val="20"/>
                <w:u w:val="none"/>
                <w:lang w:val="en-US" w:eastAsia="zh-CN" w:bidi="ar"/>
              </w:rPr>
              <w:t>数量指标</w:t>
            </w:r>
          </w:p>
        </w:tc>
        <w:tc>
          <w:tcPr>
            <w:tcW w:w="2027"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提交“两会”大会发言</w:t>
            </w: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&gt;=2个</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i w:val="0"/>
                <w:iCs w:val="0"/>
                <w:color w:val="000000"/>
                <w:kern w:val="0"/>
                <w:sz w:val="20"/>
                <w:szCs w:val="20"/>
                <w:u w:val="none"/>
                <w:lang w:val="en-US" w:eastAsia="zh-CN" w:bidi="ar"/>
              </w:rPr>
              <w:t>2个</w:t>
            </w:r>
          </w:p>
        </w:tc>
        <w:tc>
          <w:tcPr>
            <w:tcW w:w="37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r>
      <w:tr>
        <w:tblPrEx>
          <w:tblCellMar>
            <w:top w:w="0" w:type="dxa"/>
            <w:left w:w="0" w:type="dxa"/>
            <w:bottom w:w="0" w:type="dxa"/>
            <w:right w:w="0" w:type="dxa"/>
          </w:tblCellMar>
        </w:tblPrEx>
        <w:trPr>
          <w:trHeight w:val="560" w:hRule="atLeas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954" w:type="dxa"/>
            <w:tcBorders>
              <w:top w:val="single" w:color="000000"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i w:val="0"/>
                <w:iCs w:val="0"/>
                <w:color w:val="000000"/>
                <w:kern w:val="0"/>
                <w:sz w:val="20"/>
                <w:szCs w:val="20"/>
                <w:u w:val="none"/>
                <w:lang w:val="en-US" w:eastAsia="zh-CN" w:bidi="ar"/>
              </w:rPr>
              <w:t>数量指标</w:t>
            </w:r>
          </w:p>
        </w:tc>
        <w:tc>
          <w:tcPr>
            <w:tcW w:w="2027"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提交“两会”提案</w:t>
            </w: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&gt;=20个</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i w:val="0"/>
                <w:iCs w:val="0"/>
                <w:color w:val="000000"/>
                <w:kern w:val="0"/>
                <w:sz w:val="20"/>
                <w:szCs w:val="20"/>
                <w:u w:val="none"/>
                <w:lang w:val="en-US" w:eastAsia="zh-CN" w:bidi="ar"/>
              </w:rPr>
              <w:t>20个</w:t>
            </w:r>
          </w:p>
        </w:tc>
        <w:tc>
          <w:tcPr>
            <w:tcW w:w="37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r>
      <w:tr>
        <w:tblPrEx>
          <w:tblCellMar>
            <w:top w:w="0" w:type="dxa"/>
            <w:left w:w="0" w:type="dxa"/>
            <w:bottom w:w="0" w:type="dxa"/>
            <w:right w:w="0" w:type="dxa"/>
          </w:tblCellMar>
        </w:tblPrEx>
        <w:trPr>
          <w:trHeight w:val="620" w:hRule="atLeas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578" w:type="dxa"/>
            <w:vMerge w:val="continue"/>
            <w:tcBorders>
              <w:top w:val="single" w:color="000000" w:sz="4" w:space="0"/>
              <w:left w:val="single" w:color="000000" w:sz="4" w:space="0"/>
              <w:right w:val="single" w:color="auto"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95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i w:val="0"/>
                <w:iCs w:val="0"/>
                <w:color w:val="000000"/>
                <w:kern w:val="0"/>
                <w:sz w:val="20"/>
                <w:szCs w:val="20"/>
                <w:u w:val="none"/>
                <w:lang w:val="en-US" w:eastAsia="zh-CN" w:bidi="ar"/>
              </w:rPr>
              <w:t>数量指标</w:t>
            </w:r>
          </w:p>
        </w:tc>
        <w:tc>
          <w:tcPr>
            <w:tcW w:w="2027" w:type="dxa"/>
            <w:gridSpan w:val="3"/>
            <w:tcBorders>
              <w:top w:val="single" w:color="000000" w:sz="4" w:space="0"/>
              <w:left w:val="single" w:color="auto"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印刷刊物、会议材料</w:t>
            </w: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&gt;=2期</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i w:val="0"/>
                <w:iCs w:val="0"/>
                <w:color w:val="000000"/>
                <w:kern w:val="0"/>
                <w:sz w:val="20"/>
                <w:szCs w:val="20"/>
                <w:u w:val="none"/>
                <w:lang w:val="en-US" w:eastAsia="zh-CN" w:bidi="ar"/>
              </w:rPr>
              <w:t>2期</w:t>
            </w:r>
          </w:p>
        </w:tc>
        <w:tc>
          <w:tcPr>
            <w:tcW w:w="37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r>
      <w:tr>
        <w:tblPrEx>
          <w:tblCellMar>
            <w:top w:w="0" w:type="dxa"/>
            <w:left w:w="0" w:type="dxa"/>
            <w:bottom w:w="0" w:type="dxa"/>
            <w:right w:w="0" w:type="dxa"/>
          </w:tblCellMar>
        </w:tblPrEx>
        <w:trPr>
          <w:trHeight w:val="620" w:hRule="atLeas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578" w:type="dxa"/>
            <w:vMerge w:val="continue"/>
            <w:tcBorders>
              <w:left w:val="single" w:color="000000" w:sz="4" w:space="0"/>
              <w:right w:val="single" w:color="auto"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kern w:val="0"/>
                <w:sz w:val="18"/>
                <w:szCs w:val="18"/>
                <w:lang w:bidi="ar"/>
              </w:rPr>
            </w:pPr>
          </w:p>
        </w:tc>
        <w:tc>
          <w:tcPr>
            <w:tcW w:w="95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i w:val="0"/>
                <w:iCs w:val="0"/>
                <w:color w:val="000000"/>
                <w:kern w:val="0"/>
                <w:sz w:val="20"/>
                <w:szCs w:val="20"/>
                <w:u w:val="none"/>
                <w:lang w:val="en-US" w:eastAsia="zh-CN" w:bidi="ar"/>
              </w:rPr>
              <w:t>数量指标</w:t>
            </w:r>
          </w:p>
        </w:tc>
        <w:tc>
          <w:tcPr>
            <w:tcW w:w="2027" w:type="dxa"/>
            <w:gridSpan w:val="3"/>
            <w:tcBorders>
              <w:top w:val="single" w:color="000000" w:sz="4" w:space="0"/>
              <w:left w:val="single" w:color="auto"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default" w:ascii="Times New Roman" w:hAnsi="Times New Roman" w:eastAsia="仿宋_GB2312" w:cs="Times New Roman"/>
                <w:kern w:val="0"/>
                <w:sz w:val="18"/>
                <w:szCs w:val="18"/>
                <w:lang w:bidi="ar"/>
              </w:rPr>
            </w:pPr>
            <w:r>
              <w:rPr>
                <w:rFonts w:hint="default" w:ascii="Times New Roman" w:hAnsi="Times New Roman" w:eastAsia="仿宋_GB2312" w:cs="Times New Roman"/>
                <w:i w:val="0"/>
                <w:iCs w:val="0"/>
                <w:color w:val="000000"/>
                <w:kern w:val="0"/>
                <w:sz w:val="20"/>
                <w:szCs w:val="20"/>
                <w:u w:val="none"/>
                <w:lang w:val="en-US" w:eastAsia="zh-CN" w:bidi="ar"/>
              </w:rPr>
              <w:t>发放精神文明、综合治理奖人数</w:t>
            </w: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&gt;=20人</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i w:val="0"/>
                <w:iCs w:val="0"/>
                <w:color w:val="000000"/>
                <w:kern w:val="0"/>
                <w:sz w:val="20"/>
                <w:szCs w:val="20"/>
                <w:u w:val="none"/>
                <w:lang w:val="en-US" w:eastAsia="zh-CN" w:bidi="ar"/>
              </w:rPr>
              <w:t>0人</w:t>
            </w:r>
          </w:p>
        </w:tc>
        <w:tc>
          <w:tcPr>
            <w:tcW w:w="37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18"/>
                <w:szCs w:val="18"/>
                <w:u w:val="none"/>
                <w:lang w:val="en-US" w:eastAsia="zh-CN" w:bidi="ar"/>
              </w:rPr>
              <w:t>精神文明综合治理奖2022年改由财政追加资金统一支付，不再挤占专项经费，专项经费全额用于保障参政议政工作</w:t>
            </w:r>
            <w:r>
              <w:rPr>
                <w:rFonts w:hint="default" w:ascii="Times New Roman" w:hAnsi="Times New Roman" w:eastAsia="仿宋_GB2312" w:cs="Times New Roman"/>
                <w:i w:val="0"/>
                <w:iCs w:val="0"/>
                <w:color w:val="000000"/>
                <w:kern w:val="0"/>
                <w:sz w:val="20"/>
                <w:szCs w:val="20"/>
                <w:u w:val="none"/>
                <w:lang w:val="en-US" w:eastAsia="zh-CN" w:bidi="ar"/>
              </w:rPr>
              <w:t>。</w:t>
            </w:r>
          </w:p>
        </w:tc>
      </w:tr>
      <w:tr>
        <w:tblPrEx>
          <w:tblCellMar>
            <w:top w:w="0" w:type="dxa"/>
            <w:left w:w="0" w:type="dxa"/>
            <w:bottom w:w="0" w:type="dxa"/>
            <w:right w:w="0" w:type="dxa"/>
          </w:tblCellMar>
        </w:tblPrEx>
        <w:trPr>
          <w:trHeight w:val="620" w:hRule="atLeas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578" w:type="dxa"/>
            <w:vMerge w:val="continue"/>
            <w:tcBorders>
              <w:left w:val="single" w:color="000000" w:sz="4" w:space="0"/>
              <w:right w:val="single" w:color="auto"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kern w:val="0"/>
                <w:sz w:val="18"/>
                <w:szCs w:val="18"/>
                <w:lang w:bidi="ar"/>
              </w:rPr>
            </w:pPr>
          </w:p>
        </w:tc>
        <w:tc>
          <w:tcPr>
            <w:tcW w:w="95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i w:val="0"/>
                <w:iCs w:val="0"/>
                <w:color w:val="000000"/>
                <w:kern w:val="0"/>
                <w:sz w:val="20"/>
                <w:szCs w:val="20"/>
                <w:u w:val="none"/>
                <w:lang w:val="en-US" w:eastAsia="zh-CN" w:bidi="ar"/>
              </w:rPr>
              <w:t>数量指标</w:t>
            </w:r>
          </w:p>
        </w:tc>
        <w:tc>
          <w:tcPr>
            <w:tcW w:w="2027" w:type="dxa"/>
            <w:gridSpan w:val="3"/>
            <w:tcBorders>
              <w:top w:val="single" w:color="000000" w:sz="4" w:space="0"/>
              <w:left w:val="single" w:color="auto"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default" w:ascii="Times New Roman" w:hAnsi="Times New Roman" w:eastAsia="仿宋_GB2312" w:cs="Times New Roman"/>
                <w:kern w:val="0"/>
                <w:sz w:val="18"/>
                <w:szCs w:val="18"/>
                <w:lang w:bidi="ar"/>
              </w:rPr>
            </w:pPr>
            <w:r>
              <w:rPr>
                <w:rFonts w:hint="default" w:ascii="Times New Roman" w:hAnsi="Times New Roman" w:eastAsia="仿宋_GB2312" w:cs="Times New Roman"/>
                <w:i w:val="0"/>
                <w:iCs w:val="0"/>
                <w:color w:val="000000"/>
                <w:kern w:val="0"/>
                <w:sz w:val="20"/>
                <w:szCs w:val="20"/>
                <w:u w:val="none"/>
                <w:lang w:val="en-US" w:eastAsia="zh-CN" w:bidi="ar"/>
              </w:rPr>
              <w:t>聘用人员工资、社保及福利人次</w:t>
            </w: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&gt;=14人次</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i w:val="0"/>
                <w:iCs w:val="0"/>
                <w:color w:val="000000"/>
                <w:kern w:val="0"/>
                <w:sz w:val="20"/>
                <w:szCs w:val="20"/>
                <w:u w:val="none"/>
                <w:lang w:val="en-US" w:eastAsia="zh-CN" w:bidi="ar"/>
              </w:rPr>
              <w:t>14次</w:t>
            </w:r>
          </w:p>
        </w:tc>
        <w:tc>
          <w:tcPr>
            <w:tcW w:w="37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r>
      <w:tr>
        <w:tblPrEx>
          <w:tblCellMar>
            <w:top w:w="0" w:type="dxa"/>
            <w:left w:w="0" w:type="dxa"/>
            <w:bottom w:w="0" w:type="dxa"/>
            <w:right w:w="0" w:type="dxa"/>
          </w:tblCellMar>
        </w:tblPrEx>
        <w:trPr>
          <w:trHeight w:val="620" w:hRule="atLeas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578" w:type="dxa"/>
            <w:vMerge w:val="continue"/>
            <w:tcBorders>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kern w:val="0"/>
                <w:sz w:val="18"/>
                <w:szCs w:val="18"/>
                <w:lang w:bidi="ar"/>
              </w:rPr>
            </w:pPr>
          </w:p>
        </w:tc>
        <w:tc>
          <w:tcPr>
            <w:tcW w:w="95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i w:val="0"/>
                <w:iCs w:val="0"/>
                <w:color w:val="000000"/>
                <w:kern w:val="0"/>
                <w:sz w:val="20"/>
                <w:szCs w:val="20"/>
                <w:u w:val="none"/>
                <w:lang w:val="en-US" w:eastAsia="zh-CN" w:bidi="ar"/>
              </w:rPr>
              <w:t>质量指标</w:t>
            </w:r>
          </w:p>
        </w:tc>
        <w:tc>
          <w:tcPr>
            <w:tcW w:w="2027" w:type="dxa"/>
            <w:gridSpan w:val="3"/>
            <w:tcBorders>
              <w:top w:val="single" w:color="000000" w:sz="4" w:space="0"/>
              <w:left w:val="single" w:color="auto"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default" w:ascii="Times New Roman" w:hAnsi="Times New Roman" w:eastAsia="仿宋_GB2312" w:cs="Times New Roman"/>
                <w:kern w:val="0"/>
                <w:sz w:val="18"/>
                <w:szCs w:val="18"/>
                <w:lang w:bidi="ar"/>
              </w:rPr>
            </w:pPr>
            <w:r>
              <w:rPr>
                <w:rFonts w:hint="default" w:ascii="Times New Roman" w:hAnsi="Times New Roman" w:eastAsia="仿宋_GB2312" w:cs="Times New Roman"/>
                <w:i w:val="0"/>
                <w:iCs w:val="0"/>
                <w:color w:val="000000"/>
                <w:kern w:val="0"/>
                <w:sz w:val="20"/>
                <w:szCs w:val="20"/>
                <w:u w:val="none"/>
                <w:lang w:val="en-US" w:eastAsia="zh-CN" w:bidi="ar"/>
              </w:rPr>
              <w:t>专题课题调研报告提交率（%）</w:t>
            </w: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=100%</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i w:val="0"/>
                <w:iCs w:val="0"/>
                <w:color w:val="000000"/>
                <w:kern w:val="0"/>
                <w:sz w:val="20"/>
                <w:szCs w:val="20"/>
                <w:u w:val="none"/>
                <w:lang w:val="en-US" w:eastAsia="zh-CN" w:bidi="ar"/>
              </w:rPr>
              <w:t>100%</w:t>
            </w:r>
          </w:p>
        </w:tc>
        <w:tc>
          <w:tcPr>
            <w:tcW w:w="37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r>
      <w:tr>
        <w:tblPrEx>
          <w:tblCellMar>
            <w:top w:w="0" w:type="dxa"/>
            <w:left w:w="0" w:type="dxa"/>
            <w:bottom w:w="0" w:type="dxa"/>
            <w:right w:w="0" w:type="dxa"/>
          </w:tblCellMar>
        </w:tblPrEx>
        <w:trPr>
          <w:trHeight w:val="432" w:hRule="atLeas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954" w:type="dxa"/>
            <w:tcBorders>
              <w:top w:val="single" w:color="auto"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i w:val="0"/>
                <w:iCs w:val="0"/>
                <w:color w:val="000000"/>
                <w:kern w:val="0"/>
                <w:sz w:val="20"/>
                <w:szCs w:val="20"/>
                <w:u w:val="none"/>
                <w:lang w:val="en-US" w:eastAsia="zh-CN" w:bidi="ar"/>
              </w:rPr>
              <w:t>质量指标</w:t>
            </w:r>
          </w:p>
        </w:tc>
        <w:tc>
          <w:tcPr>
            <w:tcW w:w="2027"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社情民意信息上报率（%）</w:t>
            </w: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&gt;=90%</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rPr>
            </w:pPr>
            <w:r>
              <w:rPr>
                <w:rFonts w:hint="default" w:ascii="Times New Roman" w:hAnsi="Times New Roman" w:eastAsia="仿宋_GB2312" w:cs="Times New Roman"/>
                <w:i w:val="0"/>
                <w:iCs w:val="0"/>
                <w:color w:val="000000"/>
                <w:kern w:val="0"/>
                <w:sz w:val="20"/>
                <w:szCs w:val="20"/>
                <w:u w:val="none"/>
                <w:lang w:val="en-US" w:eastAsia="zh-CN" w:bidi="ar"/>
              </w:rPr>
              <w:t>90%</w:t>
            </w:r>
          </w:p>
        </w:tc>
        <w:tc>
          <w:tcPr>
            <w:tcW w:w="37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r>
      <w:tr>
        <w:tblPrEx>
          <w:tblCellMar>
            <w:top w:w="0" w:type="dxa"/>
            <w:left w:w="0" w:type="dxa"/>
            <w:bottom w:w="0" w:type="dxa"/>
            <w:right w:w="0" w:type="dxa"/>
          </w:tblCellMar>
        </w:tblPrEx>
        <w:trPr>
          <w:trHeight w:val="432" w:hRule="atLeas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954" w:type="dxa"/>
            <w:tcBorders>
              <w:top w:val="single" w:color="auto"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质量指标</w:t>
            </w:r>
          </w:p>
        </w:tc>
        <w:tc>
          <w:tcPr>
            <w:tcW w:w="2027"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“两会”发言提交率（%）</w:t>
            </w: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=100%</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100%</w:t>
            </w:r>
          </w:p>
        </w:tc>
        <w:tc>
          <w:tcPr>
            <w:tcW w:w="37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r>
      <w:tr>
        <w:tblPrEx>
          <w:tblCellMar>
            <w:top w:w="0" w:type="dxa"/>
            <w:left w:w="0" w:type="dxa"/>
            <w:bottom w:w="0" w:type="dxa"/>
            <w:right w:w="0" w:type="dxa"/>
          </w:tblCellMar>
        </w:tblPrEx>
        <w:trPr>
          <w:trHeight w:val="432" w:hRule="atLeas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954" w:type="dxa"/>
            <w:tcBorders>
              <w:top w:val="single" w:color="auto"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质量指标</w:t>
            </w:r>
          </w:p>
        </w:tc>
        <w:tc>
          <w:tcPr>
            <w:tcW w:w="2027"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“两会”提案立案率（%）</w:t>
            </w: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&gt;=90%</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90%</w:t>
            </w:r>
          </w:p>
        </w:tc>
        <w:tc>
          <w:tcPr>
            <w:tcW w:w="37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r>
      <w:tr>
        <w:tblPrEx>
          <w:tblCellMar>
            <w:top w:w="0" w:type="dxa"/>
            <w:left w:w="0" w:type="dxa"/>
            <w:bottom w:w="0" w:type="dxa"/>
            <w:right w:w="0" w:type="dxa"/>
          </w:tblCellMar>
        </w:tblPrEx>
        <w:trPr>
          <w:trHeight w:val="432" w:hRule="atLeas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954" w:type="dxa"/>
            <w:tcBorders>
              <w:top w:val="single" w:color="auto"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质量指标</w:t>
            </w:r>
          </w:p>
        </w:tc>
        <w:tc>
          <w:tcPr>
            <w:tcW w:w="2027"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期刊资料印刷完成率（%）</w:t>
            </w: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&gt;=80%</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80%</w:t>
            </w:r>
          </w:p>
        </w:tc>
        <w:tc>
          <w:tcPr>
            <w:tcW w:w="37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r>
      <w:tr>
        <w:tblPrEx>
          <w:tblCellMar>
            <w:top w:w="0" w:type="dxa"/>
            <w:left w:w="0" w:type="dxa"/>
            <w:bottom w:w="0" w:type="dxa"/>
            <w:right w:w="0" w:type="dxa"/>
          </w:tblCellMar>
        </w:tblPrEx>
        <w:trPr>
          <w:trHeight w:val="432" w:hRule="atLeas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954" w:type="dxa"/>
            <w:tcBorders>
              <w:top w:val="single" w:color="auto"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质量指标</w:t>
            </w:r>
          </w:p>
        </w:tc>
        <w:tc>
          <w:tcPr>
            <w:tcW w:w="2027"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资金发放准确率（%）</w:t>
            </w: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=100%</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100%</w:t>
            </w:r>
          </w:p>
        </w:tc>
        <w:tc>
          <w:tcPr>
            <w:tcW w:w="37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r>
      <w:tr>
        <w:tblPrEx>
          <w:tblCellMar>
            <w:top w:w="0" w:type="dxa"/>
            <w:left w:w="0" w:type="dxa"/>
            <w:bottom w:w="0" w:type="dxa"/>
            <w:right w:w="0" w:type="dxa"/>
          </w:tblCellMar>
        </w:tblPrEx>
        <w:trPr>
          <w:trHeight w:val="432" w:hRule="atLeas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954" w:type="dxa"/>
            <w:tcBorders>
              <w:top w:val="single" w:color="auto"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时效指标</w:t>
            </w:r>
          </w:p>
        </w:tc>
        <w:tc>
          <w:tcPr>
            <w:tcW w:w="2027"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课题调研工作按期开展率（%）</w:t>
            </w: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&gt;=90%</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90%</w:t>
            </w:r>
          </w:p>
        </w:tc>
        <w:tc>
          <w:tcPr>
            <w:tcW w:w="37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r>
      <w:tr>
        <w:tblPrEx>
          <w:tblCellMar>
            <w:top w:w="0" w:type="dxa"/>
            <w:left w:w="0" w:type="dxa"/>
            <w:bottom w:w="0" w:type="dxa"/>
            <w:right w:w="0" w:type="dxa"/>
          </w:tblCellMar>
        </w:tblPrEx>
        <w:trPr>
          <w:trHeight w:val="432" w:hRule="atLeas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954" w:type="dxa"/>
            <w:tcBorders>
              <w:top w:val="single" w:color="auto"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时效指标</w:t>
            </w:r>
          </w:p>
        </w:tc>
        <w:tc>
          <w:tcPr>
            <w:tcW w:w="2027"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“两会”提案提交及时率（%）</w:t>
            </w: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&gt;=90%</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90%</w:t>
            </w:r>
          </w:p>
        </w:tc>
        <w:tc>
          <w:tcPr>
            <w:tcW w:w="37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r>
      <w:tr>
        <w:tblPrEx>
          <w:tblCellMar>
            <w:top w:w="0" w:type="dxa"/>
            <w:left w:w="0" w:type="dxa"/>
            <w:bottom w:w="0" w:type="dxa"/>
            <w:right w:w="0" w:type="dxa"/>
          </w:tblCellMar>
        </w:tblPrEx>
        <w:trPr>
          <w:trHeight w:val="432" w:hRule="atLeas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954" w:type="dxa"/>
            <w:tcBorders>
              <w:top w:val="single" w:color="auto"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时效指标</w:t>
            </w:r>
          </w:p>
        </w:tc>
        <w:tc>
          <w:tcPr>
            <w:tcW w:w="2027"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资金发放及时率（%）</w:t>
            </w: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&gt;=90%</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90%</w:t>
            </w:r>
          </w:p>
        </w:tc>
        <w:tc>
          <w:tcPr>
            <w:tcW w:w="37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r>
      <w:tr>
        <w:tblPrEx>
          <w:tblCellMar>
            <w:top w:w="0" w:type="dxa"/>
            <w:left w:w="0" w:type="dxa"/>
            <w:bottom w:w="0" w:type="dxa"/>
            <w:right w:w="0" w:type="dxa"/>
          </w:tblCellMar>
        </w:tblPrEx>
        <w:trPr>
          <w:trHeight w:val="432" w:hRule="atLeas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954" w:type="dxa"/>
            <w:tcBorders>
              <w:top w:val="single" w:color="auto"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成本指标</w:t>
            </w:r>
          </w:p>
        </w:tc>
        <w:tc>
          <w:tcPr>
            <w:tcW w:w="2027"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调研交通、差旅费</w:t>
            </w: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&lt;=3万元</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1.77万元</w:t>
            </w:r>
          </w:p>
        </w:tc>
        <w:tc>
          <w:tcPr>
            <w:tcW w:w="37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因疫情及党派换届原因，参政议政外出调研工作比年初计划次数减少，改由委托当地人员调研及调查问卷模式开展。</w:t>
            </w:r>
          </w:p>
        </w:tc>
      </w:tr>
      <w:tr>
        <w:tblPrEx>
          <w:tblCellMar>
            <w:top w:w="0" w:type="dxa"/>
            <w:left w:w="0" w:type="dxa"/>
            <w:bottom w:w="0" w:type="dxa"/>
            <w:right w:w="0" w:type="dxa"/>
          </w:tblCellMar>
        </w:tblPrEx>
        <w:trPr>
          <w:trHeight w:val="432" w:hRule="atLeas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954" w:type="dxa"/>
            <w:tcBorders>
              <w:top w:val="single" w:color="auto"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成本指标</w:t>
            </w:r>
          </w:p>
        </w:tc>
        <w:tc>
          <w:tcPr>
            <w:tcW w:w="2027"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刊物、会议资料印刷费</w:t>
            </w: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&lt;=5万元</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2.12万元</w:t>
            </w:r>
          </w:p>
        </w:tc>
        <w:tc>
          <w:tcPr>
            <w:tcW w:w="37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因疫情原因，会议减少，《新疆民建》第2期延时到12月底编印。</w:t>
            </w:r>
          </w:p>
        </w:tc>
      </w:tr>
      <w:tr>
        <w:tblPrEx>
          <w:tblCellMar>
            <w:top w:w="0" w:type="dxa"/>
            <w:left w:w="0" w:type="dxa"/>
            <w:bottom w:w="0" w:type="dxa"/>
            <w:right w:w="0" w:type="dxa"/>
          </w:tblCellMar>
        </w:tblPrEx>
        <w:trPr>
          <w:trHeight w:val="432" w:hRule="atLeas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954" w:type="dxa"/>
            <w:tcBorders>
              <w:top w:val="single" w:color="auto"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成本指标</w:t>
            </w:r>
          </w:p>
        </w:tc>
        <w:tc>
          <w:tcPr>
            <w:tcW w:w="2027"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精神文明、综合治理奖等费用</w:t>
            </w: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&lt;=5.80万元</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0万元</w:t>
            </w:r>
          </w:p>
        </w:tc>
        <w:tc>
          <w:tcPr>
            <w:tcW w:w="37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精神文明综合治理奖2022年改由财政追加资金统一支付，不再挤占专项经费，专项经费全额用于保障参政议政工作。</w:t>
            </w:r>
          </w:p>
        </w:tc>
      </w:tr>
      <w:tr>
        <w:tblPrEx>
          <w:tblCellMar>
            <w:top w:w="0" w:type="dxa"/>
            <w:left w:w="0" w:type="dxa"/>
            <w:bottom w:w="0" w:type="dxa"/>
            <w:right w:w="0" w:type="dxa"/>
          </w:tblCellMar>
        </w:tblPrEx>
        <w:trPr>
          <w:trHeight w:val="432" w:hRule="atLeas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954" w:type="dxa"/>
            <w:tcBorders>
              <w:top w:val="single" w:color="auto"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成本指标</w:t>
            </w:r>
          </w:p>
        </w:tc>
        <w:tc>
          <w:tcPr>
            <w:tcW w:w="2027"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聘用人员工资、社保及福利费用</w:t>
            </w: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&lt;=7.2万元</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7.2万元</w:t>
            </w:r>
          </w:p>
        </w:tc>
        <w:tc>
          <w:tcPr>
            <w:tcW w:w="37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default" w:ascii="Times New Roman" w:hAnsi="Times New Roman" w:eastAsia="仿宋_GB2312" w:cs="Times New Roman"/>
                <w:sz w:val="18"/>
                <w:szCs w:val="18"/>
              </w:rPr>
            </w:pPr>
          </w:p>
        </w:tc>
      </w:tr>
      <w:tr>
        <w:tblPrEx>
          <w:tblCellMar>
            <w:top w:w="0" w:type="dxa"/>
            <w:left w:w="0" w:type="dxa"/>
            <w:bottom w:w="0" w:type="dxa"/>
            <w:right w:w="0" w:type="dxa"/>
          </w:tblCellMar>
        </w:tblPrEx>
        <w:trPr>
          <w:trHeight w:val="432" w:hRule="atLeas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954" w:type="dxa"/>
            <w:tcBorders>
              <w:top w:val="single" w:color="auto"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成本指标</w:t>
            </w:r>
          </w:p>
        </w:tc>
        <w:tc>
          <w:tcPr>
            <w:tcW w:w="2027"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机关运行费用</w:t>
            </w: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&lt;=9万元</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18.91万元</w:t>
            </w:r>
          </w:p>
        </w:tc>
        <w:tc>
          <w:tcPr>
            <w:tcW w:w="37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精神文明综合治理奖2022年改由财政追加资金统一支付，不再挤占专项经费，专项经费全额用于保障参政议政工作。</w:t>
            </w:r>
          </w:p>
        </w:tc>
      </w:tr>
      <w:tr>
        <w:tblPrEx>
          <w:tblCellMar>
            <w:top w:w="0" w:type="dxa"/>
            <w:left w:w="0" w:type="dxa"/>
            <w:bottom w:w="0" w:type="dxa"/>
            <w:right w:w="0" w:type="dxa"/>
          </w:tblCellMar>
        </w:tblPrEx>
        <w:trPr>
          <w:trHeight w:val="432" w:hRule="atLeas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57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效益指标</w:t>
            </w:r>
          </w:p>
        </w:tc>
        <w:tc>
          <w:tcPr>
            <w:tcW w:w="954" w:type="dxa"/>
            <w:tcBorders>
              <w:top w:val="single" w:color="auto"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经济效益指标</w:t>
            </w:r>
          </w:p>
        </w:tc>
        <w:tc>
          <w:tcPr>
            <w:tcW w:w="2027"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default" w:ascii="Times New Roman" w:hAnsi="Times New Roman" w:eastAsia="仿宋_GB2312" w:cs="Times New Roman"/>
                <w:i w:val="0"/>
                <w:iCs w:val="0"/>
                <w:color w:val="000000"/>
                <w:kern w:val="0"/>
                <w:sz w:val="20"/>
                <w:szCs w:val="20"/>
                <w:u w:val="none"/>
                <w:lang w:val="en-US" w:eastAsia="zh-CN" w:bidi="ar"/>
              </w:rPr>
            </w:pP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i w:val="0"/>
                <w:iCs w:val="0"/>
                <w:color w:val="000000"/>
                <w:kern w:val="0"/>
                <w:sz w:val="20"/>
                <w:szCs w:val="20"/>
                <w:u w:val="none"/>
                <w:lang w:val="en-US" w:eastAsia="zh-CN" w:bidi="ar"/>
              </w:rPr>
            </w:pP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i w:val="0"/>
                <w:iCs w:val="0"/>
                <w:color w:val="000000"/>
                <w:kern w:val="0"/>
                <w:sz w:val="20"/>
                <w:szCs w:val="20"/>
                <w:u w:val="none"/>
                <w:lang w:val="en-US" w:eastAsia="zh-CN" w:bidi="ar"/>
              </w:rPr>
            </w:pPr>
          </w:p>
        </w:tc>
        <w:tc>
          <w:tcPr>
            <w:tcW w:w="37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r>
      <w:tr>
        <w:tblPrEx>
          <w:tblCellMar>
            <w:top w:w="0" w:type="dxa"/>
            <w:left w:w="0" w:type="dxa"/>
            <w:bottom w:w="0" w:type="dxa"/>
            <w:right w:w="0" w:type="dxa"/>
          </w:tblCellMar>
        </w:tblPrEx>
        <w:trPr>
          <w:trHeight w:val="432" w:hRule="atLeas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954" w:type="dxa"/>
            <w:tcBorders>
              <w:top w:val="single" w:color="auto"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社会效益指标</w:t>
            </w:r>
          </w:p>
        </w:tc>
        <w:tc>
          <w:tcPr>
            <w:tcW w:w="2027"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提案已解决或被采纳率（%）</w:t>
            </w: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&gt;=80%</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80%</w:t>
            </w:r>
          </w:p>
        </w:tc>
        <w:tc>
          <w:tcPr>
            <w:tcW w:w="37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r>
      <w:tr>
        <w:tblPrEx>
          <w:tblCellMar>
            <w:top w:w="0" w:type="dxa"/>
            <w:left w:w="0" w:type="dxa"/>
            <w:bottom w:w="0" w:type="dxa"/>
            <w:right w:w="0" w:type="dxa"/>
          </w:tblCellMar>
        </w:tblPrEx>
        <w:trPr>
          <w:trHeight w:val="432" w:hRule="atLeas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954" w:type="dxa"/>
            <w:tcBorders>
              <w:top w:val="single" w:color="auto"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社会效益指标</w:t>
            </w:r>
          </w:p>
        </w:tc>
        <w:tc>
          <w:tcPr>
            <w:tcW w:w="2027"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加强民建会员思想教育工作</w:t>
            </w: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明显加强</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明显加强</w:t>
            </w:r>
          </w:p>
        </w:tc>
        <w:tc>
          <w:tcPr>
            <w:tcW w:w="37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r>
      <w:tr>
        <w:tblPrEx>
          <w:tblCellMar>
            <w:top w:w="0" w:type="dxa"/>
            <w:left w:w="0" w:type="dxa"/>
            <w:bottom w:w="0" w:type="dxa"/>
            <w:right w:w="0" w:type="dxa"/>
          </w:tblCellMar>
        </w:tblPrEx>
        <w:trPr>
          <w:trHeight w:val="432" w:hRule="atLeas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954" w:type="dxa"/>
            <w:tcBorders>
              <w:top w:val="single" w:color="auto"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生态效益指标</w:t>
            </w:r>
          </w:p>
        </w:tc>
        <w:tc>
          <w:tcPr>
            <w:tcW w:w="2027"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default" w:ascii="Times New Roman" w:hAnsi="Times New Roman" w:eastAsia="仿宋_GB2312" w:cs="Times New Roman"/>
                <w:i w:val="0"/>
                <w:iCs w:val="0"/>
                <w:color w:val="000000"/>
                <w:kern w:val="0"/>
                <w:sz w:val="20"/>
                <w:szCs w:val="20"/>
                <w:u w:val="none"/>
                <w:lang w:val="en-US" w:eastAsia="zh-CN" w:bidi="ar"/>
              </w:rPr>
            </w:pP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i w:val="0"/>
                <w:iCs w:val="0"/>
                <w:color w:val="000000"/>
                <w:kern w:val="0"/>
                <w:sz w:val="20"/>
                <w:szCs w:val="20"/>
                <w:u w:val="none"/>
                <w:lang w:val="en-US" w:eastAsia="zh-CN" w:bidi="ar"/>
              </w:rPr>
            </w:pP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i w:val="0"/>
                <w:iCs w:val="0"/>
                <w:color w:val="000000"/>
                <w:kern w:val="0"/>
                <w:sz w:val="20"/>
                <w:szCs w:val="20"/>
                <w:u w:val="none"/>
                <w:lang w:val="en-US" w:eastAsia="zh-CN" w:bidi="ar"/>
              </w:rPr>
            </w:pPr>
          </w:p>
        </w:tc>
        <w:tc>
          <w:tcPr>
            <w:tcW w:w="37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r>
      <w:tr>
        <w:tblPrEx>
          <w:tblCellMar>
            <w:top w:w="0" w:type="dxa"/>
            <w:left w:w="0" w:type="dxa"/>
            <w:bottom w:w="0" w:type="dxa"/>
            <w:right w:w="0" w:type="dxa"/>
          </w:tblCellMar>
        </w:tblPrEx>
        <w:trPr>
          <w:trHeight w:val="432" w:hRule="atLeas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954" w:type="dxa"/>
            <w:tcBorders>
              <w:top w:val="single" w:color="auto"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可持续影响指标</w:t>
            </w:r>
          </w:p>
        </w:tc>
        <w:tc>
          <w:tcPr>
            <w:tcW w:w="2027"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default" w:ascii="Times New Roman" w:hAnsi="Times New Roman" w:eastAsia="仿宋_GB2312" w:cs="Times New Roman"/>
                <w:i w:val="0"/>
                <w:iCs w:val="0"/>
                <w:color w:val="000000"/>
                <w:kern w:val="0"/>
                <w:sz w:val="20"/>
                <w:szCs w:val="20"/>
                <w:u w:val="none"/>
                <w:lang w:val="en-US" w:eastAsia="zh-CN" w:bidi="ar"/>
              </w:rPr>
            </w:pP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i w:val="0"/>
                <w:iCs w:val="0"/>
                <w:color w:val="000000"/>
                <w:kern w:val="0"/>
                <w:sz w:val="20"/>
                <w:szCs w:val="20"/>
                <w:u w:val="none"/>
                <w:lang w:val="en-US" w:eastAsia="zh-CN" w:bidi="ar"/>
              </w:rPr>
            </w:pP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i w:val="0"/>
                <w:iCs w:val="0"/>
                <w:color w:val="000000"/>
                <w:kern w:val="0"/>
                <w:sz w:val="20"/>
                <w:szCs w:val="20"/>
                <w:u w:val="none"/>
                <w:lang w:val="en-US" w:eastAsia="zh-CN" w:bidi="ar"/>
              </w:rPr>
            </w:pPr>
          </w:p>
        </w:tc>
        <w:tc>
          <w:tcPr>
            <w:tcW w:w="37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r>
      <w:tr>
        <w:tblPrEx>
          <w:tblCellMar>
            <w:top w:w="0" w:type="dxa"/>
            <w:left w:w="0" w:type="dxa"/>
            <w:bottom w:w="0" w:type="dxa"/>
            <w:right w:w="0" w:type="dxa"/>
          </w:tblCellMar>
        </w:tblPrEx>
        <w:trPr>
          <w:trHeight w:val="432" w:hRule="atLeas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57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满意度指标</w:t>
            </w:r>
          </w:p>
        </w:tc>
        <w:tc>
          <w:tcPr>
            <w:tcW w:w="954" w:type="dxa"/>
            <w:tcBorders>
              <w:top w:val="single" w:color="auto"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满意度指标</w:t>
            </w:r>
          </w:p>
        </w:tc>
        <w:tc>
          <w:tcPr>
            <w:tcW w:w="2027"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会员满意度（%）</w:t>
            </w: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&gt;=80%</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80%</w:t>
            </w:r>
          </w:p>
        </w:tc>
        <w:tc>
          <w:tcPr>
            <w:tcW w:w="37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sz w:val="18"/>
                <w:szCs w:val="18"/>
              </w:rPr>
            </w:pPr>
            <w:r>
              <w:rPr>
                <w:rFonts w:hint="default" w:ascii="Times New Roman" w:hAnsi="Times New Roman" w:eastAsia="仿宋_GB2312" w:cs="Times New Roman"/>
                <w:i w:val="0"/>
                <w:iCs w:val="0"/>
                <w:color w:val="000000"/>
                <w:kern w:val="0"/>
                <w:sz w:val="20"/>
                <w:szCs w:val="20"/>
                <w:u w:val="none"/>
                <w:lang w:val="en-US" w:eastAsia="zh-CN" w:bidi="ar"/>
              </w:rPr>
              <w:t xml:space="preserve"> </w:t>
            </w:r>
          </w:p>
        </w:tc>
      </w:tr>
      <w:tr>
        <w:tblPrEx>
          <w:tblCellMar>
            <w:top w:w="0" w:type="dxa"/>
            <w:left w:w="0" w:type="dxa"/>
            <w:bottom w:w="0" w:type="dxa"/>
            <w:right w:w="0" w:type="dxa"/>
          </w:tblCellMar>
        </w:tblPrEx>
        <w:trPr>
          <w:trHeight w:val="432" w:hRule="atLeas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c>
          <w:tcPr>
            <w:tcW w:w="954" w:type="dxa"/>
            <w:tcBorders>
              <w:top w:val="single" w:color="auto"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满意度指标</w:t>
            </w:r>
          </w:p>
        </w:tc>
        <w:tc>
          <w:tcPr>
            <w:tcW w:w="2027"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工作人员满意度（%）</w:t>
            </w:r>
          </w:p>
        </w:tc>
        <w:tc>
          <w:tcPr>
            <w:tcW w:w="10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&gt;=90%</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90%</w:t>
            </w:r>
          </w:p>
        </w:tc>
        <w:tc>
          <w:tcPr>
            <w:tcW w:w="37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仿宋_GB2312" w:cs="Times New Roman"/>
                <w:sz w:val="18"/>
                <w:szCs w:val="18"/>
              </w:rPr>
            </w:pPr>
          </w:p>
        </w:tc>
      </w:tr>
    </w:tbl>
    <w:p>
      <w:pPr>
        <w:spacing w:line="600" w:lineRule="exact"/>
        <w:rPr>
          <w:rFonts w:hint="default" w:ascii="Times New Roman" w:hAnsi="Times New Roman" w:eastAsia="黑体" w:cs="Times New Roman"/>
          <w:bCs/>
          <w:sz w:val="32"/>
          <w:szCs w:val="32"/>
        </w:rPr>
      </w:pPr>
    </w:p>
    <w:p>
      <w:pPr>
        <w:spacing w:line="600" w:lineRule="exact"/>
        <w:rPr>
          <w:rFonts w:hint="default" w:ascii="Times New Roman" w:hAnsi="Times New Roman" w:eastAsia="黑体" w:cs="Times New Roman"/>
          <w:highlight w:val="none"/>
        </w:rPr>
      </w:pPr>
      <w:r>
        <w:rPr>
          <w:rFonts w:hint="default" w:ascii="Times New Roman" w:hAnsi="Times New Roman" w:eastAsia="黑体" w:cs="Times New Roman"/>
          <w:bCs/>
          <w:sz w:val="32"/>
          <w:szCs w:val="32"/>
        </w:rPr>
        <w:t>附件1</w:t>
      </w:r>
    </w:p>
    <w:p>
      <w:pPr>
        <w:pStyle w:val="18"/>
        <w:keepNext w:val="0"/>
        <w:keepLines w:val="0"/>
        <w:pageBreakBefore w:val="0"/>
        <w:widowControl w:val="0"/>
        <w:kinsoku/>
        <w:wordWrap/>
        <w:overflowPunct/>
        <w:topLinePunct w:val="0"/>
        <w:autoSpaceDE/>
        <w:autoSpaceDN/>
        <w:bidi w:val="0"/>
        <w:adjustRightInd/>
        <w:snapToGrid/>
        <w:spacing w:after="157" w:afterLines="50" w:line="600" w:lineRule="exact"/>
        <w:ind w:firstLine="561"/>
        <w:jc w:val="center"/>
        <w:textAlignment w:val="auto"/>
        <w:rPr>
          <w:rFonts w:hint="default" w:ascii="Times New Roman" w:hAnsi="Times New Roman" w:cs="Times New Roman"/>
          <w:sz w:val="32"/>
          <w:szCs w:val="32"/>
        </w:rPr>
      </w:pPr>
      <w:r>
        <w:rPr>
          <w:rFonts w:hint="default" w:ascii="Times New Roman" w:hAnsi="Times New Roman" w:eastAsia="方正小标宋简体" w:cs="Times New Roman"/>
          <w:b w:val="0"/>
          <w:bCs w:val="0"/>
          <w:sz w:val="32"/>
          <w:szCs w:val="32"/>
          <w:highlight w:val="none"/>
          <w:lang w:val="en-US" w:eastAsia="zh-CN"/>
        </w:rPr>
        <w:t>民主党派参政议政项目</w:t>
      </w:r>
      <w:r>
        <w:rPr>
          <w:rFonts w:hint="default" w:ascii="Times New Roman" w:hAnsi="Times New Roman" w:eastAsia="方正小标宋简体" w:cs="Times New Roman"/>
          <w:b w:val="0"/>
          <w:bCs w:val="0"/>
          <w:sz w:val="32"/>
          <w:szCs w:val="32"/>
          <w:highlight w:val="none"/>
        </w:rPr>
        <w:t>绩</w:t>
      </w:r>
      <w:r>
        <w:rPr>
          <w:rFonts w:hint="default" w:ascii="Times New Roman" w:hAnsi="Times New Roman" w:eastAsia="方正小标宋简体" w:cs="Times New Roman"/>
          <w:b w:val="0"/>
          <w:bCs w:val="0"/>
          <w:sz w:val="32"/>
          <w:szCs w:val="32"/>
        </w:rPr>
        <w:t>效评价指标体系及综合评分表</w:t>
      </w:r>
    </w:p>
    <w:tbl>
      <w:tblPr>
        <w:tblStyle w:val="13"/>
        <w:tblW w:w="999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511"/>
        <w:gridCol w:w="467"/>
        <w:gridCol w:w="538"/>
        <w:gridCol w:w="1894"/>
        <w:gridCol w:w="4833"/>
        <w:gridCol w:w="875"/>
        <w:gridCol w:w="875"/>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92" w:hRule="atLeast"/>
          <w:tblHeader/>
          <w:jc w:val="center"/>
        </w:trPr>
        <w:tc>
          <w:tcPr>
            <w:tcW w:w="511"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rPr>
            </w:pPr>
            <w:r>
              <w:rPr>
                <w:rFonts w:hint="default" w:ascii="Times New Roman" w:hAnsi="Times New Roman" w:eastAsia="仿宋_GB2312" w:cs="Times New Roman"/>
                <w:b/>
                <w:bCs/>
                <w:color w:val="auto"/>
                <w:kern w:val="0"/>
                <w:sz w:val="21"/>
                <w:szCs w:val="21"/>
                <w:highlight w:val="none"/>
                <w:shd w:val="clear" w:color="auto" w:fill="auto"/>
              </w:rPr>
              <w:t>一级指标</w:t>
            </w:r>
          </w:p>
        </w:tc>
        <w:tc>
          <w:tcPr>
            <w:tcW w:w="467"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rPr>
            </w:pPr>
            <w:r>
              <w:rPr>
                <w:rFonts w:hint="default" w:ascii="Times New Roman" w:hAnsi="Times New Roman" w:eastAsia="仿宋_GB2312" w:cs="Times New Roman"/>
                <w:b/>
                <w:bCs/>
                <w:color w:val="auto"/>
                <w:kern w:val="0"/>
                <w:sz w:val="21"/>
                <w:szCs w:val="21"/>
                <w:highlight w:val="none"/>
                <w:shd w:val="clear" w:color="auto" w:fill="auto"/>
              </w:rPr>
              <w:t>二级指标</w:t>
            </w:r>
          </w:p>
        </w:tc>
        <w:tc>
          <w:tcPr>
            <w:tcW w:w="538"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rPr>
            </w:pPr>
            <w:r>
              <w:rPr>
                <w:rFonts w:hint="default" w:ascii="Times New Roman" w:hAnsi="Times New Roman" w:eastAsia="仿宋_GB2312" w:cs="Times New Roman"/>
                <w:b/>
                <w:bCs/>
                <w:color w:val="auto"/>
                <w:kern w:val="0"/>
                <w:sz w:val="21"/>
                <w:szCs w:val="21"/>
                <w:highlight w:val="none"/>
                <w:shd w:val="clear" w:color="auto" w:fill="auto"/>
              </w:rPr>
              <w:t>三级指标</w:t>
            </w:r>
          </w:p>
        </w:tc>
        <w:tc>
          <w:tcPr>
            <w:tcW w:w="1894"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rPr>
            </w:pPr>
            <w:r>
              <w:rPr>
                <w:rFonts w:hint="default" w:ascii="Times New Roman" w:hAnsi="Times New Roman" w:eastAsia="仿宋_GB2312" w:cs="Times New Roman"/>
                <w:b/>
                <w:bCs/>
                <w:color w:val="auto"/>
                <w:kern w:val="0"/>
                <w:sz w:val="21"/>
                <w:szCs w:val="21"/>
                <w:highlight w:val="none"/>
                <w:shd w:val="clear" w:color="auto" w:fill="auto"/>
              </w:rPr>
              <w:t>指标解释</w:t>
            </w:r>
          </w:p>
        </w:tc>
        <w:tc>
          <w:tcPr>
            <w:tcW w:w="4833"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rPr>
            </w:pPr>
            <w:r>
              <w:rPr>
                <w:rFonts w:hint="default" w:ascii="Times New Roman" w:hAnsi="Times New Roman" w:eastAsia="仿宋_GB2312" w:cs="Times New Roman"/>
                <w:b/>
                <w:bCs/>
                <w:color w:val="auto"/>
                <w:kern w:val="0"/>
                <w:sz w:val="21"/>
                <w:szCs w:val="21"/>
                <w:highlight w:val="none"/>
                <w:shd w:val="clear" w:color="auto" w:fill="auto"/>
              </w:rPr>
              <w:t>指标说明</w:t>
            </w:r>
          </w:p>
        </w:tc>
        <w:tc>
          <w:tcPr>
            <w:tcW w:w="875"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rPr>
            </w:pPr>
            <w:r>
              <w:rPr>
                <w:rFonts w:hint="default" w:ascii="Times New Roman" w:hAnsi="Times New Roman" w:eastAsia="仿宋_GB2312" w:cs="Times New Roman"/>
                <w:b/>
                <w:bCs/>
                <w:color w:val="auto"/>
                <w:kern w:val="0"/>
                <w:sz w:val="21"/>
                <w:szCs w:val="21"/>
                <w:highlight w:val="none"/>
                <w:shd w:val="clear" w:color="auto" w:fill="auto"/>
              </w:rPr>
              <w:t>权重</w:t>
            </w:r>
          </w:p>
        </w:tc>
        <w:tc>
          <w:tcPr>
            <w:tcW w:w="875"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rPr>
            </w:pPr>
            <w:r>
              <w:rPr>
                <w:rFonts w:hint="default" w:ascii="Times New Roman" w:hAnsi="Times New Roman" w:eastAsia="仿宋_GB2312" w:cs="Times New Roman"/>
                <w:b/>
                <w:bCs/>
                <w:color w:val="auto"/>
                <w:kern w:val="0"/>
                <w:sz w:val="21"/>
                <w:szCs w:val="21"/>
                <w:highlight w:val="none"/>
                <w:shd w:val="clear" w:color="auto" w:fill="auto"/>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511" w:type="dxa"/>
            <w:vMerge w:val="restart"/>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决策　</w:t>
            </w:r>
          </w:p>
        </w:tc>
        <w:tc>
          <w:tcPr>
            <w:tcW w:w="467" w:type="dxa"/>
            <w:vMerge w:val="restart"/>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项目立项　</w:t>
            </w:r>
          </w:p>
        </w:tc>
        <w:tc>
          <w:tcPr>
            <w:tcW w:w="538" w:type="dxa"/>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立项依据</w:t>
            </w:r>
          </w:p>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充分性</w:t>
            </w:r>
          </w:p>
        </w:tc>
        <w:tc>
          <w:tcPr>
            <w:tcW w:w="1894" w:type="dxa"/>
            <w:shd w:val="clear" w:color="auto" w:fill="auto"/>
            <w:vAlign w:val="center"/>
          </w:tcPr>
          <w:p>
            <w:pPr>
              <w:widowControl/>
              <w:spacing w:line="0" w:lineRule="atLeast"/>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项目立项是否符合法律法规、相关政策、发展规划以及部门职责，用以反映和考核项目立项依据情况。</w:t>
            </w:r>
          </w:p>
        </w:tc>
        <w:tc>
          <w:tcPr>
            <w:tcW w:w="4833" w:type="dxa"/>
            <w:shd w:val="clear" w:color="auto" w:fill="auto"/>
            <w:vAlign w:val="center"/>
          </w:tcPr>
          <w:p>
            <w:pPr>
              <w:widowControl/>
              <w:spacing w:line="0" w:lineRule="atLeast"/>
              <w:jc w:val="left"/>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评价要点：</w:t>
            </w:r>
            <w:r>
              <w:rPr>
                <w:rFonts w:hint="default" w:ascii="Times New Roman" w:hAnsi="Times New Roman" w:eastAsia="仿宋_GB2312" w:cs="Times New Roman"/>
                <w:color w:val="auto"/>
                <w:kern w:val="0"/>
                <w:sz w:val="21"/>
                <w:szCs w:val="21"/>
                <w:highlight w:val="none"/>
                <w:shd w:val="clear" w:color="auto" w:fill="auto"/>
              </w:rPr>
              <w:br w:type="textWrapping"/>
            </w:r>
            <w:r>
              <w:rPr>
                <w:rFonts w:hint="default" w:ascii="Times New Roman" w:hAnsi="Times New Roman" w:eastAsia="仿宋_GB2312" w:cs="Times New Roman"/>
                <w:color w:val="auto"/>
                <w:kern w:val="0"/>
                <w:sz w:val="21"/>
                <w:szCs w:val="21"/>
                <w:highlight w:val="none"/>
                <w:shd w:val="clear" w:color="auto" w:fill="auto"/>
              </w:rPr>
              <w:t>①项目立项是否符合国家法律法规、国民经济发展规划和相关政策；</w:t>
            </w:r>
            <w:r>
              <w:rPr>
                <w:rFonts w:hint="default" w:ascii="Times New Roman" w:hAnsi="Times New Roman" w:eastAsia="仿宋_GB2312" w:cs="Times New Roman"/>
                <w:color w:val="auto"/>
                <w:kern w:val="0"/>
                <w:sz w:val="21"/>
                <w:szCs w:val="21"/>
                <w:highlight w:val="none"/>
                <w:shd w:val="clear" w:color="auto" w:fill="auto"/>
              </w:rPr>
              <w:br w:type="textWrapping"/>
            </w:r>
            <w:r>
              <w:rPr>
                <w:rFonts w:hint="default" w:ascii="Times New Roman" w:hAnsi="Times New Roman" w:eastAsia="仿宋_GB2312" w:cs="Times New Roman"/>
                <w:color w:val="auto"/>
                <w:kern w:val="0"/>
                <w:sz w:val="21"/>
                <w:szCs w:val="21"/>
                <w:highlight w:val="none"/>
                <w:shd w:val="clear" w:color="auto" w:fill="auto"/>
              </w:rPr>
              <w:t>②项目立项是否符合行业发展规划和政策要求；</w:t>
            </w:r>
            <w:r>
              <w:rPr>
                <w:rFonts w:hint="default" w:ascii="Times New Roman" w:hAnsi="Times New Roman" w:eastAsia="仿宋_GB2312" w:cs="Times New Roman"/>
                <w:color w:val="auto"/>
                <w:kern w:val="0"/>
                <w:sz w:val="21"/>
                <w:szCs w:val="21"/>
                <w:highlight w:val="none"/>
                <w:shd w:val="clear" w:color="auto" w:fill="auto"/>
              </w:rPr>
              <w:br w:type="textWrapping"/>
            </w:r>
            <w:r>
              <w:rPr>
                <w:rFonts w:hint="default" w:ascii="Times New Roman" w:hAnsi="Times New Roman" w:eastAsia="仿宋_GB2312" w:cs="Times New Roman"/>
                <w:color w:val="auto"/>
                <w:kern w:val="0"/>
                <w:sz w:val="21"/>
                <w:szCs w:val="21"/>
                <w:highlight w:val="none"/>
                <w:shd w:val="clear" w:color="auto" w:fill="auto"/>
              </w:rPr>
              <w:t>③项目立项是否与部门职责范围相符，属于部门履职所需；</w:t>
            </w:r>
            <w:r>
              <w:rPr>
                <w:rFonts w:hint="default" w:ascii="Times New Roman" w:hAnsi="Times New Roman" w:eastAsia="仿宋_GB2312" w:cs="Times New Roman"/>
                <w:color w:val="auto"/>
                <w:kern w:val="0"/>
                <w:sz w:val="21"/>
                <w:szCs w:val="21"/>
                <w:highlight w:val="none"/>
                <w:shd w:val="clear" w:color="auto" w:fill="auto"/>
              </w:rPr>
              <w:br w:type="textWrapping"/>
            </w:r>
            <w:r>
              <w:rPr>
                <w:rFonts w:hint="default" w:ascii="Times New Roman" w:hAnsi="Times New Roman" w:eastAsia="仿宋_GB2312" w:cs="Times New Roman"/>
                <w:color w:val="auto"/>
                <w:kern w:val="0"/>
                <w:sz w:val="21"/>
                <w:szCs w:val="21"/>
                <w:highlight w:val="none"/>
                <w:shd w:val="clear" w:color="auto" w:fill="auto"/>
              </w:rPr>
              <w:t>④项目是否属于公共财政支持范围，是否符合中央、地方事权支出责任划分原则；</w:t>
            </w:r>
            <w:r>
              <w:rPr>
                <w:rFonts w:hint="default" w:ascii="Times New Roman" w:hAnsi="Times New Roman" w:eastAsia="仿宋_GB2312" w:cs="Times New Roman"/>
                <w:color w:val="auto"/>
                <w:kern w:val="0"/>
                <w:sz w:val="21"/>
                <w:szCs w:val="21"/>
                <w:highlight w:val="none"/>
                <w:shd w:val="clear" w:color="auto" w:fill="auto"/>
              </w:rPr>
              <w:br w:type="textWrapping"/>
            </w:r>
            <w:r>
              <w:rPr>
                <w:rFonts w:hint="default" w:ascii="Times New Roman" w:hAnsi="Times New Roman" w:eastAsia="仿宋_GB2312" w:cs="Times New Roman"/>
                <w:color w:val="auto"/>
                <w:kern w:val="0"/>
                <w:sz w:val="21"/>
                <w:szCs w:val="21"/>
                <w:highlight w:val="none"/>
                <w:shd w:val="clear" w:color="auto" w:fill="auto"/>
              </w:rPr>
              <w:t>⑤项目是否与相关部门同类项目或部门内部相关项目重复。</w:t>
            </w:r>
          </w:p>
        </w:tc>
        <w:tc>
          <w:tcPr>
            <w:tcW w:w="875"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rPr>
            </w:pPr>
            <w:r>
              <w:rPr>
                <w:rFonts w:hint="default" w:ascii="Times New Roman" w:hAnsi="Times New Roman" w:eastAsia="仿宋_GB2312" w:cs="Times New Roman"/>
                <w:b/>
                <w:bCs/>
                <w:color w:val="auto"/>
                <w:kern w:val="0"/>
                <w:sz w:val="21"/>
                <w:szCs w:val="21"/>
                <w:highlight w:val="none"/>
                <w:shd w:val="clear" w:color="auto" w:fill="auto"/>
              </w:rPr>
              <w:t>3</w:t>
            </w:r>
          </w:p>
        </w:tc>
        <w:tc>
          <w:tcPr>
            <w:tcW w:w="875"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lang w:eastAsia="zh-CN"/>
              </w:rPr>
            </w:pPr>
            <w:r>
              <w:rPr>
                <w:rFonts w:hint="default" w:ascii="Times New Roman" w:hAnsi="Times New Roman" w:eastAsia="仿宋_GB2312" w:cs="Times New Roman"/>
                <w:b/>
                <w:bCs/>
                <w:color w:val="auto"/>
                <w:kern w:val="0"/>
                <w:sz w:val="21"/>
                <w:szCs w:val="21"/>
                <w:highlight w:val="none"/>
                <w:shd w:val="clear" w:color="auto" w:fill="auto"/>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511" w:type="dxa"/>
            <w:vMerge w:val="continue"/>
            <w:shd w:val="clear" w:color="auto" w:fill="auto"/>
            <w:vAlign w:val="center"/>
          </w:tcPr>
          <w:p>
            <w:pPr>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tc>
        <w:tc>
          <w:tcPr>
            <w:tcW w:w="467"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tc>
        <w:tc>
          <w:tcPr>
            <w:tcW w:w="538" w:type="dxa"/>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立项程序</w:t>
            </w:r>
          </w:p>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规范性</w:t>
            </w:r>
          </w:p>
        </w:tc>
        <w:tc>
          <w:tcPr>
            <w:tcW w:w="1894" w:type="dxa"/>
            <w:shd w:val="clear" w:color="auto" w:fill="auto"/>
            <w:vAlign w:val="center"/>
          </w:tcPr>
          <w:p>
            <w:pPr>
              <w:widowControl/>
              <w:spacing w:line="0" w:lineRule="atLeast"/>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项目申请、设立过程是否符合相关要求，用以反映和考核项目立项的规范情况。</w:t>
            </w:r>
          </w:p>
        </w:tc>
        <w:tc>
          <w:tcPr>
            <w:tcW w:w="4833" w:type="dxa"/>
            <w:shd w:val="clear" w:color="auto" w:fill="auto"/>
            <w:vAlign w:val="center"/>
          </w:tcPr>
          <w:p>
            <w:pPr>
              <w:widowControl/>
              <w:spacing w:line="0" w:lineRule="atLeast"/>
              <w:jc w:val="left"/>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评价要点：</w:t>
            </w:r>
            <w:r>
              <w:rPr>
                <w:rFonts w:hint="default" w:ascii="Times New Roman" w:hAnsi="Times New Roman" w:eastAsia="仿宋_GB2312" w:cs="Times New Roman"/>
                <w:color w:val="auto"/>
                <w:kern w:val="0"/>
                <w:sz w:val="21"/>
                <w:szCs w:val="21"/>
                <w:highlight w:val="none"/>
                <w:shd w:val="clear" w:color="auto" w:fill="auto"/>
              </w:rPr>
              <w:br w:type="textWrapping"/>
            </w:r>
            <w:r>
              <w:rPr>
                <w:rFonts w:hint="default" w:ascii="Times New Roman" w:hAnsi="Times New Roman" w:eastAsia="仿宋_GB2312" w:cs="Times New Roman"/>
                <w:color w:val="auto"/>
                <w:kern w:val="0"/>
                <w:sz w:val="21"/>
                <w:szCs w:val="21"/>
                <w:highlight w:val="none"/>
                <w:shd w:val="clear" w:color="auto" w:fill="auto"/>
              </w:rPr>
              <w:t>①项目是否按照规定的程序申请设立；</w:t>
            </w:r>
            <w:r>
              <w:rPr>
                <w:rFonts w:hint="default" w:ascii="Times New Roman" w:hAnsi="Times New Roman" w:eastAsia="仿宋_GB2312" w:cs="Times New Roman"/>
                <w:color w:val="auto"/>
                <w:kern w:val="0"/>
                <w:sz w:val="21"/>
                <w:szCs w:val="21"/>
                <w:highlight w:val="none"/>
                <w:shd w:val="clear" w:color="auto" w:fill="auto"/>
              </w:rPr>
              <w:br w:type="textWrapping"/>
            </w:r>
            <w:r>
              <w:rPr>
                <w:rFonts w:hint="default" w:ascii="Times New Roman" w:hAnsi="Times New Roman" w:eastAsia="仿宋_GB2312" w:cs="Times New Roman"/>
                <w:color w:val="auto"/>
                <w:kern w:val="0"/>
                <w:sz w:val="21"/>
                <w:szCs w:val="21"/>
                <w:highlight w:val="none"/>
                <w:shd w:val="clear" w:color="auto" w:fill="auto"/>
              </w:rPr>
              <w:t>②审批文件、材料是否符合相关要求；</w:t>
            </w:r>
            <w:r>
              <w:rPr>
                <w:rFonts w:hint="default" w:ascii="Times New Roman" w:hAnsi="Times New Roman" w:eastAsia="仿宋_GB2312" w:cs="Times New Roman"/>
                <w:color w:val="auto"/>
                <w:kern w:val="0"/>
                <w:sz w:val="21"/>
                <w:szCs w:val="21"/>
                <w:highlight w:val="none"/>
                <w:shd w:val="clear" w:color="auto" w:fill="auto"/>
              </w:rPr>
              <w:br w:type="textWrapping"/>
            </w:r>
            <w:r>
              <w:rPr>
                <w:rFonts w:hint="default" w:ascii="Times New Roman" w:hAnsi="Times New Roman" w:eastAsia="仿宋_GB2312" w:cs="Times New Roman"/>
                <w:color w:val="auto"/>
                <w:kern w:val="0"/>
                <w:sz w:val="21"/>
                <w:szCs w:val="21"/>
                <w:highlight w:val="none"/>
                <w:shd w:val="clear" w:color="auto" w:fill="auto"/>
              </w:rPr>
              <w:t>③事前是否已经过必要的可行性研究、专家论证、风险评估、绩效评估、集体决策。</w:t>
            </w:r>
          </w:p>
        </w:tc>
        <w:tc>
          <w:tcPr>
            <w:tcW w:w="875"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rPr>
            </w:pPr>
            <w:r>
              <w:rPr>
                <w:rFonts w:hint="default" w:ascii="Times New Roman" w:hAnsi="Times New Roman" w:eastAsia="仿宋_GB2312" w:cs="Times New Roman"/>
                <w:b/>
                <w:bCs/>
                <w:color w:val="auto"/>
                <w:kern w:val="0"/>
                <w:sz w:val="21"/>
                <w:szCs w:val="21"/>
                <w:highlight w:val="none"/>
                <w:shd w:val="clear" w:color="auto" w:fill="auto"/>
              </w:rPr>
              <w:t>3</w:t>
            </w:r>
          </w:p>
        </w:tc>
        <w:tc>
          <w:tcPr>
            <w:tcW w:w="875"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lang w:eastAsia="zh-CN"/>
              </w:rPr>
            </w:pPr>
            <w:r>
              <w:rPr>
                <w:rFonts w:hint="default" w:ascii="Times New Roman" w:hAnsi="Times New Roman" w:eastAsia="仿宋_GB2312" w:cs="Times New Roman"/>
                <w:b/>
                <w:bCs/>
                <w:color w:val="auto"/>
                <w:kern w:val="0"/>
                <w:sz w:val="21"/>
                <w:szCs w:val="21"/>
                <w:highlight w:val="none"/>
                <w:shd w:val="clear" w:color="auto" w:fill="auto"/>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511" w:type="dxa"/>
            <w:vMerge w:val="continue"/>
            <w:shd w:val="clear" w:color="auto" w:fill="auto"/>
            <w:vAlign w:val="center"/>
          </w:tcPr>
          <w:p>
            <w:pPr>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tc>
        <w:tc>
          <w:tcPr>
            <w:tcW w:w="467" w:type="dxa"/>
            <w:vMerge w:val="restart"/>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绩效目标　</w:t>
            </w:r>
          </w:p>
        </w:tc>
        <w:tc>
          <w:tcPr>
            <w:tcW w:w="538" w:type="dxa"/>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绩效目标</w:t>
            </w:r>
          </w:p>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合理性</w:t>
            </w:r>
          </w:p>
        </w:tc>
        <w:tc>
          <w:tcPr>
            <w:tcW w:w="1894" w:type="dxa"/>
            <w:shd w:val="clear" w:color="auto" w:fill="auto"/>
            <w:vAlign w:val="center"/>
          </w:tcPr>
          <w:p>
            <w:pPr>
              <w:widowControl/>
              <w:spacing w:line="0" w:lineRule="atLeast"/>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项目所设定的绩效目标是否依据充分，是否符合客观实际，用以反映和考核项目绩效目标与项目实施的相符情况。</w:t>
            </w:r>
          </w:p>
        </w:tc>
        <w:tc>
          <w:tcPr>
            <w:tcW w:w="4833" w:type="dxa"/>
            <w:shd w:val="clear" w:color="auto" w:fill="auto"/>
            <w:vAlign w:val="center"/>
          </w:tcPr>
          <w:p>
            <w:pPr>
              <w:widowControl/>
              <w:spacing w:line="0" w:lineRule="atLeast"/>
              <w:jc w:val="left"/>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评价要点：</w:t>
            </w:r>
            <w:r>
              <w:rPr>
                <w:rFonts w:hint="default" w:ascii="Times New Roman" w:hAnsi="Times New Roman" w:eastAsia="仿宋_GB2312" w:cs="Times New Roman"/>
                <w:color w:val="auto"/>
                <w:kern w:val="0"/>
                <w:sz w:val="21"/>
                <w:szCs w:val="21"/>
                <w:highlight w:val="none"/>
                <w:shd w:val="clear" w:color="auto" w:fill="auto"/>
              </w:rPr>
              <w:br w:type="textWrapping"/>
            </w:r>
            <w:r>
              <w:rPr>
                <w:rFonts w:hint="default" w:ascii="Times New Roman" w:hAnsi="Times New Roman" w:eastAsia="仿宋_GB2312" w:cs="Times New Roman"/>
                <w:color w:val="auto"/>
                <w:kern w:val="0"/>
                <w:sz w:val="21"/>
                <w:szCs w:val="21"/>
                <w:highlight w:val="none"/>
                <w:shd w:val="clear" w:color="auto" w:fill="auto"/>
              </w:rPr>
              <w:t>（如未设定预算绩效目标，也可考核其他工作任务目标）</w:t>
            </w:r>
            <w:r>
              <w:rPr>
                <w:rFonts w:hint="default" w:ascii="Times New Roman" w:hAnsi="Times New Roman" w:eastAsia="仿宋_GB2312" w:cs="Times New Roman"/>
                <w:color w:val="auto"/>
                <w:kern w:val="0"/>
                <w:sz w:val="21"/>
                <w:szCs w:val="21"/>
                <w:highlight w:val="none"/>
                <w:shd w:val="clear" w:color="auto" w:fill="auto"/>
              </w:rPr>
              <w:br w:type="textWrapping"/>
            </w:r>
            <w:r>
              <w:rPr>
                <w:rFonts w:hint="default" w:ascii="Times New Roman" w:hAnsi="Times New Roman" w:eastAsia="仿宋_GB2312" w:cs="Times New Roman"/>
                <w:color w:val="auto"/>
                <w:kern w:val="0"/>
                <w:sz w:val="21"/>
                <w:szCs w:val="21"/>
                <w:highlight w:val="none"/>
                <w:shd w:val="clear" w:color="auto" w:fill="auto"/>
              </w:rPr>
              <w:t>①项目是否有绩效目标；</w:t>
            </w:r>
            <w:r>
              <w:rPr>
                <w:rFonts w:hint="default" w:ascii="Times New Roman" w:hAnsi="Times New Roman" w:eastAsia="仿宋_GB2312" w:cs="Times New Roman"/>
                <w:color w:val="auto"/>
                <w:kern w:val="0"/>
                <w:sz w:val="21"/>
                <w:szCs w:val="21"/>
                <w:highlight w:val="none"/>
                <w:shd w:val="clear" w:color="auto" w:fill="auto"/>
              </w:rPr>
              <w:br w:type="textWrapping"/>
            </w:r>
            <w:r>
              <w:rPr>
                <w:rFonts w:hint="default" w:ascii="Times New Roman" w:hAnsi="Times New Roman" w:eastAsia="仿宋_GB2312" w:cs="Times New Roman"/>
                <w:color w:val="auto"/>
                <w:kern w:val="0"/>
                <w:sz w:val="21"/>
                <w:szCs w:val="21"/>
                <w:highlight w:val="none"/>
                <w:shd w:val="clear" w:color="auto" w:fill="auto"/>
              </w:rPr>
              <w:t>②项目绩效目标与实际工作内容是否具有相关性；</w:t>
            </w:r>
            <w:r>
              <w:rPr>
                <w:rFonts w:hint="default" w:ascii="Times New Roman" w:hAnsi="Times New Roman" w:eastAsia="仿宋_GB2312" w:cs="Times New Roman"/>
                <w:color w:val="auto"/>
                <w:kern w:val="0"/>
                <w:sz w:val="21"/>
                <w:szCs w:val="21"/>
                <w:highlight w:val="none"/>
                <w:shd w:val="clear" w:color="auto" w:fill="auto"/>
              </w:rPr>
              <w:br w:type="textWrapping"/>
            </w:r>
            <w:r>
              <w:rPr>
                <w:rFonts w:hint="default" w:ascii="Times New Roman" w:hAnsi="Times New Roman" w:eastAsia="仿宋_GB2312" w:cs="Times New Roman"/>
                <w:color w:val="auto"/>
                <w:kern w:val="0"/>
                <w:sz w:val="21"/>
                <w:szCs w:val="21"/>
                <w:highlight w:val="none"/>
                <w:shd w:val="clear" w:color="auto" w:fill="auto"/>
              </w:rPr>
              <w:t>③项目预期产出效益和效果是否符合正常的业绩水平；</w:t>
            </w:r>
          </w:p>
          <w:p>
            <w:pPr>
              <w:widowControl/>
              <w:spacing w:line="0" w:lineRule="atLeast"/>
              <w:jc w:val="left"/>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④是否与预算确定的项目投资额或资金量相匹配。</w:t>
            </w:r>
          </w:p>
        </w:tc>
        <w:tc>
          <w:tcPr>
            <w:tcW w:w="875"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rPr>
            </w:pPr>
            <w:r>
              <w:rPr>
                <w:rFonts w:hint="default" w:ascii="Times New Roman" w:hAnsi="Times New Roman" w:eastAsia="仿宋_GB2312" w:cs="Times New Roman"/>
                <w:b/>
                <w:bCs/>
                <w:color w:val="auto"/>
                <w:kern w:val="0"/>
                <w:sz w:val="21"/>
                <w:szCs w:val="21"/>
                <w:highlight w:val="none"/>
                <w:shd w:val="clear" w:color="auto" w:fill="auto"/>
              </w:rPr>
              <w:t>3</w:t>
            </w:r>
          </w:p>
        </w:tc>
        <w:tc>
          <w:tcPr>
            <w:tcW w:w="875"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lang w:eastAsia="zh-CN"/>
              </w:rPr>
            </w:pPr>
            <w:r>
              <w:rPr>
                <w:rFonts w:hint="default" w:ascii="Times New Roman" w:hAnsi="Times New Roman" w:eastAsia="仿宋_GB2312" w:cs="Times New Roman"/>
                <w:b/>
                <w:bCs/>
                <w:color w:val="auto"/>
                <w:kern w:val="0"/>
                <w:sz w:val="21"/>
                <w:szCs w:val="21"/>
                <w:highlight w:val="none"/>
                <w:shd w:val="clear" w:color="auto" w:fill="auto"/>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511"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tc>
        <w:tc>
          <w:tcPr>
            <w:tcW w:w="467"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tc>
        <w:tc>
          <w:tcPr>
            <w:tcW w:w="538" w:type="dxa"/>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绩效指标</w:t>
            </w:r>
          </w:p>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明确性</w:t>
            </w:r>
          </w:p>
        </w:tc>
        <w:tc>
          <w:tcPr>
            <w:tcW w:w="1894" w:type="dxa"/>
            <w:shd w:val="clear" w:color="auto" w:fill="auto"/>
            <w:vAlign w:val="center"/>
          </w:tcPr>
          <w:p>
            <w:pPr>
              <w:widowControl/>
              <w:spacing w:line="0" w:lineRule="atLeast"/>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依据绩效目标设定的绩效指标是否清晰、细化、可衡量等，用以反映和考核项目绩效目标的明细化情况。</w:t>
            </w:r>
          </w:p>
        </w:tc>
        <w:tc>
          <w:tcPr>
            <w:tcW w:w="4833" w:type="dxa"/>
            <w:shd w:val="clear" w:color="auto" w:fill="auto"/>
            <w:vAlign w:val="center"/>
          </w:tcPr>
          <w:p>
            <w:pPr>
              <w:widowControl/>
              <w:spacing w:line="0" w:lineRule="atLeast"/>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评价要点：</w:t>
            </w:r>
            <w:r>
              <w:rPr>
                <w:rFonts w:hint="default" w:ascii="Times New Roman" w:hAnsi="Times New Roman" w:eastAsia="仿宋_GB2312" w:cs="Times New Roman"/>
                <w:color w:val="auto"/>
                <w:kern w:val="0"/>
                <w:sz w:val="21"/>
                <w:szCs w:val="21"/>
                <w:highlight w:val="none"/>
                <w:shd w:val="clear" w:color="auto" w:fill="auto"/>
              </w:rPr>
              <w:br w:type="textWrapping"/>
            </w:r>
            <w:r>
              <w:rPr>
                <w:rFonts w:hint="default" w:ascii="Times New Roman" w:hAnsi="Times New Roman" w:eastAsia="仿宋_GB2312" w:cs="Times New Roman"/>
                <w:color w:val="auto"/>
                <w:kern w:val="0"/>
                <w:sz w:val="21"/>
                <w:szCs w:val="21"/>
                <w:highlight w:val="none"/>
                <w:shd w:val="clear" w:color="auto" w:fill="auto"/>
              </w:rPr>
              <w:t>①是否将项目绩效目标细化分解为具体的绩效指标；</w:t>
            </w:r>
            <w:r>
              <w:rPr>
                <w:rFonts w:hint="default" w:ascii="Times New Roman" w:hAnsi="Times New Roman" w:eastAsia="仿宋_GB2312" w:cs="Times New Roman"/>
                <w:color w:val="auto"/>
                <w:kern w:val="0"/>
                <w:sz w:val="21"/>
                <w:szCs w:val="21"/>
                <w:highlight w:val="none"/>
                <w:shd w:val="clear" w:color="auto" w:fill="auto"/>
              </w:rPr>
              <w:br w:type="textWrapping"/>
            </w:r>
            <w:r>
              <w:rPr>
                <w:rFonts w:hint="default" w:ascii="Times New Roman" w:hAnsi="Times New Roman" w:eastAsia="仿宋_GB2312" w:cs="Times New Roman"/>
                <w:color w:val="auto"/>
                <w:kern w:val="0"/>
                <w:sz w:val="21"/>
                <w:szCs w:val="21"/>
                <w:highlight w:val="none"/>
                <w:shd w:val="clear" w:color="auto" w:fill="auto"/>
              </w:rPr>
              <w:t>②是否通过清晰、可衡量的指标值予以体现；</w:t>
            </w:r>
            <w:r>
              <w:rPr>
                <w:rFonts w:hint="default" w:ascii="Times New Roman" w:hAnsi="Times New Roman" w:eastAsia="仿宋_GB2312" w:cs="Times New Roman"/>
                <w:color w:val="auto"/>
                <w:kern w:val="0"/>
                <w:sz w:val="21"/>
                <w:szCs w:val="21"/>
                <w:highlight w:val="none"/>
                <w:shd w:val="clear" w:color="auto" w:fill="auto"/>
              </w:rPr>
              <w:br w:type="textWrapping"/>
            </w:r>
            <w:r>
              <w:rPr>
                <w:rFonts w:hint="default" w:ascii="Times New Roman" w:hAnsi="Times New Roman" w:eastAsia="仿宋_GB2312" w:cs="Times New Roman"/>
                <w:color w:val="auto"/>
                <w:kern w:val="0"/>
                <w:sz w:val="21"/>
                <w:szCs w:val="21"/>
                <w:highlight w:val="none"/>
                <w:shd w:val="clear" w:color="auto" w:fill="auto"/>
              </w:rPr>
              <w:t>③是否与项目目标任务数或计划数相对应。</w:t>
            </w:r>
            <w:r>
              <w:rPr>
                <w:rFonts w:hint="default" w:ascii="Times New Roman" w:hAnsi="Times New Roman" w:eastAsia="仿宋_GB2312" w:cs="Times New Roman"/>
                <w:color w:val="auto"/>
                <w:kern w:val="0"/>
                <w:sz w:val="21"/>
                <w:szCs w:val="21"/>
                <w:highlight w:val="none"/>
                <w:shd w:val="clear" w:color="auto" w:fill="auto"/>
              </w:rPr>
              <w:br w:type="textWrapping"/>
            </w:r>
          </w:p>
        </w:tc>
        <w:tc>
          <w:tcPr>
            <w:tcW w:w="875"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rPr>
            </w:pPr>
            <w:r>
              <w:rPr>
                <w:rFonts w:hint="default" w:ascii="Times New Roman" w:hAnsi="Times New Roman" w:eastAsia="仿宋_GB2312" w:cs="Times New Roman"/>
                <w:b/>
                <w:bCs/>
                <w:color w:val="auto"/>
                <w:kern w:val="0"/>
                <w:sz w:val="21"/>
                <w:szCs w:val="21"/>
                <w:highlight w:val="none"/>
                <w:shd w:val="clear" w:color="auto" w:fill="auto"/>
              </w:rPr>
              <w:t>3</w:t>
            </w:r>
          </w:p>
        </w:tc>
        <w:tc>
          <w:tcPr>
            <w:tcW w:w="875"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lang w:eastAsia="zh-CN"/>
              </w:rPr>
            </w:pPr>
            <w:r>
              <w:rPr>
                <w:rFonts w:hint="default" w:ascii="Times New Roman" w:hAnsi="Times New Roman" w:eastAsia="仿宋_GB2312" w:cs="Times New Roman"/>
                <w:b/>
                <w:bCs/>
                <w:color w:val="auto"/>
                <w:kern w:val="0"/>
                <w:sz w:val="21"/>
                <w:szCs w:val="21"/>
                <w:highlight w:val="none"/>
                <w:shd w:val="clear" w:color="auto" w:fill="auto"/>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511" w:type="dxa"/>
            <w:vMerge w:val="continue"/>
            <w:shd w:val="clear" w:color="auto" w:fill="auto"/>
            <w:vAlign w:val="center"/>
          </w:tcPr>
          <w:p>
            <w:pPr>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tc>
        <w:tc>
          <w:tcPr>
            <w:tcW w:w="467" w:type="dxa"/>
            <w:vMerge w:val="restart"/>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资金投入</w:t>
            </w:r>
          </w:p>
          <w:p>
            <w:pPr>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　</w:t>
            </w:r>
          </w:p>
        </w:tc>
        <w:tc>
          <w:tcPr>
            <w:tcW w:w="538" w:type="dxa"/>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预算编制</w:t>
            </w:r>
          </w:p>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科学性</w:t>
            </w:r>
          </w:p>
        </w:tc>
        <w:tc>
          <w:tcPr>
            <w:tcW w:w="1894" w:type="dxa"/>
            <w:shd w:val="clear" w:color="auto" w:fill="auto"/>
            <w:vAlign w:val="center"/>
          </w:tcPr>
          <w:p>
            <w:pPr>
              <w:widowControl/>
              <w:spacing w:line="0" w:lineRule="atLeast"/>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项目预算编制是否经过科学论证、有明确标准，资金额度与年度目标是否相适应，用以反映和考核项目预算编制的科学性、合理性情况。</w:t>
            </w:r>
          </w:p>
        </w:tc>
        <w:tc>
          <w:tcPr>
            <w:tcW w:w="4833" w:type="dxa"/>
            <w:shd w:val="clear" w:color="auto" w:fill="auto"/>
            <w:vAlign w:val="center"/>
          </w:tcPr>
          <w:p>
            <w:pPr>
              <w:widowControl/>
              <w:spacing w:line="0" w:lineRule="atLeast"/>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评价要点：</w:t>
            </w:r>
            <w:r>
              <w:rPr>
                <w:rFonts w:hint="default" w:ascii="Times New Roman" w:hAnsi="Times New Roman" w:eastAsia="仿宋_GB2312" w:cs="Times New Roman"/>
                <w:color w:val="auto"/>
                <w:kern w:val="0"/>
                <w:sz w:val="21"/>
                <w:szCs w:val="21"/>
                <w:highlight w:val="none"/>
                <w:shd w:val="clear" w:color="auto" w:fill="auto"/>
              </w:rPr>
              <w:br w:type="textWrapping"/>
            </w:r>
            <w:r>
              <w:rPr>
                <w:rFonts w:hint="default" w:ascii="Times New Roman" w:hAnsi="Times New Roman" w:eastAsia="仿宋_GB2312" w:cs="Times New Roman"/>
                <w:color w:val="auto"/>
                <w:kern w:val="0"/>
                <w:sz w:val="21"/>
                <w:szCs w:val="21"/>
                <w:highlight w:val="none"/>
                <w:shd w:val="clear" w:color="auto" w:fill="auto"/>
              </w:rPr>
              <w:t>①预算编制是否经过科学论证；</w:t>
            </w:r>
            <w:r>
              <w:rPr>
                <w:rFonts w:hint="default" w:ascii="Times New Roman" w:hAnsi="Times New Roman" w:eastAsia="仿宋_GB2312" w:cs="Times New Roman"/>
                <w:color w:val="auto"/>
                <w:kern w:val="0"/>
                <w:sz w:val="21"/>
                <w:szCs w:val="21"/>
                <w:highlight w:val="none"/>
                <w:shd w:val="clear" w:color="auto" w:fill="auto"/>
              </w:rPr>
              <w:br w:type="textWrapping"/>
            </w:r>
            <w:r>
              <w:rPr>
                <w:rFonts w:hint="default" w:ascii="Times New Roman" w:hAnsi="Times New Roman" w:eastAsia="仿宋_GB2312" w:cs="Times New Roman"/>
                <w:color w:val="auto"/>
                <w:kern w:val="0"/>
                <w:sz w:val="21"/>
                <w:szCs w:val="21"/>
                <w:highlight w:val="none"/>
                <w:shd w:val="clear" w:color="auto" w:fill="auto"/>
              </w:rPr>
              <w:t>②预算内容与项目内容是否匹配；</w:t>
            </w:r>
            <w:r>
              <w:rPr>
                <w:rFonts w:hint="default" w:ascii="Times New Roman" w:hAnsi="Times New Roman" w:eastAsia="仿宋_GB2312" w:cs="Times New Roman"/>
                <w:color w:val="auto"/>
                <w:kern w:val="0"/>
                <w:sz w:val="21"/>
                <w:szCs w:val="21"/>
                <w:highlight w:val="none"/>
                <w:shd w:val="clear" w:color="auto" w:fill="auto"/>
              </w:rPr>
              <w:br w:type="textWrapping"/>
            </w:r>
            <w:r>
              <w:rPr>
                <w:rFonts w:hint="default" w:ascii="Times New Roman" w:hAnsi="Times New Roman" w:eastAsia="仿宋_GB2312" w:cs="Times New Roman"/>
                <w:color w:val="auto"/>
                <w:kern w:val="0"/>
                <w:sz w:val="21"/>
                <w:szCs w:val="21"/>
                <w:highlight w:val="none"/>
                <w:shd w:val="clear" w:color="auto" w:fill="auto"/>
              </w:rPr>
              <w:t>③预算额度测算依据是否充分，是否按照标准编制；</w:t>
            </w:r>
            <w:r>
              <w:rPr>
                <w:rFonts w:hint="default" w:ascii="Times New Roman" w:hAnsi="Times New Roman" w:eastAsia="仿宋_GB2312" w:cs="Times New Roman"/>
                <w:color w:val="auto"/>
                <w:kern w:val="0"/>
                <w:sz w:val="21"/>
                <w:szCs w:val="21"/>
                <w:highlight w:val="none"/>
                <w:shd w:val="clear" w:color="auto" w:fill="auto"/>
              </w:rPr>
              <w:br w:type="textWrapping"/>
            </w:r>
            <w:r>
              <w:rPr>
                <w:rFonts w:hint="default" w:ascii="Times New Roman" w:hAnsi="Times New Roman" w:eastAsia="仿宋_GB2312" w:cs="Times New Roman"/>
                <w:color w:val="auto"/>
                <w:kern w:val="0"/>
                <w:sz w:val="21"/>
                <w:szCs w:val="21"/>
                <w:highlight w:val="none"/>
                <w:shd w:val="clear" w:color="auto" w:fill="auto"/>
              </w:rPr>
              <w:t>④预算确定的项目投资额或资金量是否与工作任务相匹配。</w:t>
            </w:r>
          </w:p>
        </w:tc>
        <w:tc>
          <w:tcPr>
            <w:tcW w:w="875"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rPr>
            </w:pPr>
            <w:r>
              <w:rPr>
                <w:rFonts w:hint="default" w:ascii="Times New Roman" w:hAnsi="Times New Roman" w:eastAsia="仿宋_GB2312" w:cs="Times New Roman"/>
                <w:b/>
                <w:bCs/>
                <w:color w:val="auto"/>
                <w:kern w:val="0"/>
                <w:sz w:val="21"/>
                <w:szCs w:val="21"/>
                <w:highlight w:val="none"/>
                <w:shd w:val="clear" w:color="auto" w:fill="auto"/>
              </w:rPr>
              <w:t>4</w:t>
            </w:r>
          </w:p>
        </w:tc>
        <w:tc>
          <w:tcPr>
            <w:tcW w:w="875"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lang w:eastAsia="zh-CN"/>
              </w:rPr>
            </w:pPr>
            <w:r>
              <w:rPr>
                <w:rFonts w:hint="default" w:ascii="Times New Roman" w:hAnsi="Times New Roman" w:eastAsia="仿宋_GB2312" w:cs="Times New Roman"/>
                <w:b/>
                <w:bCs/>
                <w:color w:val="auto"/>
                <w:kern w:val="0"/>
                <w:sz w:val="21"/>
                <w:szCs w:val="21"/>
                <w:highlight w:val="none"/>
                <w:shd w:val="clear" w:color="auto" w:fill="auto"/>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511"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tc>
        <w:tc>
          <w:tcPr>
            <w:tcW w:w="467"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tc>
        <w:tc>
          <w:tcPr>
            <w:tcW w:w="538" w:type="dxa"/>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资金分配</w:t>
            </w:r>
          </w:p>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合理性</w:t>
            </w:r>
          </w:p>
        </w:tc>
        <w:tc>
          <w:tcPr>
            <w:tcW w:w="1894" w:type="dxa"/>
            <w:shd w:val="clear" w:color="auto" w:fill="auto"/>
            <w:vAlign w:val="center"/>
          </w:tcPr>
          <w:p>
            <w:pPr>
              <w:widowControl/>
              <w:spacing w:line="0" w:lineRule="atLeast"/>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项目预算资金分配是否有测算依据，与补助单位或地方实际是否相适应，用以反映和考核项目预算资金分配的科学性、合理性情况。</w:t>
            </w:r>
          </w:p>
        </w:tc>
        <w:tc>
          <w:tcPr>
            <w:tcW w:w="4833" w:type="dxa"/>
            <w:shd w:val="clear" w:color="auto" w:fill="auto"/>
            <w:vAlign w:val="center"/>
          </w:tcPr>
          <w:p>
            <w:pPr>
              <w:widowControl/>
              <w:spacing w:line="0" w:lineRule="atLeast"/>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评价要点：</w:t>
            </w:r>
            <w:r>
              <w:rPr>
                <w:rFonts w:hint="default" w:ascii="Times New Roman" w:hAnsi="Times New Roman" w:eastAsia="仿宋_GB2312" w:cs="Times New Roman"/>
                <w:color w:val="auto"/>
                <w:kern w:val="0"/>
                <w:sz w:val="21"/>
                <w:szCs w:val="21"/>
                <w:highlight w:val="none"/>
                <w:shd w:val="clear" w:color="auto" w:fill="auto"/>
              </w:rPr>
              <w:br w:type="textWrapping"/>
            </w:r>
            <w:r>
              <w:rPr>
                <w:rFonts w:hint="default" w:ascii="Times New Roman" w:hAnsi="Times New Roman" w:eastAsia="仿宋_GB2312" w:cs="Times New Roman"/>
                <w:color w:val="auto"/>
                <w:kern w:val="0"/>
                <w:sz w:val="21"/>
                <w:szCs w:val="21"/>
                <w:highlight w:val="none"/>
                <w:shd w:val="clear" w:color="auto" w:fill="auto"/>
              </w:rPr>
              <w:t>①预算资金分配依据是否充分；</w:t>
            </w:r>
            <w:r>
              <w:rPr>
                <w:rFonts w:hint="default" w:ascii="Times New Roman" w:hAnsi="Times New Roman" w:eastAsia="仿宋_GB2312" w:cs="Times New Roman"/>
                <w:color w:val="auto"/>
                <w:kern w:val="0"/>
                <w:sz w:val="21"/>
                <w:szCs w:val="21"/>
                <w:highlight w:val="none"/>
                <w:shd w:val="clear" w:color="auto" w:fill="auto"/>
              </w:rPr>
              <w:br w:type="textWrapping"/>
            </w:r>
            <w:r>
              <w:rPr>
                <w:rFonts w:hint="default" w:ascii="Times New Roman" w:hAnsi="Times New Roman" w:eastAsia="仿宋_GB2312" w:cs="Times New Roman"/>
                <w:color w:val="auto"/>
                <w:kern w:val="0"/>
                <w:sz w:val="21"/>
                <w:szCs w:val="21"/>
                <w:highlight w:val="none"/>
                <w:shd w:val="clear" w:color="auto" w:fill="auto"/>
              </w:rPr>
              <w:t>②资金分配额度是否合理，与项目单位或地方实际是否相适应。</w:t>
            </w:r>
          </w:p>
        </w:tc>
        <w:tc>
          <w:tcPr>
            <w:tcW w:w="875"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rPr>
            </w:pPr>
            <w:r>
              <w:rPr>
                <w:rFonts w:hint="default" w:ascii="Times New Roman" w:hAnsi="Times New Roman" w:eastAsia="仿宋_GB2312" w:cs="Times New Roman"/>
                <w:b/>
                <w:bCs/>
                <w:color w:val="auto"/>
                <w:kern w:val="0"/>
                <w:sz w:val="21"/>
                <w:szCs w:val="21"/>
                <w:highlight w:val="none"/>
                <w:shd w:val="clear" w:color="auto" w:fill="auto"/>
              </w:rPr>
              <w:t>4</w:t>
            </w:r>
          </w:p>
        </w:tc>
        <w:tc>
          <w:tcPr>
            <w:tcW w:w="875"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lang w:eastAsia="zh-CN"/>
              </w:rPr>
            </w:pPr>
            <w:r>
              <w:rPr>
                <w:rFonts w:hint="default" w:ascii="Times New Roman" w:hAnsi="Times New Roman" w:eastAsia="仿宋_GB2312" w:cs="Times New Roman"/>
                <w:b/>
                <w:bCs/>
                <w:color w:val="auto"/>
                <w:kern w:val="0"/>
                <w:sz w:val="21"/>
                <w:szCs w:val="21"/>
                <w:highlight w:val="none"/>
                <w:shd w:val="clear" w:color="auto" w:fill="auto"/>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511" w:type="dxa"/>
            <w:vMerge w:val="restart"/>
            <w:shd w:val="clear" w:color="auto" w:fill="auto"/>
            <w:vAlign w:val="center"/>
          </w:tcPr>
          <w:p>
            <w:pPr>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p>
            <w:pPr>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p>
            <w:pPr>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p>
            <w:pPr>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p>
            <w:pPr>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p>
            <w:pPr>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p>
            <w:pPr>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p>
            <w:pPr>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p>
            <w:pPr>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p>
            <w:pPr>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p>
            <w:pPr>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p>
            <w:pPr>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p>
            <w:pPr>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p>
            <w:pPr>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p>
            <w:pPr>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p>
            <w:pPr>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过程</w:t>
            </w:r>
          </w:p>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　　</w:t>
            </w:r>
          </w:p>
        </w:tc>
        <w:tc>
          <w:tcPr>
            <w:tcW w:w="467" w:type="dxa"/>
            <w:vMerge w:val="restart"/>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资金管理</w:t>
            </w:r>
          </w:p>
        </w:tc>
        <w:tc>
          <w:tcPr>
            <w:tcW w:w="538" w:type="dxa"/>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资金到位率</w:t>
            </w:r>
          </w:p>
        </w:tc>
        <w:tc>
          <w:tcPr>
            <w:tcW w:w="1894" w:type="dxa"/>
            <w:shd w:val="clear" w:color="auto" w:fill="auto"/>
            <w:vAlign w:val="center"/>
          </w:tcPr>
          <w:p>
            <w:pPr>
              <w:widowControl/>
              <w:spacing w:line="0" w:lineRule="atLeast"/>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实际到位资金与预算资金的比率，用以反映和考核资金落实情况对项目实施的总体保障程度。</w:t>
            </w:r>
          </w:p>
        </w:tc>
        <w:tc>
          <w:tcPr>
            <w:tcW w:w="4833" w:type="dxa"/>
            <w:shd w:val="clear" w:color="auto" w:fill="auto"/>
            <w:vAlign w:val="center"/>
          </w:tcPr>
          <w:p>
            <w:pPr>
              <w:widowControl/>
              <w:spacing w:line="0" w:lineRule="atLeast"/>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资金到位率=（实际到位资金/预算资金）×100%。</w:t>
            </w:r>
          </w:p>
          <w:p>
            <w:pPr>
              <w:widowControl/>
              <w:spacing w:line="0" w:lineRule="atLeast"/>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实际到位资金：一定时期（本年度或项目期）内落实到具体项目的资金。</w:t>
            </w:r>
          </w:p>
          <w:p>
            <w:pPr>
              <w:widowControl/>
              <w:spacing w:line="0" w:lineRule="atLeast"/>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预算资金：一定时期（本年度或项目期）内预算安排到具体项目的资金。</w:t>
            </w:r>
          </w:p>
        </w:tc>
        <w:tc>
          <w:tcPr>
            <w:tcW w:w="875"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rPr>
            </w:pPr>
            <w:r>
              <w:rPr>
                <w:rFonts w:hint="default" w:ascii="Times New Roman" w:hAnsi="Times New Roman" w:eastAsia="仿宋_GB2312" w:cs="Times New Roman"/>
                <w:b/>
                <w:bCs/>
                <w:color w:val="auto"/>
                <w:kern w:val="0"/>
                <w:sz w:val="21"/>
                <w:szCs w:val="21"/>
                <w:highlight w:val="none"/>
                <w:shd w:val="clear" w:color="auto" w:fill="auto"/>
              </w:rPr>
              <w:t>4</w:t>
            </w:r>
          </w:p>
        </w:tc>
        <w:tc>
          <w:tcPr>
            <w:tcW w:w="875"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lang w:eastAsia="zh-CN"/>
              </w:rPr>
            </w:pPr>
            <w:r>
              <w:rPr>
                <w:rFonts w:hint="default" w:ascii="Times New Roman" w:hAnsi="Times New Roman" w:eastAsia="仿宋_GB2312" w:cs="Times New Roman"/>
                <w:b/>
                <w:bCs/>
                <w:color w:val="auto"/>
                <w:kern w:val="0"/>
                <w:sz w:val="21"/>
                <w:szCs w:val="21"/>
                <w:highlight w:val="none"/>
                <w:shd w:val="clear" w:color="auto" w:fill="auto"/>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511" w:type="dxa"/>
            <w:vMerge w:val="continue"/>
            <w:shd w:val="clear" w:color="auto" w:fill="auto"/>
            <w:vAlign w:val="center"/>
          </w:tcPr>
          <w:p>
            <w:pPr>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tc>
        <w:tc>
          <w:tcPr>
            <w:tcW w:w="467" w:type="dxa"/>
            <w:vMerge w:val="continue"/>
            <w:shd w:val="clear" w:color="auto" w:fill="auto"/>
            <w:vAlign w:val="center"/>
          </w:tcPr>
          <w:p>
            <w:pPr>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tc>
        <w:tc>
          <w:tcPr>
            <w:tcW w:w="538" w:type="dxa"/>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预算执行率</w:t>
            </w:r>
          </w:p>
        </w:tc>
        <w:tc>
          <w:tcPr>
            <w:tcW w:w="1894" w:type="dxa"/>
            <w:shd w:val="clear" w:color="auto" w:fill="auto"/>
            <w:vAlign w:val="center"/>
          </w:tcPr>
          <w:p>
            <w:pPr>
              <w:widowControl/>
              <w:spacing w:line="0" w:lineRule="atLeast"/>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项目预算资金是否按照计划执行，用以反映或考核项目预算执行情况。</w:t>
            </w:r>
          </w:p>
        </w:tc>
        <w:tc>
          <w:tcPr>
            <w:tcW w:w="4833" w:type="dxa"/>
            <w:shd w:val="clear" w:color="auto" w:fill="auto"/>
            <w:vAlign w:val="center"/>
          </w:tcPr>
          <w:p>
            <w:pPr>
              <w:widowControl/>
              <w:spacing w:line="0" w:lineRule="atLeast"/>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预算执行率=（实际支出资金/实际到位资金）×100%。</w:t>
            </w:r>
            <w:r>
              <w:rPr>
                <w:rFonts w:hint="default" w:ascii="Times New Roman" w:hAnsi="Times New Roman" w:eastAsia="仿宋_GB2312" w:cs="Times New Roman"/>
                <w:color w:val="auto"/>
                <w:kern w:val="0"/>
                <w:sz w:val="21"/>
                <w:szCs w:val="21"/>
                <w:highlight w:val="none"/>
                <w:shd w:val="clear" w:color="auto" w:fill="auto"/>
              </w:rPr>
              <w:br w:type="textWrapping"/>
            </w:r>
            <w:r>
              <w:rPr>
                <w:rFonts w:hint="default" w:ascii="Times New Roman" w:hAnsi="Times New Roman" w:eastAsia="仿宋_GB2312" w:cs="Times New Roman"/>
                <w:color w:val="auto"/>
                <w:kern w:val="0"/>
                <w:sz w:val="21"/>
                <w:szCs w:val="21"/>
                <w:highlight w:val="none"/>
                <w:shd w:val="clear" w:color="auto" w:fill="auto"/>
              </w:rPr>
              <w:t>实际支出资金：一定时期（本年度或项目期）内项目实际拨付的资金。</w:t>
            </w:r>
          </w:p>
        </w:tc>
        <w:tc>
          <w:tcPr>
            <w:tcW w:w="875"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rPr>
            </w:pPr>
            <w:r>
              <w:rPr>
                <w:rFonts w:hint="default" w:ascii="Times New Roman" w:hAnsi="Times New Roman" w:eastAsia="仿宋_GB2312" w:cs="Times New Roman"/>
                <w:b/>
                <w:bCs/>
                <w:color w:val="auto"/>
                <w:kern w:val="0"/>
                <w:sz w:val="21"/>
                <w:szCs w:val="21"/>
                <w:highlight w:val="none"/>
                <w:shd w:val="clear" w:color="auto" w:fill="auto"/>
              </w:rPr>
              <w:t>4</w:t>
            </w:r>
          </w:p>
        </w:tc>
        <w:tc>
          <w:tcPr>
            <w:tcW w:w="875"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lang w:eastAsia="zh-CN"/>
              </w:rPr>
            </w:pPr>
            <w:r>
              <w:rPr>
                <w:rFonts w:hint="default" w:ascii="Times New Roman" w:hAnsi="Times New Roman" w:eastAsia="仿宋_GB2312" w:cs="Times New Roman"/>
                <w:b/>
                <w:bCs/>
                <w:color w:val="auto"/>
                <w:kern w:val="0"/>
                <w:sz w:val="21"/>
                <w:szCs w:val="21"/>
                <w:highlight w:val="none"/>
                <w:shd w:val="clear" w:color="auto" w:fill="auto"/>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511" w:type="dxa"/>
            <w:vMerge w:val="continue"/>
            <w:shd w:val="clear" w:color="auto" w:fill="auto"/>
            <w:vAlign w:val="center"/>
          </w:tcPr>
          <w:p>
            <w:pPr>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tc>
        <w:tc>
          <w:tcPr>
            <w:tcW w:w="467" w:type="dxa"/>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资金管理</w:t>
            </w:r>
          </w:p>
        </w:tc>
        <w:tc>
          <w:tcPr>
            <w:tcW w:w="538" w:type="dxa"/>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资金使用</w:t>
            </w:r>
          </w:p>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合规性</w:t>
            </w:r>
          </w:p>
        </w:tc>
        <w:tc>
          <w:tcPr>
            <w:tcW w:w="1894" w:type="dxa"/>
            <w:shd w:val="clear" w:color="auto" w:fill="auto"/>
            <w:vAlign w:val="center"/>
          </w:tcPr>
          <w:p>
            <w:pPr>
              <w:widowControl/>
              <w:spacing w:line="0" w:lineRule="atLeast"/>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项目资金使用是否符合相关的财务管理制度规定，用以反映和考核项目资金的规范运行情况。</w:t>
            </w:r>
          </w:p>
        </w:tc>
        <w:tc>
          <w:tcPr>
            <w:tcW w:w="4833" w:type="dxa"/>
            <w:shd w:val="clear" w:color="auto" w:fill="auto"/>
            <w:vAlign w:val="center"/>
          </w:tcPr>
          <w:p>
            <w:pPr>
              <w:widowControl/>
              <w:spacing w:line="0" w:lineRule="atLeast"/>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评价要点：</w:t>
            </w:r>
            <w:r>
              <w:rPr>
                <w:rFonts w:hint="default" w:ascii="Times New Roman" w:hAnsi="Times New Roman" w:eastAsia="仿宋_GB2312" w:cs="Times New Roman"/>
                <w:color w:val="auto"/>
                <w:kern w:val="0"/>
                <w:sz w:val="21"/>
                <w:szCs w:val="21"/>
                <w:highlight w:val="none"/>
                <w:shd w:val="clear" w:color="auto" w:fill="auto"/>
              </w:rPr>
              <w:br w:type="textWrapping"/>
            </w:r>
            <w:r>
              <w:rPr>
                <w:rFonts w:hint="default" w:ascii="Times New Roman" w:hAnsi="Times New Roman" w:eastAsia="仿宋_GB2312" w:cs="Times New Roman"/>
                <w:color w:val="auto"/>
                <w:kern w:val="0"/>
                <w:sz w:val="21"/>
                <w:szCs w:val="21"/>
                <w:highlight w:val="none"/>
                <w:shd w:val="clear" w:color="auto" w:fill="auto"/>
              </w:rPr>
              <w:t>①是否符合国家财经法规和财务管理制度以及有关专项资金管理办法的规定；</w:t>
            </w:r>
            <w:r>
              <w:rPr>
                <w:rFonts w:hint="default" w:ascii="Times New Roman" w:hAnsi="Times New Roman" w:eastAsia="仿宋_GB2312" w:cs="Times New Roman"/>
                <w:color w:val="auto"/>
                <w:kern w:val="0"/>
                <w:sz w:val="21"/>
                <w:szCs w:val="21"/>
                <w:highlight w:val="none"/>
                <w:shd w:val="clear" w:color="auto" w:fill="auto"/>
              </w:rPr>
              <w:br w:type="textWrapping"/>
            </w:r>
            <w:r>
              <w:rPr>
                <w:rFonts w:hint="default" w:ascii="Times New Roman" w:hAnsi="Times New Roman" w:eastAsia="仿宋_GB2312" w:cs="Times New Roman"/>
                <w:color w:val="auto"/>
                <w:kern w:val="0"/>
                <w:sz w:val="21"/>
                <w:szCs w:val="21"/>
                <w:highlight w:val="none"/>
                <w:shd w:val="clear" w:color="auto" w:fill="auto"/>
              </w:rPr>
              <w:t>②资金的拨付是否有完整的审批程序和手续；</w:t>
            </w:r>
            <w:r>
              <w:rPr>
                <w:rFonts w:hint="default" w:ascii="Times New Roman" w:hAnsi="Times New Roman" w:eastAsia="仿宋_GB2312" w:cs="Times New Roman"/>
                <w:color w:val="auto"/>
                <w:kern w:val="0"/>
                <w:sz w:val="21"/>
                <w:szCs w:val="21"/>
                <w:highlight w:val="none"/>
                <w:shd w:val="clear" w:color="auto" w:fill="auto"/>
              </w:rPr>
              <w:br w:type="textWrapping"/>
            </w:r>
            <w:r>
              <w:rPr>
                <w:rFonts w:hint="default" w:ascii="Times New Roman" w:hAnsi="Times New Roman" w:eastAsia="仿宋_GB2312" w:cs="Times New Roman"/>
                <w:color w:val="auto"/>
                <w:kern w:val="0"/>
                <w:sz w:val="21"/>
                <w:szCs w:val="21"/>
                <w:highlight w:val="none"/>
                <w:shd w:val="clear" w:color="auto" w:fill="auto"/>
              </w:rPr>
              <w:t>③是否符合项目预算批复或合同规定的用途；</w:t>
            </w:r>
            <w:r>
              <w:rPr>
                <w:rFonts w:hint="default" w:ascii="Times New Roman" w:hAnsi="Times New Roman" w:eastAsia="仿宋_GB2312" w:cs="Times New Roman"/>
                <w:color w:val="auto"/>
                <w:kern w:val="0"/>
                <w:sz w:val="21"/>
                <w:szCs w:val="21"/>
                <w:highlight w:val="none"/>
                <w:shd w:val="clear" w:color="auto" w:fill="auto"/>
              </w:rPr>
              <w:br w:type="textWrapping"/>
            </w:r>
            <w:r>
              <w:rPr>
                <w:rFonts w:hint="default" w:ascii="Times New Roman" w:hAnsi="Times New Roman" w:eastAsia="仿宋_GB2312" w:cs="Times New Roman"/>
                <w:color w:val="auto"/>
                <w:kern w:val="0"/>
                <w:sz w:val="21"/>
                <w:szCs w:val="21"/>
                <w:highlight w:val="none"/>
                <w:shd w:val="clear" w:color="auto" w:fill="auto"/>
              </w:rPr>
              <w:t>④是否存在截留、挤占、挪用、虚列支出等情况。</w:t>
            </w:r>
          </w:p>
        </w:tc>
        <w:tc>
          <w:tcPr>
            <w:tcW w:w="875"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rPr>
            </w:pPr>
            <w:r>
              <w:rPr>
                <w:rFonts w:hint="default" w:ascii="Times New Roman" w:hAnsi="Times New Roman" w:eastAsia="仿宋_GB2312" w:cs="Times New Roman"/>
                <w:b/>
                <w:bCs/>
                <w:color w:val="auto"/>
                <w:kern w:val="0"/>
                <w:sz w:val="21"/>
                <w:szCs w:val="21"/>
                <w:highlight w:val="none"/>
                <w:shd w:val="clear" w:color="auto" w:fill="auto"/>
              </w:rPr>
              <w:t>4</w:t>
            </w:r>
          </w:p>
        </w:tc>
        <w:tc>
          <w:tcPr>
            <w:tcW w:w="875"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lang w:eastAsia="zh-CN"/>
              </w:rPr>
            </w:pPr>
            <w:r>
              <w:rPr>
                <w:rFonts w:hint="default" w:ascii="Times New Roman" w:hAnsi="Times New Roman" w:eastAsia="仿宋_GB2312" w:cs="Times New Roman"/>
                <w:b/>
                <w:bCs/>
                <w:color w:val="auto"/>
                <w:kern w:val="0"/>
                <w:sz w:val="21"/>
                <w:szCs w:val="21"/>
                <w:highlight w:val="none"/>
                <w:shd w:val="clear" w:color="auto" w:fill="auto"/>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511" w:type="dxa"/>
            <w:vMerge w:val="continue"/>
            <w:shd w:val="clear" w:color="auto" w:fill="auto"/>
            <w:vAlign w:val="center"/>
          </w:tcPr>
          <w:p>
            <w:pPr>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tc>
        <w:tc>
          <w:tcPr>
            <w:tcW w:w="467" w:type="dxa"/>
            <w:vMerge w:val="restart"/>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组织实施</w:t>
            </w:r>
          </w:p>
          <w:p>
            <w:pPr>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　</w:t>
            </w:r>
          </w:p>
        </w:tc>
        <w:tc>
          <w:tcPr>
            <w:tcW w:w="538" w:type="dxa"/>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管理制度</w:t>
            </w:r>
          </w:p>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健全性</w:t>
            </w:r>
          </w:p>
        </w:tc>
        <w:tc>
          <w:tcPr>
            <w:tcW w:w="1894" w:type="dxa"/>
            <w:shd w:val="clear" w:color="auto" w:fill="auto"/>
            <w:vAlign w:val="center"/>
          </w:tcPr>
          <w:p>
            <w:pPr>
              <w:widowControl/>
              <w:spacing w:line="0" w:lineRule="atLeast"/>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项目实施单位的财务和业务管理制度是否健全，用以反映和考核财务和业务管理制度对项目顺利实施的保障情况。</w:t>
            </w:r>
          </w:p>
        </w:tc>
        <w:tc>
          <w:tcPr>
            <w:tcW w:w="4833" w:type="dxa"/>
            <w:shd w:val="clear" w:color="auto" w:fill="auto"/>
            <w:vAlign w:val="center"/>
          </w:tcPr>
          <w:p>
            <w:pPr>
              <w:widowControl/>
              <w:spacing w:line="0" w:lineRule="atLeast"/>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评价要点：</w:t>
            </w:r>
            <w:r>
              <w:rPr>
                <w:rFonts w:hint="default" w:ascii="Times New Roman" w:hAnsi="Times New Roman" w:eastAsia="仿宋_GB2312" w:cs="Times New Roman"/>
                <w:color w:val="auto"/>
                <w:kern w:val="0"/>
                <w:sz w:val="21"/>
                <w:szCs w:val="21"/>
                <w:highlight w:val="none"/>
                <w:shd w:val="clear" w:color="auto" w:fill="auto"/>
              </w:rPr>
              <w:br w:type="textWrapping"/>
            </w:r>
            <w:r>
              <w:rPr>
                <w:rFonts w:hint="default" w:ascii="Times New Roman" w:hAnsi="Times New Roman" w:eastAsia="仿宋_GB2312" w:cs="Times New Roman"/>
                <w:color w:val="auto"/>
                <w:kern w:val="0"/>
                <w:sz w:val="21"/>
                <w:szCs w:val="21"/>
                <w:highlight w:val="none"/>
                <w:shd w:val="clear" w:color="auto" w:fill="auto"/>
              </w:rPr>
              <w:t>①是否已制定或具有相应的财务和业务管理制度；</w:t>
            </w:r>
            <w:r>
              <w:rPr>
                <w:rFonts w:hint="default" w:ascii="Times New Roman" w:hAnsi="Times New Roman" w:eastAsia="仿宋_GB2312" w:cs="Times New Roman"/>
                <w:color w:val="auto"/>
                <w:kern w:val="0"/>
                <w:sz w:val="21"/>
                <w:szCs w:val="21"/>
                <w:highlight w:val="none"/>
                <w:shd w:val="clear" w:color="auto" w:fill="auto"/>
              </w:rPr>
              <w:br w:type="textWrapping"/>
            </w:r>
            <w:r>
              <w:rPr>
                <w:rFonts w:hint="default" w:ascii="Times New Roman" w:hAnsi="Times New Roman" w:eastAsia="仿宋_GB2312" w:cs="Times New Roman"/>
                <w:color w:val="auto"/>
                <w:kern w:val="0"/>
                <w:sz w:val="21"/>
                <w:szCs w:val="21"/>
                <w:highlight w:val="none"/>
                <w:shd w:val="clear" w:color="auto" w:fill="auto"/>
              </w:rPr>
              <w:t>②财务和业务管理制度是否合法、合规、完整。</w:t>
            </w:r>
          </w:p>
        </w:tc>
        <w:tc>
          <w:tcPr>
            <w:tcW w:w="875"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rPr>
            </w:pPr>
            <w:r>
              <w:rPr>
                <w:rFonts w:hint="default" w:ascii="Times New Roman" w:hAnsi="Times New Roman" w:eastAsia="仿宋_GB2312" w:cs="Times New Roman"/>
                <w:b/>
                <w:bCs/>
                <w:color w:val="auto"/>
                <w:kern w:val="0"/>
                <w:sz w:val="21"/>
                <w:szCs w:val="21"/>
                <w:highlight w:val="none"/>
                <w:shd w:val="clear" w:color="auto" w:fill="auto"/>
              </w:rPr>
              <w:t>4</w:t>
            </w:r>
          </w:p>
        </w:tc>
        <w:tc>
          <w:tcPr>
            <w:tcW w:w="875"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lang w:eastAsia="zh-CN"/>
              </w:rPr>
            </w:pPr>
            <w:r>
              <w:rPr>
                <w:rFonts w:hint="default" w:ascii="Times New Roman" w:hAnsi="Times New Roman" w:eastAsia="仿宋_GB2312" w:cs="Times New Roman"/>
                <w:b/>
                <w:bCs/>
                <w:color w:val="auto"/>
                <w:kern w:val="0"/>
                <w:sz w:val="21"/>
                <w:szCs w:val="21"/>
                <w:highlight w:val="none"/>
                <w:shd w:val="clear" w:color="auto" w:fill="auto"/>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511"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tc>
        <w:tc>
          <w:tcPr>
            <w:tcW w:w="467"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tc>
        <w:tc>
          <w:tcPr>
            <w:tcW w:w="538" w:type="dxa"/>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制度执行</w:t>
            </w:r>
          </w:p>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有效性</w:t>
            </w:r>
          </w:p>
        </w:tc>
        <w:tc>
          <w:tcPr>
            <w:tcW w:w="1894" w:type="dxa"/>
            <w:shd w:val="clear" w:color="auto" w:fill="auto"/>
            <w:vAlign w:val="center"/>
          </w:tcPr>
          <w:p>
            <w:pPr>
              <w:widowControl/>
              <w:spacing w:line="0" w:lineRule="atLeast"/>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项目实施是否符合相关管理规定，用以反映和考核相关管理制度的有效执行情况。</w:t>
            </w:r>
          </w:p>
        </w:tc>
        <w:tc>
          <w:tcPr>
            <w:tcW w:w="4833" w:type="dxa"/>
            <w:shd w:val="clear" w:color="auto" w:fill="auto"/>
            <w:vAlign w:val="center"/>
          </w:tcPr>
          <w:p>
            <w:pPr>
              <w:widowControl/>
              <w:spacing w:line="0" w:lineRule="atLeast"/>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评价要点：</w:t>
            </w:r>
            <w:r>
              <w:rPr>
                <w:rFonts w:hint="default" w:ascii="Times New Roman" w:hAnsi="Times New Roman" w:eastAsia="仿宋_GB2312" w:cs="Times New Roman"/>
                <w:color w:val="auto"/>
                <w:kern w:val="0"/>
                <w:sz w:val="21"/>
                <w:szCs w:val="21"/>
                <w:highlight w:val="none"/>
                <w:shd w:val="clear" w:color="auto" w:fill="auto"/>
              </w:rPr>
              <w:br w:type="textWrapping"/>
            </w:r>
            <w:r>
              <w:rPr>
                <w:rFonts w:hint="default" w:ascii="Times New Roman" w:hAnsi="Times New Roman" w:eastAsia="仿宋_GB2312" w:cs="Times New Roman"/>
                <w:color w:val="auto"/>
                <w:kern w:val="0"/>
                <w:sz w:val="21"/>
                <w:szCs w:val="21"/>
                <w:highlight w:val="none"/>
                <w:shd w:val="clear" w:color="auto" w:fill="auto"/>
              </w:rPr>
              <w:t>①是否遵守相关法律法规和相关管理规定；</w:t>
            </w:r>
            <w:r>
              <w:rPr>
                <w:rFonts w:hint="default" w:ascii="Times New Roman" w:hAnsi="Times New Roman" w:eastAsia="仿宋_GB2312" w:cs="Times New Roman"/>
                <w:color w:val="auto"/>
                <w:kern w:val="0"/>
                <w:sz w:val="21"/>
                <w:szCs w:val="21"/>
                <w:highlight w:val="none"/>
                <w:shd w:val="clear" w:color="auto" w:fill="auto"/>
              </w:rPr>
              <w:br w:type="textWrapping"/>
            </w:r>
            <w:r>
              <w:rPr>
                <w:rFonts w:hint="default" w:ascii="Times New Roman" w:hAnsi="Times New Roman" w:eastAsia="仿宋_GB2312" w:cs="Times New Roman"/>
                <w:color w:val="auto"/>
                <w:kern w:val="0"/>
                <w:sz w:val="21"/>
                <w:szCs w:val="21"/>
                <w:highlight w:val="none"/>
                <w:shd w:val="clear" w:color="auto" w:fill="auto"/>
              </w:rPr>
              <w:t>②项目调整及支出调整手续是否完备；</w:t>
            </w:r>
            <w:r>
              <w:rPr>
                <w:rFonts w:hint="default" w:ascii="Times New Roman" w:hAnsi="Times New Roman" w:eastAsia="仿宋_GB2312" w:cs="Times New Roman"/>
                <w:color w:val="auto"/>
                <w:kern w:val="0"/>
                <w:sz w:val="21"/>
                <w:szCs w:val="21"/>
                <w:highlight w:val="none"/>
                <w:shd w:val="clear" w:color="auto" w:fill="auto"/>
              </w:rPr>
              <w:br w:type="textWrapping"/>
            </w:r>
            <w:r>
              <w:rPr>
                <w:rFonts w:hint="default" w:ascii="Times New Roman" w:hAnsi="Times New Roman" w:eastAsia="仿宋_GB2312" w:cs="Times New Roman"/>
                <w:color w:val="auto"/>
                <w:kern w:val="0"/>
                <w:sz w:val="21"/>
                <w:szCs w:val="21"/>
                <w:highlight w:val="none"/>
                <w:shd w:val="clear" w:color="auto" w:fill="auto"/>
              </w:rPr>
              <w:t>③项目合同书、验收报告、技术鉴定等资料是否齐全并及时归档；</w:t>
            </w:r>
            <w:r>
              <w:rPr>
                <w:rFonts w:hint="default" w:ascii="Times New Roman" w:hAnsi="Times New Roman" w:eastAsia="仿宋_GB2312" w:cs="Times New Roman"/>
                <w:color w:val="auto"/>
                <w:kern w:val="0"/>
                <w:sz w:val="21"/>
                <w:szCs w:val="21"/>
                <w:highlight w:val="none"/>
                <w:shd w:val="clear" w:color="auto" w:fill="auto"/>
              </w:rPr>
              <w:br w:type="textWrapping"/>
            </w:r>
            <w:r>
              <w:rPr>
                <w:rFonts w:hint="default" w:ascii="Times New Roman" w:hAnsi="Times New Roman" w:eastAsia="仿宋_GB2312" w:cs="Times New Roman"/>
                <w:color w:val="auto"/>
                <w:kern w:val="0"/>
                <w:sz w:val="21"/>
                <w:szCs w:val="21"/>
                <w:highlight w:val="none"/>
                <w:shd w:val="clear" w:color="auto" w:fill="auto"/>
              </w:rPr>
              <w:t>④项目实施的人员条件、场地设备、信息支撑等是否落实到位。</w:t>
            </w:r>
          </w:p>
        </w:tc>
        <w:tc>
          <w:tcPr>
            <w:tcW w:w="875"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rPr>
            </w:pPr>
            <w:r>
              <w:rPr>
                <w:rFonts w:hint="default" w:ascii="Times New Roman" w:hAnsi="Times New Roman" w:eastAsia="仿宋_GB2312" w:cs="Times New Roman"/>
                <w:b/>
                <w:bCs/>
                <w:color w:val="auto"/>
                <w:kern w:val="0"/>
                <w:sz w:val="21"/>
                <w:szCs w:val="21"/>
                <w:highlight w:val="none"/>
                <w:shd w:val="clear" w:color="auto" w:fill="auto"/>
              </w:rPr>
              <w:t>4</w:t>
            </w:r>
          </w:p>
        </w:tc>
        <w:tc>
          <w:tcPr>
            <w:tcW w:w="875"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lang w:eastAsia="zh-CN"/>
              </w:rPr>
            </w:pPr>
            <w:r>
              <w:rPr>
                <w:rFonts w:hint="default" w:ascii="Times New Roman" w:hAnsi="Times New Roman" w:eastAsia="仿宋_GB2312" w:cs="Times New Roman"/>
                <w:b/>
                <w:bCs/>
                <w:color w:val="auto"/>
                <w:kern w:val="0"/>
                <w:sz w:val="21"/>
                <w:szCs w:val="21"/>
                <w:highlight w:val="none"/>
                <w:shd w:val="clear" w:color="auto" w:fill="auto"/>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511" w:type="dxa"/>
            <w:vMerge w:val="restart"/>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产出</w:t>
            </w:r>
          </w:p>
        </w:tc>
        <w:tc>
          <w:tcPr>
            <w:tcW w:w="467" w:type="dxa"/>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产出数量</w:t>
            </w:r>
          </w:p>
        </w:tc>
        <w:tc>
          <w:tcPr>
            <w:tcW w:w="538" w:type="dxa"/>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实际完成率</w:t>
            </w:r>
          </w:p>
        </w:tc>
        <w:tc>
          <w:tcPr>
            <w:tcW w:w="1894" w:type="dxa"/>
            <w:shd w:val="clear" w:color="auto" w:fill="auto"/>
            <w:vAlign w:val="center"/>
          </w:tcPr>
          <w:p>
            <w:pPr>
              <w:widowControl/>
              <w:spacing w:line="0" w:lineRule="atLeast"/>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项目实施的实际产出数与计划产出数的比率，用以反映和考核项目产出数量目标的实现程度。</w:t>
            </w:r>
          </w:p>
        </w:tc>
        <w:tc>
          <w:tcPr>
            <w:tcW w:w="4833" w:type="dxa"/>
            <w:shd w:val="clear" w:color="auto" w:fill="auto"/>
            <w:vAlign w:val="center"/>
          </w:tcPr>
          <w:p>
            <w:pPr>
              <w:widowControl/>
              <w:spacing w:line="0" w:lineRule="atLeast"/>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实际完成率=（实际产出数/计划产出数）×100%。</w:t>
            </w:r>
            <w:r>
              <w:rPr>
                <w:rFonts w:hint="default" w:ascii="Times New Roman" w:hAnsi="Times New Roman" w:eastAsia="仿宋_GB2312" w:cs="Times New Roman"/>
                <w:color w:val="auto"/>
                <w:kern w:val="0"/>
                <w:sz w:val="21"/>
                <w:szCs w:val="21"/>
                <w:highlight w:val="none"/>
                <w:shd w:val="clear" w:color="auto" w:fill="auto"/>
              </w:rPr>
              <w:br w:type="textWrapping"/>
            </w:r>
            <w:r>
              <w:rPr>
                <w:rFonts w:hint="default" w:ascii="Times New Roman" w:hAnsi="Times New Roman" w:eastAsia="仿宋_GB2312" w:cs="Times New Roman"/>
                <w:color w:val="auto"/>
                <w:kern w:val="0"/>
                <w:sz w:val="21"/>
                <w:szCs w:val="21"/>
                <w:highlight w:val="none"/>
                <w:shd w:val="clear" w:color="auto" w:fill="auto"/>
              </w:rPr>
              <w:t>实际产出数：一定时期（本年度或项目期）内项目实际产出的产品或提供的服务数量。</w:t>
            </w:r>
            <w:r>
              <w:rPr>
                <w:rFonts w:hint="default" w:ascii="Times New Roman" w:hAnsi="Times New Roman" w:eastAsia="仿宋_GB2312" w:cs="Times New Roman"/>
                <w:color w:val="auto"/>
                <w:kern w:val="0"/>
                <w:sz w:val="21"/>
                <w:szCs w:val="21"/>
                <w:highlight w:val="none"/>
                <w:shd w:val="clear" w:color="auto" w:fill="auto"/>
              </w:rPr>
              <w:br w:type="textWrapping"/>
            </w:r>
            <w:r>
              <w:rPr>
                <w:rFonts w:hint="default" w:ascii="Times New Roman" w:hAnsi="Times New Roman" w:eastAsia="仿宋_GB2312" w:cs="Times New Roman"/>
                <w:color w:val="auto"/>
                <w:kern w:val="0"/>
                <w:sz w:val="21"/>
                <w:szCs w:val="21"/>
                <w:highlight w:val="none"/>
                <w:shd w:val="clear" w:color="auto" w:fill="auto"/>
              </w:rPr>
              <w:t>计划产出数：项目绩效目标确定的在一定时期（本年度或项目期）内计划产出的产品或提供的服务数量。</w:t>
            </w:r>
          </w:p>
        </w:tc>
        <w:tc>
          <w:tcPr>
            <w:tcW w:w="875"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rPr>
            </w:pPr>
            <w:r>
              <w:rPr>
                <w:rFonts w:hint="default" w:ascii="Times New Roman" w:hAnsi="Times New Roman" w:eastAsia="仿宋_GB2312" w:cs="Times New Roman"/>
                <w:b/>
                <w:bCs/>
                <w:color w:val="auto"/>
                <w:kern w:val="0"/>
                <w:sz w:val="21"/>
                <w:szCs w:val="21"/>
                <w:highlight w:val="none"/>
                <w:shd w:val="clear" w:color="auto" w:fill="auto"/>
              </w:rPr>
              <w:t>10</w:t>
            </w:r>
          </w:p>
        </w:tc>
        <w:tc>
          <w:tcPr>
            <w:tcW w:w="875"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lang w:val="en-US" w:eastAsia="zh-CN"/>
              </w:rPr>
            </w:pPr>
            <w:r>
              <w:rPr>
                <w:rFonts w:hint="default" w:ascii="Times New Roman" w:hAnsi="Times New Roman" w:eastAsia="仿宋_GB2312" w:cs="Times New Roman"/>
                <w:b/>
                <w:bCs/>
                <w:color w:val="auto"/>
                <w:kern w:val="0"/>
                <w:sz w:val="21"/>
                <w:szCs w:val="21"/>
                <w:highlight w:val="none"/>
                <w:shd w:val="clear" w:color="auto" w:fill="auto"/>
                <w:lang w:val="en-US" w:eastAsia="zh-CN"/>
              </w:rPr>
              <w:t>9.4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511"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tc>
        <w:tc>
          <w:tcPr>
            <w:tcW w:w="467" w:type="dxa"/>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产出质量</w:t>
            </w:r>
          </w:p>
        </w:tc>
        <w:tc>
          <w:tcPr>
            <w:tcW w:w="538" w:type="dxa"/>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质量达标率</w:t>
            </w:r>
          </w:p>
        </w:tc>
        <w:tc>
          <w:tcPr>
            <w:tcW w:w="1894" w:type="dxa"/>
            <w:shd w:val="clear" w:color="auto" w:fill="auto"/>
            <w:vAlign w:val="center"/>
          </w:tcPr>
          <w:p>
            <w:pPr>
              <w:widowControl/>
              <w:spacing w:line="0" w:lineRule="atLeast"/>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项目完成的质量达标产出数与实际产出数的比率，用以反映和考核项目产出质量目标的实现程度。</w:t>
            </w:r>
          </w:p>
        </w:tc>
        <w:tc>
          <w:tcPr>
            <w:tcW w:w="4833" w:type="dxa"/>
            <w:shd w:val="clear" w:color="auto" w:fill="auto"/>
            <w:vAlign w:val="center"/>
          </w:tcPr>
          <w:p>
            <w:pPr>
              <w:widowControl/>
              <w:spacing w:line="0" w:lineRule="atLeast"/>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质量达标率=（质量达标产出数/实际产出数）×100%。</w:t>
            </w:r>
          </w:p>
          <w:p>
            <w:pPr>
              <w:widowControl/>
              <w:spacing w:line="0" w:lineRule="atLeast"/>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75"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rPr>
            </w:pPr>
            <w:r>
              <w:rPr>
                <w:rFonts w:hint="default" w:ascii="Times New Roman" w:hAnsi="Times New Roman" w:eastAsia="仿宋_GB2312" w:cs="Times New Roman"/>
                <w:b/>
                <w:bCs/>
                <w:color w:val="auto"/>
                <w:kern w:val="0"/>
                <w:sz w:val="21"/>
                <w:szCs w:val="21"/>
                <w:highlight w:val="none"/>
                <w:shd w:val="clear" w:color="auto" w:fill="auto"/>
              </w:rPr>
              <w:t>10</w:t>
            </w:r>
          </w:p>
        </w:tc>
        <w:tc>
          <w:tcPr>
            <w:tcW w:w="875"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lang w:val="en-US" w:eastAsia="zh-CN"/>
              </w:rPr>
            </w:pPr>
            <w:r>
              <w:rPr>
                <w:rFonts w:hint="default" w:ascii="Times New Roman" w:hAnsi="Times New Roman" w:eastAsia="仿宋_GB2312" w:cs="Times New Roman"/>
                <w:b/>
                <w:bCs/>
                <w:color w:val="auto"/>
                <w:kern w:val="0"/>
                <w:sz w:val="21"/>
                <w:szCs w:val="21"/>
                <w:highlight w:val="none"/>
                <w:shd w:val="clear" w:color="auto" w:fill="auto"/>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511" w:type="dxa"/>
            <w:vMerge w:val="continue"/>
            <w:shd w:val="clear" w:color="auto" w:fill="auto"/>
            <w:vAlign w:val="center"/>
          </w:tcPr>
          <w:p>
            <w:pPr>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tc>
        <w:tc>
          <w:tcPr>
            <w:tcW w:w="467" w:type="dxa"/>
            <w:shd w:val="clear" w:color="auto" w:fill="auto"/>
            <w:vAlign w:val="center"/>
          </w:tcPr>
          <w:p>
            <w:pPr>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产出时效</w:t>
            </w:r>
          </w:p>
        </w:tc>
        <w:tc>
          <w:tcPr>
            <w:tcW w:w="538" w:type="dxa"/>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完成及时性</w:t>
            </w:r>
          </w:p>
        </w:tc>
        <w:tc>
          <w:tcPr>
            <w:tcW w:w="1894" w:type="dxa"/>
            <w:shd w:val="clear" w:color="auto" w:fill="auto"/>
            <w:vAlign w:val="center"/>
          </w:tcPr>
          <w:p>
            <w:pPr>
              <w:widowControl/>
              <w:spacing w:line="0" w:lineRule="atLeast"/>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项目实际完成时间与计划完成时间的比较，用以反映和考核项目产出时效目标的实现程度。</w:t>
            </w:r>
          </w:p>
        </w:tc>
        <w:tc>
          <w:tcPr>
            <w:tcW w:w="4833" w:type="dxa"/>
            <w:shd w:val="clear" w:color="auto" w:fill="auto"/>
            <w:vAlign w:val="center"/>
          </w:tcPr>
          <w:p>
            <w:pPr>
              <w:widowControl/>
              <w:spacing w:line="0" w:lineRule="atLeast"/>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实际完成时间：项目实施单位完成该项目实际所耗用的时间。</w:t>
            </w:r>
            <w:r>
              <w:rPr>
                <w:rFonts w:hint="default" w:ascii="Times New Roman" w:hAnsi="Times New Roman" w:eastAsia="仿宋_GB2312" w:cs="Times New Roman"/>
                <w:color w:val="auto"/>
                <w:kern w:val="0"/>
                <w:sz w:val="21"/>
                <w:szCs w:val="21"/>
                <w:highlight w:val="none"/>
                <w:shd w:val="clear" w:color="auto" w:fill="auto"/>
              </w:rPr>
              <w:br w:type="textWrapping"/>
            </w:r>
            <w:r>
              <w:rPr>
                <w:rFonts w:hint="default" w:ascii="Times New Roman" w:hAnsi="Times New Roman" w:eastAsia="仿宋_GB2312" w:cs="Times New Roman"/>
                <w:color w:val="auto"/>
                <w:kern w:val="0"/>
                <w:sz w:val="21"/>
                <w:szCs w:val="21"/>
                <w:highlight w:val="none"/>
                <w:shd w:val="clear" w:color="auto" w:fill="auto"/>
              </w:rPr>
              <w:t>计划完成时间：按照项目实施计划或相关规定完成该项目所需的时间。</w:t>
            </w:r>
          </w:p>
        </w:tc>
        <w:tc>
          <w:tcPr>
            <w:tcW w:w="875"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rPr>
            </w:pPr>
            <w:r>
              <w:rPr>
                <w:rFonts w:hint="default" w:ascii="Times New Roman" w:hAnsi="Times New Roman" w:eastAsia="仿宋_GB2312" w:cs="Times New Roman"/>
                <w:b/>
                <w:bCs/>
                <w:color w:val="auto"/>
                <w:kern w:val="0"/>
                <w:sz w:val="21"/>
                <w:szCs w:val="21"/>
                <w:highlight w:val="none"/>
                <w:shd w:val="clear" w:color="auto" w:fill="auto"/>
              </w:rPr>
              <w:t>10</w:t>
            </w:r>
          </w:p>
        </w:tc>
        <w:tc>
          <w:tcPr>
            <w:tcW w:w="875"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lang w:val="en-US" w:eastAsia="zh-CN"/>
              </w:rPr>
            </w:pPr>
            <w:r>
              <w:rPr>
                <w:rFonts w:hint="default" w:ascii="Times New Roman" w:hAnsi="Times New Roman" w:eastAsia="仿宋_GB2312" w:cs="Times New Roman"/>
                <w:b/>
                <w:bCs/>
                <w:color w:val="auto"/>
                <w:kern w:val="0"/>
                <w:sz w:val="21"/>
                <w:szCs w:val="21"/>
                <w:highlight w:val="none"/>
                <w:shd w:val="clear" w:color="auto" w:fill="auto"/>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511"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tc>
        <w:tc>
          <w:tcPr>
            <w:tcW w:w="467" w:type="dxa"/>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产出成本</w:t>
            </w:r>
          </w:p>
        </w:tc>
        <w:tc>
          <w:tcPr>
            <w:tcW w:w="538" w:type="dxa"/>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成本节约率</w:t>
            </w:r>
          </w:p>
        </w:tc>
        <w:tc>
          <w:tcPr>
            <w:tcW w:w="1894" w:type="dxa"/>
            <w:shd w:val="clear" w:color="auto" w:fill="auto"/>
            <w:vAlign w:val="center"/>
          </w:tcPr>
          <w:p>
            <w:pPr>
              <w:widowControl/>
              <w:spacing w:line="0" w:lineRule="atLeast"/>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完成项目计划工作目标的实际节约成本与计划成本的比率，用以反映和考核项目的成本节约程度。</w:t>
            </w:r>
          </w:p>
        </w:tc>
        <w:tc>
          <w:tcPr>
            <w:tcW w:w="4833" w:type="dxa"/>
            <w:shd w:val="clear" w:color="auto" w:fill="auto"/>
            <w:vAlign w:val="center"/>
          </w:tcPr>
          <w:p>
            <w:pPr>
              <w:widowControl/>
              <w:spacing w:line="0" w:lineRule="atLeast"/>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br w:type="textWrapping"/>
            </w:r>
            <w:r>
              <w:rPr>
                <w:rFonts w:hint="default" w:ascii="Times New Roman" w:hAnsi="Times New Roman" w:eastAsia="仿宋_GB2312" w:cs="Times New Roman"/>
                <w:color w:val="auto"/>
                <w:kern w:val="0"/>
                <w:sz w:val="21"/>
                <w:szCs w:val="21"/>
                <w:highlight w:val="none"/>
                <w:shd w:val="clear" w:color="auto" w:fill="auto"/>
              </w:rPr>
              <w:t>成本节约率=[（计划成本-实际成本）/计划成本]×100%。</w:t>
            </w:r>
            <w:r>
              <w:rPr>
                <w:rFonts w:hint="default" w:ascii="Times New Roman" w:hAnsi="Times New Roman" w:eastAsia="仿宋_GB2312" w:cs="Times New Roman"/>
                <w:color w:val="auto"/>
                <w:kern w:val="0"/>
                <w:sz w:val="21"/>
                <w:szCs w:val="21"/>
                <w:highlight w:val="none"/>
                <w:shd w:val="clear" w:color="auto" w:fill="auto"/>
              </w:rPr>
              <w:br w:type="textWrapping"/>
            </w:r>
            <w:r>
              <w:rPr>
                <w:rFonts w:hint="default" w:ascii="Times New Roman" w:hAnsi="Times New Roman" w:eastAsia="仿宋_GB2312" w:cs="Times New Roman"/>
                <w:color w:val="auto"/>
                <w:kern w:val="0"/>
                <w:sz w:val="21"/>
                <w:szCs w:val="21"/>
                <w:highlight w:val="none"/>
                <w:shd w:val="clear" w:color="auto" w:fill="auto"/>
              </w:rPr>
              <w:t>实际成本：项目实施单位如期、保质、保量完成既定工作目标实际所耗费的支出。</w:t>
            </w:r>
            <w:r>
              <w:rPr>
                <w:rFonts w:hint="default" w:ascii="Times New Roman" w:hAnsi="Times New Roman" w:eastAsia="仿宋_GB2312" w:cs="Times New Roman"/>
                <w:color w:val="auto"/>
                <w:kern w:val="0"/>
                <w:sz w:val="21"/>
                <w:szCs w:val="21"/>
                <w:highlight w:val="none"/>
                <w:shd w:val="clear" w:color="auto" w:fill="auto"/>
              </w:rPr>
              <w:br w:type="textWrapping"/>
            </w:r>
            <w:r>
              <w:rPr>
                <w:rFonts w:hint="default" w:ascii="Times New Roman" w:hAnsi="Times New Roman" w:eastAsia="仿宋_GB2312" w:cs="Times New Roman"/>
                <w:color w:val="auto"/>
                <w:kern w:val="0"/>
                <w:sz w:val="21"/>
                <w:szCs w:val="21"/>
                <w:highlight w:val="none"/>
                <w:shd w:val="clear" w:color="auto" w:fill="auto"/>
              </w:rPr>
              <w:t>计划成本：项目实施单位为完成工作目标计划安排的支出，一般以项目预算为参考。</w:t>
            </w:r>
          </w:p>
        </w:tc>
        <w:tc>
          <w:tcPr>
            <w:tcW w:w="875"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rPr>
            </w:pPr>
            <w:r>
              <w:rPr>
                <w:rFonts w:hint="default" w:ascii="Times New Roman" w:hAnsi="Times New Roman" w:eastAsia="仿宋_GB2312" w:cs="Times New Roman"/>
                <w:b/>
                <w:bCs/>
                <w:color w:val="auto"/>
                <w:kern w:val="0"/>
                <w:sz w:val="21"/>
                <w:szCs w:val="21"/>
                <w:highlight w:val="none"/>
                <w:shd w:val="clear" w:color="auto" w:fill="auto"/>
              </w:rPr>
              <w:t>10</w:t>
            </w:r>
          </w:p>
        </w:tc>
        <w:tc>
          <w:tcPr>
            <w:tcW w:w="875"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lang w:val="en-US" w:eastAsia="zh-CN"/>
              </w:rPr>
            </w:pPr>
            <w:r>
              <w:rPr>
                <w:rFonts w:hint="default" w:ascii="Times New Roman" w:hAnsi="Times New Roman" w:eastAsia="仿宋_GB2312" w:cs="Times New Roman"/>
                <w:b/>
                <w:bCs/>
                <w:color w:val="auto"/>
                <w:kern w:val="0"/>
                <w:sz w:val="21"/>
                <w:szCs w:val="21"/>
                <w:highlight w:val="none"/>
                <w:shd w:val="clear" w:color="auto" w:fill="auto"/>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511" w:type="dxa"/>
            <w:vMerge w:val="restart"/>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效益　</w:t>
            </w:r>
          </w:p>
        </w:tc>
        <w:tc>
          <w:tcPr>
            <w:tcW w:w="467" w:type="dxa"/>
            <w:vMerge w:val="restart"/>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项目效益　</w:t>
            </w:r>
          </w:p>
        </w:tc>
        <w:tc>
          <w:tcPr>
            <w:tcW w:w="538" w:type="dxa"/>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实施效益</w:t>
            </w:r>
          </w:p>
        </w:tc>
        <w:tc>
          <w:tcPr>
            <w:tcW w:w="1894" w:type="dxa"/>
            <w:shd w:val="clear" w:color="auto" w:fill="auto"/>
            <w:vAlign w:val="center"/>
          </w:tcPr>
          <w:p>
            <w:pPr>
              <w:widowControl/>
              <w:spacing w:line="0" w:lineRule="atLeast"/>
              <w:jc w:val="left"/>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项目实施所产生的效益。</w:t>
            </w:r>
          </w:p>
        </w:tc>
        <w:tc>
          <w:tcPr>
            <w:tcW w:w="4833" w:type="dxa"/>
            <w:shd w:val="clear" w:color="auto" w:fill="auto"/>
            <w:vAlign w:val="center"/>
          </w:tcPr>
          <w:p>
            <w:pPr>
              <w:widowControl/>
              <w:spacing w:line="0" w:lineRule="atLeast"/>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项目实施所产生的社会效益、经济效益、生态效益、可持续影响等。可根据项目实际情况有选择地设置和细化。</w:t>
            </w:r>
          </w:p>
        </w:tc>
        <w:tc>
          <w:tcPr>
            <w:tcW w:w="875"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rPr>
            </w:pPr>
            <w:r>
              <w:rPr>
                <w:rFonts w:hint="default" w:ascii="Times New Roman" w:hAnsi="Times New Roman" w:eastAsia="仿宋_GB2312" w:cs="Times New Roman"/>
                <w:b/>
                <w:bCs/>
                <w:color w:val="auto"/>
                <w:kern w:val="0"/>
                <w:sz w:val="21"/>
                <w:szCs w:val="21"/>
                <w:highlight w:val="none"/>
                <w:shd w:val="clear" w:color="auto" w:fill="auto"/>
              </w:rPr>
              <w:t>10</w:t>
            </w:r>
          </w:p>
        </w:tc>
        <w:tc>
          <w:tcPr>
            <w:tcW w:w="875"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lang w:val="en-US" w:eastAsia="zh-CN"/>
              </w:rPr>
            </w:pPr>
            <w:r>
              <w:rPr>
                <w:rFonts w:hint="default" w:ascii="Times New Roman" w:hAnsi="Times New Roman" w:eastAsia="仿宋_GB2312" w:cs="Times New Roman"/>
                <w:b/>
                <w:bCs/>
                <w:color w:val="auto"/>
                <w:kern w:val="0"/>
                <w:sz w:val="21"/>
                <w:szCs w:val="21"/>
                <w:highlight w:val="none"/>
                <w:shd w:val="clear" w:color="auto" w:fill="auto"/>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511"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tc>
        <w:tc>
          <w:tcPr>
            <w:tcW w:w="467"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p>
        </w:tc>
        <w:tc>
          <w:tcPr>
            <w:tcW w:w="538" w:type="dxa"/>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满意度</w:t>
            </w:r>
          </w:p>
        </w:tc>
        <w:tc>
          <w:tcPr>
            <w:tcW w:w="1894" w:type="dxa"/>
            <w:shd w:val="clear" w:color="auto" w:fill="auto"/>
            <w:vAlign w:val="center"/>
          </w:tcPr>
          <w:p>
            <w:pPr>
              <w:widowControl/>
              <w:spacing w:line="0" w:lineRule="atLeast"/>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社会公众或服务对象对项目实施效果的满意程度。</w:t>
            </w:r>
          </w:p>
        </w:tc>
        <w:tc>
          <w:tcPr>
            <w:tcW w:w="4833" w:type="dxa"/>
            <w:shd w:val="clear" w:color="auto" w:fill="auto"/>
            <w:vAlign w:val="center"/>
          </w:tcPr>
          <w:p>
            <w:pPr>
              <w:widowControl/>
              <w:spacing w:line="0" w:lineRule="atLeast"/>
              <w:rPr>
                <w:rFonts w:hint="default" w:ascii="Times New Roman" w:hAnsi="Times New Roman" w:eastAsia="仿宋_GB2312" w:cs="Times New Roman"/>
                <w:color w:val="auto"/>
                <w:kern w:val="0"/>
                <w:sz w:val="21"/>
                <w:szCs w:val="21"/>
                <w:highlight w:val="none"/>
                <w:shd w:val="clear" w:color="auto" w:fill="auto"/>
              </w:rPr>
            </w:pPr>
            <w:r>
              <w:rPr>
                <w:rFonts w:hint="default" w:ascii="Times New Roman" w:hAnsi="Times New Roman" w:eastAsia="仿宋_GB2312" w:cs="Times New Roman"/>
                <w:color w:val="auto"/>
                <w:kern w:val="0"/>
                <w:sz w:val="21"/>
                <w:szCs w:val="21"/>
                <w:highlight w:val="none"/>
                <w:shd w:val="clear" w:color="auto" w:fill="auto"/>
              </w:rPr>
              <w:t>社会公众或服务对象是指因该项目实施而受到影响的部门（单位）、群体或个人。一般采取社会调查的方式。</w:t>
            </w:r>
          </w:p>
        </w:tc>
        <w:tc>
          <w:tcPr>
            <w:tcW w:w="875"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rPr>
            </w:pPr>
            <w:r>
              <w:rPr>
                <w:rFonts w:hint="default" w:ascii="Times New Roman" w:hAnsi="Times New Roman" w:eastAsia="仿宋_GB2312" w:cs="Times New Roman"/>
                <w:b/>
                <w:bCs/>
                <w:color w:val="auto"/>
                <w:kern w:val="0"/>
                <w:sz w:val="21"/>
                <w:szCs w:val="21"/>
                <w:highlight w:val="none"/>
                <w:shd w:val="clear" w:color="auto" w:fill="auto"/>
              </w:rPr>
              <w:t>10</w:t>
            </w:r>
          </w:p>
        </w:tc>
        <w:tc>
          <w:tcPr>
            <w:tcW w:w="875"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1"/>
                <w:szCs w:val="21"/>
                <w:highlight w:val="none"/>
                <w:shd w:val="clear" w:color="auto" w:fill="auto"/>
                <w:lang w:val="en-US" w:eastAsia="zh-CN"/>
              </w:rPr>
            </w:pPr>
            <w:r>
              <w:rPr>
                <w:rFonts w:hint="default" w:ascii="Times New Roman" w:hAnsi="Times New Roman" w:eastAsia="仿宋_GB2312" w:cs="Times New Roman"/>
                <w:b/>
                <w:bCs/>
                <w:color w:val="auto"/>
                <w:kern w:val="0"/>
                <w:sz w:val="21"/>
                <w:szCs w:val="21"/>
                <w:highlight w:val="none"/>
                <w:shd w:val="clear" w:color="auto" w:fill="auto"/>
                <w:lang w:val="en-US" w:eastAsia="zh-CN"/>
              </w:rPr>
              <w:t>10</w:t>
            </w:r>
          </w:p>
        </w:tc>
      </w:tr>
    </w:tbl>
    <w:p>
      <w:pPr>
        <w:pStyle w:val="9"/>
        <w:jc w:val="both"/>
        <w:rPr>
          <w:rFonts w:hint="default" w:ascii="Times New Roman" w:hAnsi="Times New Roman" w:cs="Times New Roman"/>
        </w:rPr>
        <w:sectPr>
          <w:pgSz w:w="11906" w:h="16838"/>
          <w:pgMar w:top="1440" w:right="1558"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pStyle w:val="2"/>
        <w:rPr>
          <w:rFonts w:hint="default" w:ascii="Times New Roman" w:hAnsi="Times New Roman" w:cs="Times New Roman"/>
        </w:rPr>
      </w:pPr>
      <w:bookmarkStart w:id="7" w:name="_GoBack"/>
      <w:bookmarkEnd w:id="7"/>
    </w:p>
    <w:sectPr>
      <w:pgSz w:w="11906" w:h="16838"/>
      <w:pgMar w:top="1440" w:right="1558"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7"/>
          <w:jc w:val="cente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PAGE   \* MERGEFORMAT</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lang w:val="zh-CN"/>
          </w:rPr>
          <w:t>13</w:t>
        </w:r>
        <w:r>
          <w:rPr>
            <w:rFonts w:hint="eastAsia" w:ascii="仿宋_GB2312" w:hAnsi="仿宋_GB2312" w:eastAsia="仿宋_GB2312" w:cs="仿宋_GB2312"/>
            <w:sz w:val="28"/>
            <w:szCs w:val="28"/>
          </w:rP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E83853AE"/>
    <w:multiLevelType w:val="singleLevel"/>
    <w:tmpl w:val="E83853AE"/>
    <w:lvl w:ilvl="0" w:tentative="0">
      <w:start w:val="2"/>
      <w:numFmt w:val="decimal"/>
      <w:suff w:val="nothing"/>
      <w:lvlText w:val="%1、"/>
      <w:lvlJc w:val="left"/>
    </w:lvl>
  </w:abstractNum>
  <w:abstractNum w:abstractNumId="2">
    <w:nsid w:val="FF9379A8"/>
    <w:multiLevelType w:val="singleLevel"/>
    <w:tmpl w:val="FF9379A8"/>
    <w:lvl w:ilvl="0" w:tentative="0">
      <w:start w:val="2"/>
      <w:numFmt w:val="chineseCounting"/>
      <w:suff w:val="nothing"/>
      <w:lvlText w:val="（%1）"/>
      <w:lvlJc w:val="left"/>
      <w:rPr>
        <w:rFonts w:hint="eastAsia"/>
      </w:r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revisionView w:markup="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2ZDdlZWY0MDE5NTY2N2ZiODQ3NGUwMzBmMDM0ZGYifQ=="/>
  </w:docVars>
  <w:rsids>
    <w:rsidRoot w:val="FF6C4049"/>
    <w:rsid w:val="006F7242"/>
    <w:rsid w:val="007B168A"/>
    <w:rsid w:val="008B2CFE"/>
    <w:rsid w:val="00F26FF6"/>
    <w:rsid w:val="02495A44"/>
    <w:rsid w:val="031370CF"/>
    <w:rsid w:val="05FF4691"/>
    <w:rsid w:val="07397B77"/>
    <w:rsid w:val="0ECF491D"/>
    <w:rsid w:val="13471461"/>
    <w:rsid w:val="13B90F01"/>
    <w:rsid w:val="181066D2"/>
    <w:rsid w:val="184779C8"/>
    <w:rsid w:val="1C671E73"/>
    <w:rsid w:val="1DBF10A0"/>
    <w:rsid w:val="1E69327B"/>
    <w:rsid w:val="22D12F02"/>
    <w:rsid w:val="29CA4159"/>
    <w:rsid w:val="36F25777"/>
    <w:rsid w:val="38CA40DD"/>
    <w:rsid w:val="395F2B56"/>
    <w:rsid w:val="3B323380"/>
    <w:rsid w:val="3B4373E9"/>
    <w:rsid w:val="3BECE841"/>
    <w:rsid w:val="3FF7797D"/>
    <w:rsid w:val="400F607E"/>
    <w:rsid w:val="43747573"/>
    <w:rsid w:val="489906CD"/>
    <w:rsid w:val="4DF94F37"/>
    <w:rsid w:val="568A401A"/>
    <w:rsid w:val="59143FC6"/>
    <w:rsid w:val="5AB12F14"/>
    <w:rsid w:val="5BFF6039"/>
    <w:rsid w:val="5D76A616"/>
    <w:rsid w:val="5D7F20B9"/>
    <w:rsid w:val="5DAC7D0E"/>
    <w:rsid w:val="5ED86E62"/>
    <w:rsid w:val="5F98B5AF"/>
    <w:rsid w:val="5FFE8511"/>
    <w:rsid w:val="5FFEACE2"/>
    <w:rsid w:val="643EE26D"/>
    <w:rsid w:val="6B2571EA"/>
    <w:rsid w:val="6F5C41AC"/>
    <w:rsid w:val="6FAF6C78"/>
    <w:rsid w:val="72D433DC"/>
    <w:rsid w:val="7317C656"/>
    <w:rsid w:val="734ED73F"/>
    <w:rsid w:val="77FD8BE9"/>
    <w:rsid w:val="79A9BD3F"/>
    <w:rsid w:val="7BFFFDD0"/>
    <w:rsid w:val="7C336E5F"/>
    <w:rsid w:val="7D7A5F86"/>
    <w:rsid w:val="7E4936D1"/>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autoRedefine/>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4">
    <w:name w:val="Default Paragraph Font"/>
    <w:autoRedefine/>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1"/>
    <w:qFormat/>
    <w:uiPriority w:val="0"/>
    <w:pPr>
      <w:jc w:val="left"/>
    </w:p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19"/>
    <w:qFormat/>
    <w:uiPriority w:val="0"/>
    <w:rPr>
      <w:sz w:val="18"/>
      <w:szCs w:val="18"/>
    </w:rPr>
  </w:style>
  <w:style w:type="paragraph" w:styleId="7">
    <w:name w:val="footer"/>
    <w:basedOn w:val="1"/>
    <w:autoRedefine/>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0"/>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Title"/>
    <w:basedOn w:val="1"/>
    <w:next w:val="1"/>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0">
    <w:name w:val="annotation subject"/>
    <w:basedOn w:val="3"/>
    <w:next w:val="3"/>
    <w:link w:val="22"/>
    <w:autoRedefine/>
    <w:qFormat/>
    <w:uiPriority w:val="0"/>
    <w:rPr>
      <w:b/>
      <w:bCs/>
    </w:rPr>
  </w:style>
  <w:style w:type="paragraph" w:styleId="11">
    <w:name w:val="Body Text First Indent"/>
    <w:basedOn w:val="4"/>
    <w:autoRedefine/>
    <w:qFormat/>
    <w:uiPriority w:val="0"/>
    <w:pPr>
      <w:spacing w:after="0"/>
      <w:ind w:firstLine="200" w:firstLineChars="200"/>
    </w:pPr>
  </w:style>
  <w:style w:type="paragraph" w:styleId="12">
    <w:name w:val="Body Text First Indent 2"/>
    <w:basedOn w:val="5"/>
    <w:autoRedefine/>
    <w:qFormat/>
    <w:uiPriority w:val="0"/>
    <w:pPr>
      <w:ind w:firstLine="420" w:firstLineChars="200"/>
    </w:pPr>
  </w:style>
  <w:style w:type="character" w:styleId="15">
    <w:name w:val="Strong"/>
    <w:basedOn w:val="14"/>
    <w:qFormat/>
    <w:uiPriority w:val="0"/>
    <w:rPr>
      <w:b/>
      <w:bCs/>
    </w:rPr>
  </w:style>
  <w:style w:type="character" w:styleId="16">
    <w:name w:val="annotation reference"/>
    <w:basedOn w:val="14"/>
    <w:autoRedefine/>
    <w:qFormat/>
    <w:uiPriority w:val="0"/>
    <w:rPr>
      <w:sz w:val="21"/>
      <w:szCs w:val="21"/>
    </w:rPr>
  </w:style>
  <w:style w:type="character" w:customStyle="1" w:styleId="17">
    <w:name w:val="fontstyle01"/>
    <w:autoRedefine/>
    <w:qFormat/>
    <w:uiPriority w:val="0"/>
    <w:rPr>
      <w:rFonts w:ascii="仿宋_GB2312" w:hAnsi="仿宋_GB2312" w:eastAsia="仿宋_GB2312" w:cs="仿宋_GB2312"/>
      <w:color w:val="000000"/>
      <w:sz w:val="32"/>
      <w:szCs w:val="32"/>
    </w:rPr>
  </w:style>
  <w:style w:type="paragraph" w:customStyle="1" w:styleId="18">
    <w:name w:val="闻政-正文段落文字"/>
    <w:basedOn w:val="1"/>
    <w:qFormat/>
    <w:uiPriority w:val="3"/>
    <w:pPr>
      <w:spacing w:line="500" w:lineRule="exact"/>
      <w:ind w:firstLine="200"/>
    </w:pPr>
    <w:rPr>
      <w:kern w:val="0"/>
      <w:szCs w:val="28"/>
    </w:rPr>
  </w:style>
  <w:style w:type="character" w:customStyle="1" w:styleId="19">
    <w:name w:val="批注框文本 字符"/>
    <w:basedOn w:val="14"/>
    <w:link w:val="6"/>
    <w:qFormat/>
    <w:uiPriority w:val="0"/>
    <w:rPr>
      <w:rFonts w:ascii="Times New Roman" w:hAnsi="Times New Roman" w:eastAsia="宋体" w:cs="Times New Roman"/>
      <w:kern w:val="2"/>
      <w:sz w:val="18"/>
      <w:szCs w:val="18"/>
    </w:rPr>
  </w:style>
  <w:style w:type="character" w:customStyle="1" w:styleId="20">
    <w:name w:val="页眉 字符"/>
    <w:basedOn w:val="14"/>
    <w:link w:val="8"/>
    <w:qFormat/>
    <w:uiPriority w:val="0"/>
    <w:rPr>
      <w:rFonts w:ascii="Times New Roman" w:hAnsi="Times New Roman" w:eastAsia="宋体" w:cs="Times New Roman"/>
      <w:kern w:val="2"/>
      <w:sz w:val="18"/>
      <w:szCs w:val="18"/>
    </w:rPr>
  </w:style>
  <w:style w:type="character" w:customStyle="1" w:styleId="21">
    <w:name w:val="批注文字 字符"/>
    <w:basedOn w:val="14"/>
    <w:link w:val="3"/>
    <w:qFormat/>
    <w:uiPriority w:val="0"/>
    <w:rPr>
      <w:rFonts w:ascii="Times New Roman" w:hAnsi="Times New Roman" w:eastAsia="宋体" w:cs="Times New Roman"/>
      <w:kern w:val="2"/>
      <w:sz w:val="21"/>
      <w:szCs w:val="24"/>
    </w:rPr>
  </w:style>
  <w:style w:type="character" w:customStyle="1" w:styleId="22">
    <w:name w:val="批注主题 字符"/>
    <w:basedOn w:val="21"/>
    <w:link w:val="10"/>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24</Pages>
  <Words>10055</Words>
  <Characters>10437</Characters>
  <Lines>58</Lines>
  <Paragraphs>16</Paragraphs>
  <TotalTime>10</TotalTime>
  <ScaleCrop>false</ScaleCrop>
  <LinksUpToDate>false</LinksUpToDate>
  <CharactersWithSpaces>10482</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DORY伟</cp:lastModifiedBy>
  <dcterms:modified xsi:type="dcterms:W3CDTF">2023-12-28T10:22:01Z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92C4CFAE91744A729D9367AFE5469420_13</vt:lpwstr>
  </property>
</Properties>
</file>