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6C472A">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color w:val="auto"/>
          <w:sz w:val="32"/>
          <w:szCs w:val="32"/>
          <w:highlight w:val="none"/>
        </w:rPr>
      </w:pPr>
    </w:p>
    <w:p w14:paraId="073B7B09">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p>
    <w:p w14:paraId="3E575CC7">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lang w:val="en-US" w:eastAsia="zh-CN"/>
        </w:rPr>
      </w:pPr>
      <w:r>
        <w:rPr>
          <w:rFonts w:hint="default" w:ascii="Times New Roman" w:hAnsi="Times New Roman" w:eastAsia="方正小标宋_GBK" w:cs="Times New Roman"/>
          <w:color w:val="auto"/>
          <w:sz w:val="44"/>
          <w:szCs w:val="44"/>
          <w:highlight w:val="none"/>
          <w:lang w:val="en-US" w:eastAsia="zh-CN"/>
        </w:rPr>
        <w:t>新疆维吾尔自治区工业和信息化厅</w:t>
      </w:r>
    </w:p>
    <w:p w14:paraId="280DA088">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CN"/>
        </w:rPr>
        <w:t xml:space="preserve"> 2023年度</w:t>
      </w:r>
      <w:r>
        <w:rPr>
          <w:rFonts w:hint="default" w:ascii="Times New Roman" w:hAnsi="Times New Roman" w:eastAsia="方正小标宋_GBK" w:cs="Times New Roman"/>
          <w:color w:val="auto"/>
          <w:sz w:val="44"/>
          <w:szCs w:val="44"/>
          <w:highlight w:val="none"/>
        </w:rPr>
        <w:t>部门决算</w:t>
      </w:r>
    </w:p>
    <w:p w14:paraId="00C4EE92">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公开说明</w:t>
      </w:r>
    </w:p>
    <w:p w14:paraId="5315CF84">
      <w:pP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page"/>
      </w:r>
    </w:p>
    <w:p w14:paraId="0FB3046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14:paraId="13DA005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部门</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14:paraId="6734EB3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14:paraId="2E41365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14:paraId="1D5A65C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14:paraId="65AD86C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14:paraId="40A1CC5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14:paraId="725B1F2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14:paraId="63A0B19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14:paraId="062990E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14:paraId="2F012E0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14:paraId="782BE3B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0034D55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14:paraId="1F4D64F9">
      <w:pPr>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14:paraId="6D6FF0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6ED1361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14:paraId="011D028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14:paraId="7D6D5DD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14:paraId="5DE7135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14:paraId="484D598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14:paraId="26E043F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14:paraId="4020481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14:paraId="506659E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14:paraId="0A48507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14:paraId="0CBE966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14:paraId="483E53A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14:paraId="246DED7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14:paraId="0497064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14:paraId="5270D7A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14:paraId="22D80EC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14:paraId="5273E9D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14:paraId="6DA2E744">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14:paraId="42802681">
      <w:p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14:paraId="63D088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部门</w:t>
      </w:r>
      <w:r>
        <w:rPr>
          <w:rFonts w:hint="default" w:ascii="Times New Roman" w:hAnsi="Times New Roman" w:eastAsia="黑体" w:cs="Times New Roman"/>
          <w:color w:val="auto"/>
          <w:sz w:val="32"/>
          <w:szCs w:val="32"/>
          <w:highlight w:val="none"/>
        </w:rPr>
        <w:t>概况</w:t>
      </w:r>
      <w:bookmarkEnd w:id="0"/>
      <w:bookmarkEnd w:id="1"/>
    </w:p>
    <w:p w14:paraId="358834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738"/>
      <w:bookmarkStart w:id="3" w:name="_Toc30567"/>
      <w:r>
        <w:rPr>
          <w:rFonts w:hint="default" w:ascii="Times New Roman" w:hAnsi="Times New Roman" w:eastAsia="黑体" w:cs="Times New Roman"/>
          <w:bCs/>
          <w:color w:val="auto"/>
          <w:kern w:val="0"/>
          <w:sz w:val="32"/>
          <w:szCs w:val="32"/>
          <w:highlight w:val="none"/>
        </w:rPr>
        <w:t>一、主要职能</w:t>
      </w:r>
      <w:bookmarkEnd w:id="2"/>
      <w:bookmarkEnd w:id="3"/>
    </w:p>
    <w:p w14:paraId="290390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color w:val="auto"/>
          <w:sz w:val="32"/>
          <w:szCs w:val="32"/>
        </w:rPr>
      </w:pPr>
      <w:bookmarkStart w:id="4" w:name="_Toc31238"/>
      <w:bookmarkStart w:id="5" w:name="_Toc2151"/>
      <w:r>
        <w:rPr>
          <w:rFonts w:hint="default" w:ascii="Times New Roman" w:hAnsi="Times New Roman" w:eastAsia="仿宋_GB2312" w:cs="Times New Roman"/>
          <w:color w:val="auto"/>
          <w:sz w:val="32"/>
          <w:szCs w:val="32"/>
        </w:rPr>
        <w:t>新疆维吾尔自治区工业和信息化厅是根据中共中央办公厅、国务院办公厅批准的《新疆维吾尔自治区机构改革方案》（厅字〔2018〕110 号）和自治区党委办公厅、自治区人民政府办公厅印发的《关于&lt;新疆维吾尔自治区机构改革方案&gt;的实施意见》（新党办发〔2018〕52 号），在原自治区经济和信息化委员会基础上组建，为自治区人民政府组成部门。</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（一）贯彻执行国家工业和信息化的法律法规和方针政策，提出自治区工业和信息化发展规划和政策建议；拟订工业和信息化发展的综合性法规、规章、政策，并组织实施和监督检查；推进信息化和工业化融合。</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（二）拟订工业和信息化发展规划；根据国家产业政策，拟订自治区产业政策，并组织实施和监督检查；指导产业合理布局和结构调整；组织协调重点产业调整和高质量发展规划的拟订与实施。</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（三）负责提出工业经济运行的政策建议；承担工业运行形势监测分析、预测预警和信息引导的责任；协调保障煤、电、油、气、运等重要生产要素的供需平衡。</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四）负责工业和信息化领域各行业的管理，组织拟订行业专项规划、技术规范和标准；拟订行业规划和行业法规；负责盐业行业管理；负责园区建设管理工作；负责自治区煤电煤化工产业发展工作；指导冶金、有色金属、黄金、稀土、轻工、纺织、机电、建材等行业管理。</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（五）负责工业和信息产业及信息化建设的技术改造投资管理；拟订技术改造投资的有关政策措施；研究和规划技术改造项目投资方向和布局；负责技术改造投资项目审核、备案。</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六）拟订工业和信息化领域技术创新政策措施；培育和发展战略性新兴产业；拟订装备工业发展规划及政策措施；负责推进装备制造产业发展工作；指导工业和信息化领域对外经济技术合作、交流及招商引资工作。</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七）指导工业和信息化领域体制改革和管理创新；拟订促进中小企业发展的相关政策措施，负责对中小企业的宏观指导和服务，指导中小企业改革与发展，建立健全服务体系；负责工业和信息化领域人员的培训；负责组织协调减轻企业负担工作。</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八）拟订工业和信息化领域资源节约和综合利用规划、政策；指导工业节能减排综合协调和监督管理工作，负责工业节能执法工作；指导工业和信息化领域循环经济发展；协调工业和信息化领域清洁生产和节能环保产业发展工作。</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（九）负责民爆行业管理；对民用爆炸物品生产、销售依法实施许可和监督管理；指导、监督工业领域安全生产工作。</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十）负责拟定扶持个体私营经济发展政策措施；引导个体私营经济平稳运行和健康发展；推进“个转企”（个体工商户转企业）培育工作，组织实施私营经济产业紧缺人才规划与培训工作；指导个体工商户（私营经济）转型升级；统筹个体私营经济服务体系建设；配合党委组织部门开展小微企业、个体工商户、专业市场的党建工作。</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（十一）负责推进信息化工作；指导、协调经济社会各领域信息技术的推广应用工作；推进跨行业、跨部门面向社会服务的互联互通及重要信息资源开发利用和共享；统筹指导工业信息安全管理工作。</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（十二）指导电子信息产业的发展；指导电子信息产品制造业、软件业、信息服务业发展；指导电子信息产业基地建设；协调电子信息产业重大专项实施。</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（十三）负责无线电管理工作；根据授权参与涉外无线电管理工作。</w:t>
      </w:r>
      <w:r>
        <w:rPr>
          <w:rFonts w:hint="default" w:ascii="Times New Roman" w:hAnsi="Times New Roman" w:eastAsia="仿宋_GB2312" w:cs="Times New Roman"/>
          <w:color w:val="auto"/>
          <w:sz w:val="32"/>
          <w:szCs w:val="32"/>
        </w:rPr>
        <w:br w:type="textWrapping"/>
      </w:r>
      <w:r>
        <w:rPr>
          <w:rFonts w:hint="default" w:ascii="Times New Roman" w:hAnsi="Times New Roman" w:eastAsia="仿宋_GB2312" w:cs="Times New Roman"/>
          <w:color w:val="auto"/>
          <w:sz w:val="32"/>
          <w:szCs w:val="32"/>
        </w:rPr>
        <w:t>　　（十四）完成自治区党委、自治区人民政府交办的其他任务</w:t>
      </w:r>
      <w:r>
        <w:rPr>
          <w:rFonts w:hint="default" w:ascii="Times New Roman" w:hAnsi="Times New Roman" w:eastAsia="仿宋_GB2312" w:cs="Times New Roman"/>
          <w:color w:val="auto"/>
          <w:sz w:val="32"/>
          <w:szCs w:val="32"/>
        </w:rPr>
        <w:t>。</w:t>
      </w:r>
    </w:p>
    <w:p w14:paraId="55A42B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14:paraId="0F75930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新疆维吾尔自治区工业和信息化厅</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2670</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1306</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17</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1347</w:t>
      </w:r>
      <w:r>
        <w:rPr>
          <w:rFonts w:hint="default" w:ascii="Times New Roman" w:hAnsi="Times New Roman" w:eastAsia="仿宋_GB2312" w:cs="Times New Roman"/>
          <w:color w:val="auto"/>
          <w:sz w:val="32"/>
          <w:szCs w:val="32"/>
          <w:highlight w:val="none"/>
        </w:rPr>
        <w:t>人。</w:t>
      </w:r>
    </w:p>
    <w:p w14:paraId="3DAA5AA4">
      <w:pPr>
        <w:ind w:firstLine="640" w:firstLineChars="200"/>
        <w:rPr>
          <w:rFonts w:hint="default" w:ascii="Times New Roman" w:hAnsi="Times New Roman" w:eastAsia="仿宋_GB2312" w:cs="Times New Roman"/>
          <w:color w:val="auto"/>
          <w:sz w:val="32"/>
          <w:szCs w:val="32"/>
        </w:rPr>
      </w:pPr>
      <w:bookmarkStart w:id="6" w:name="_Toc3092"/>
      <w:bookmarkStart w:id="7" w:name="_Toc29374"/>
      <w:r>
        <w:rPr>
          <w:rFonts w:hint="default" w:ascii="Times New Roman" w:hAnsi="Times New Roman" w:eastAsia="仿宋_GB2312" w:cs="Times New Roman"/>
          <w:color w:val="auto"/>
          <w:sz w:val="32"/>
          <w:szCs w:val="32"/>
        </w:rPr>
        <w:t>从部门决算单位构成看，新疆维吾尔自治区工业和信息化厅部门决算包括：新疆维吾尔自治区工业和信息化厅部门本级决算及所属单位决算。</w:t>
      </w:r>
    </w:p>
    <w:p w14:paraId="5A225CF5">
      <w:pPr>
        <w:ind w:firstLine="640" w:firstLineChars="200"/>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sz w:val="32"/>
          <w:szCs w:val="32"/>
        </w:rPr>
        <w:t>新疆维吾尔自治区工业和信息化厅</w:t>
      </w:r>
      <w:r>
        <w:rPr>
          <w:rFonts w:hint="default" w:ascii="Times New Roman" w:hAnsi="Times New Roman" w:eastAsia="仿宋_GB2312" w:cs="Times New Roman"/>
          <w:color w:val="auto"/>
          <w:kern w:val="0"/>
          <w:sz w:val="32"/>
          <w:szCs w:val="32"/>
        </w:rPr>
        <w:t>本级</w:t>
      </w:r>
      <w:r>
        <w:rPr>
          <w:rFonts w:hint="default" w:ascii="Times New Roman" w:hAnsi="Times New Roman" w:eastAsia="仿宋_GB2312" w:cs="Times New Roman"/>
          <w:bCs/>
          <w:color w:val="auto"/>
          <w:kern w:val="0"/>
          <w:sz w:val="32"/>
          <w:szCs w:val="32"/>
        </w:rPr>
        <w:t>下设</w:t>
      </w:r>
      <w:r>
        <w:rPr>
          <w:rFonts w:hint="default" w:ascii="Times New Roman" w:hAnsi="Times New Roman" w:eastAsia="仿宋_GB2312" w:cs="Times New Roman"/>
          <w:color w:val="auto"/>
          <w:sz w:val="32"/>
          <w:szCs w:val="32"/>
        </w:rPr>
        <w:t>3</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bCs/>
          <w:color w:val="auto"/>
          <w:kern w:val="0"/>
          <w:sz w:val="32"/>
          <w:szCs w:val="32"/>
        </w:rPr>
        <w:t>个处室，分别是：办公室、综合业务处、法规处、产业政策处、运行监测协调局、规划与投资处、科技质量处、装备工业处、园区管理处、企业处（自治区中小企业局）、节能与综合利用处、安全生产处（自治区民用爆炸物品管理办公室）、原材料工业处、消费品工业处、电子信息处、软件服务业处、信息化推进处、工业信息安全处、无线电管理处（自治区无线电管理局）、无线电执法监督处、物流处、石油化工和油区工作处、轻工业行业管理处、纺织工业行业管理处、建材行业管理处、招商协作发展处、财务审计处、培训处、人事处、机关党委、离退休干部工作处</w:t>
      </w:r>
      <w:r>
        <w:rPr>
          <w:rFonts w:hint="default" w:ascii="Times New Roman" w:hAnsi="Times New Roman" w:eastAsia="仿宋_GB2312" w:cs="Times New Roman"/>
          <w:color w:val="auto"/>
          <w:kern w:val="0"/>
          <w:sz w:val="32"/>
          <w:szCs w:val="32"/>
        </w:rPr>
        <w:t>。</w:t>
      </w:r>
    </w:p>
    <w:p w14:paraId="6CE3EBA3">
      <w:pPr>
        <w:ind w:firstLine="640" w:firstLineChars="200"/>
        <w:rPr>
          <w:rFonts w:hint="default" w:ascii="Times New Roman" w:hAnsi="Times New Roman" w:eastAsia="仿宋_GB2312" w:cs="Times New Roman"/>
          <w:color w:val="auto"/>
          <w:spacing w:val="-6"/>
          <w:sz w:val="32"/>
          <w:szCs w:val="32"/>
        </w:rPr>
      </w:pPr>
      <w:r>
        <w:rPr>
          <w:rFonts w:hint="default" w:ascii="Times New Roman" w:hAnsi="Times New Roman" w:eastAsia="仿宋_GB2312" w:cs="Times New Roman"/>
          <w:color w:val="auto"/>
          <w:sz w:val="32"/>
          <w:szCs w:val="32"/>
        </w:rPr>
        <w:t>纳入新疆维吾尔自治区工业和信息化厅</w:t>
      </w: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年度部门决算编制范围的单位名单见下表：</w:t>
      </w:r>
    </w:p>
    <w:tbl>
      <w:tblPr>
        <w:tblStyle w:val="9"/>
        <w:tblW w:w="7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1"/>
        <w:gridCol w:w="5652"/>
      </w:tblGrid>
      <w:tr w14:paraId="2AB7B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331" w:type="dxa"/>
            <w:vAlign w:val="center"/>
          </w:tcPr>
          <w:p w14:paraId="6A6E0C3F">
            <w:pPr>
              <w:jc w:val="center"/>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序号</w:t>
            </w:r>
          </w:p>
        </w:tc>
        <w:tc>
          <w:tcPr>
            <w:tcW w:w="5652" w:type="dxa"/>
            <w:vAlign w:val="center"/>
          </w:tcPr>
          <w:p w14:paraId="5EFD9135">
            <w:pPr>
              <w:jc w:val="center"/>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单位名称</w:t>
            </w:r>
          </w:p>
        </w:tc>
      </w:tr>
      <w:tr w14:paraId="07685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600A311F">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w:t>
            </w:r>
          </w:p>
        </w:tc>
        <w:tc>
          <w:tcPr>
            <w:tcW w:w="5652" w:type="dxa"/>
            <w:vAlign w:val="center"/>
          </w:tcPr>
          <w:p w14:paraId="5741386C">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新疆维吾尔自治区工业和信息化厅(本级)</w:t>
            </w:r>
          </w:p>
        </w:tc>
      </w:tr>
      <w:tr w14:paraId="388FB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509E740C">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w:t>
            </w:r>
          </w:p>
        </w:tc>
        <w:tc>
          <w:tcPr>
            <w:tcW w:w="5652" w:type="dxa"/>
            <w:vAlign w:val="center"/>
          </w:tcPr>
          <w:p w14:paraId="4DA1F05F">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新疆维吾尔自治区节能监察总队</w:t>
            </w:r>
          </w:p>
        </w:tc>
      </w:tr>
      <w:tr w14:paraId="61C2A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587E80FC">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3</w:t>
            </w:r>
          </w:p>
        </w:tc>
        <w:tc>
          <w:tcPr>
            <w:tcW w:w="5652" w:type="dxa"/>
            <w:vAlign w:val="center"/>
          </w:tcPr>
          <w:p w14:paraId="58B31028">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新疆维吾尔自治区工业和信息化厅信息中心</w:t>
            </w:r>
          </w:p>
        </w:tc>
      </w:tr>
      <w:tr w14:paraId="1A4D2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6BE3651B">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4</w:t>
            </w:r>
          </w:p>
        </w:tc>
        <w:tc>
          <w:tcPr>
            <w:tcW w:w="5652" w:type="dxa"/>
            <w:vAlign w:val="center"/>
          </w:tcPr>
          <w:p w14:paraId="0A206B01">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新疆维吾尔自治区中小企业服务中心</w:t>
            </w:r>
          </w:p>
        </w:tc>
      </w:tr>
      <w:tr w14:paraId="6485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2C5321E4">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5</w:t>
            </w:r>
          </w:p>
        </w:tc>
        <w:tc>
          <w:tcPr>
            <w:tcW w:w="5652" w:type="dxa"/>
            <w:vAlign w:val="center"/>
          </w:tcPr>
          <w:p w14:paraId="0EC58E04">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新疆维吾尔自治区工业和信息化厅机关服务中心</w:t>
            </w:r>
          </w:p>
        </w:tc>
      </w:tr>
      <w:tr w14:paraId="4A0B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5FC3667D">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6</w:t>
            </w:r>
          </w:p>
        </w:tc>
        <w:tc>
          <w:tcPr>
            <w:tcW w:w="5652" w:type="dxa"/>
            <w:vAlign w:val="center"/>
          </w:tcPr>
          <w:p w14:paraId="3EFCFEBB">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新疆轻工职业技术学院</w:t>
            </w:r>
          </w:p>
        </w:tc>
      </w:tr>
      <w:tr w14:paraId="58C4D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077357C1">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7</w:t>
            </w:r>
          </w:p>
        </w:tc>
        <w:tc>
          <w:tcPr>
            <w:tcW w:w="5652" w:type="dxa"/>
            <w:vAlign w:val="center"/>
          </w:tcPr>
          <w:p w14:paraId="22968005">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新疆维吾尔自治区经济和信息化培训中心</w:t>
            </w:r>
          </w:p>
        </w:tc>
      </w:tr>
      <w:tr w14:paraId="06B8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3C664D16">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8</w:t>
            </w:r>
          </w:p>
        </w:tc>
        <w:tc>
          <w:tcPr>
            <w:tcW w:w="5652" w:type="dxa"/>
            <w:vAlign w:val="center"/>
          </w:tcPr>
          <w:p w14:paraId="3820B447">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新疆维吾尔自治区卫星应用中心</w:t>
            </w:r>
          </w:p>
        </w:tc>
      </w:tr>
      <w:tr w14:paraId="15D0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5C70FB88">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9</w:t>
            </w:r>
          </w:p>
        </w:tc>
        <w:tc>
          <w:tcPr>
            <w:tcW w:w="5652" w:type="dxa"/>
            <w:vAlign w:val="center"/>
          </w:tcPr>
          <w:p w14:paraId="160626EC">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新疆维吾尔自治区无线电监测中心</w:t>
            </w:r>
          </w:p>
        </w:tc>
      </w:tr>
      <w:tr w14:paraId="13B4E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17C6549E">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10</w:t>
            </w:r>
          </w:p>
        </w:tc>
        <w:tc>
          <w:tcPr>
            <w:tcW w:w="5652" w:type="dxa"/>
            <w:vAlign w:val="center"/>
          </w:tcPr>
          <w:p w14:paraId="690FCEE6">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新疆伊犁哈萨克自治州无线电管理局</w:t>
            </w:r>
          </w:p>
        </w:tc>
      </w:tr>
      <w:tr w14:paraId="27BC2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354E7D13">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11</w:t>
            </w:r>
          </w:p>
        </w:tc>
        <w:tc>
          <w:tcPr>
            <w:tcW w:w="5652" w:type="dxa"/>
            <w:vAlign w:val="center"/>
          </w:tcPr>
          <w:p w14:paraId="7CF9FB9E">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新疆塔城地区无线电管理局</w:t>
            </w:r>
          </w:p>
        </w:tc>
      </w:tr>
      <w:tr w14:paraId="296FB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57D5DEDB">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12</w:t>
            </w:r>
          </w:p>
        </w:tc>
        <w:tc>
          <w:tcPr>
            <w:tcW w:w="5652" w:type="dxa"/>
            <w:vAlign w:val="center"/>
          </w:tcPr>
          <w:p w14:paraId="2EE3727C">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新疆阿勒泰地区无线电管理局</w:t>
            </w:r>
          </w:p>
        </w:tc>
      </w:tr>
      <w:tr w14:paraId="6650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7F62212E">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13</w:t>
            </w:r>
          </w:p>
        </w:tc>
        <w:tc>
          <w:tcPr>
            <w:tcW w:w="5652" w:type="dxa"/>
            <w:vAlign w:val="center"/>
          </w:tcPr>
          <w:p w14:paraId="608F8AFF">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新疆博尔塔拉蒙古自治州无线电管理局</w:t>
            </w:r>
          </w:p>
        </w:tc>
      </w:tr>
      <w:tr w14:paraId="2800F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72AA9112">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14</w:t>
            </w:r>
          </w:p>
        </w:tc>
        <w:tc>
          <w:tcPr>
            <w:tcW w:w="5652" w:type="dxa"/>
            <w:vAlign w:val="center"/>
          </w:tcPr>
          <w:p w14:paraId="4B40F10C">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新疆昌吉回族自治州无线电管理局</w:t>
            </w:r>
          </w:p>
        </w:tc>
      </w:tr>
      <w:tr w14:paraId="7E06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62547BC0">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15</w:t>
            </w:r>
          </w:p>
        </w:tc>
        <w:tc>
          <w:tcPr>
            <w:tcW w:w="5652" w:type="dxa"/>
            <w:vAlign w:val="center"/>
          </w:tcPr>
          <w:p w14:paraId="3D655C94">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新疆吐鲁番市无线电管理局</w:t>
            </w:r>
          </w:p>
        </w:tc>
      </w:tr>
      <w:tr w14:paraId="1B587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5235F437">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16</w:t>
            </w:r>
          </w:p>
        </w:tc>
        <w:tc>
          <w:tcPr>
            <w:tcW w:w="5652" w:type="dxa"/>
            <w:vAlign w:val="center"/>
          </w:tcPr>
          <w:p w14:paraId="1A379D2F">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新疆哈密市无线电管理局</w:t>
            </w:r>
          </w:p>
        </w:tc>
      </w:tr>
      <w:tr w14:paraId="4C0E7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3F6E55DD">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17</w:t>
            </w:r>
          </w:p>
        </w:tc>
        <w:tc>
          <w:tcPr>
            <w:tcW w:w="5652" w:type="dxa"/>
            <w:vAlign w:val="center"/>
          </w:tcPr>
          <w:p w14:paraId="423E4B88">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新疆巴音郭楞蒙古自治州无线电管理局</w:t>
            </w:r>
          </w:p>
        </w:tc>
      </w:tr>
      <w:tr w14:paraId="1645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10682E04">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18</w:t>
            </w:r>
          </w:p>
        </w:tc>
        <w:tc>
          <w:tcPr>
            <w:tcW w:w="5652" w:type="dxa"/>
            <w:vAlign w:val="center"/>
          </w:tcPr>
          <w:p w14:paraId="508EA96D">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新疆阿克苏地区无线电管理局</w:t>
            </w:r>
          </w:p>
        </w:tc>
      </w:tr>
      <w:tr w14:paraId="3DC0D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633AD240">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19</w:t>
            </w:r>
          </w:p>
        </w:tc>
        <w:tc>
          <w:tcPr>
            <w:tcW w:w="5652" w:type="dxa"/>
            <w:vAlign w:val="center"/>
          </w:tcPr>
          <w:p w14:paraId="402E68DE">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新疆克孜勒苏柯尔克孜自治州无线电管理局</w:t>
            </w:r>
          </w:p>
        </w:tc>
      </w:tr>
      <w:tr w14:paraId="4F6E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15E4F710">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20</w:t>
            </w:r>
          </w:p>
        </w:tc>
        <w:tc>
          <w:tcPr>
            <w:tcW w:w="5652" w:type="dxa"/>
            <w:vAlign w:val="center"/>
          </w:tcPr>
          <w:p w14:paraId="38DA37F8">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新疆喀什地区无线电管理局</w:t>
            </w:r>
          </w:p>
        </w:tc>
      </w:tr>
      <w:tr w14:paraId="3928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054D5F6A">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21</w:t>
            </w:r>
          </w:p>
        </w:tc>
        <w:tc>
          <w:tcPr>
            <w:tcW w:w="5652" w:type="dxa"/>
            <w:vAlign w:val="center"/>
          </w:tcPr>
          <w:p w14:paraId="486D3828">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新疆和田地区无线电管理局</w:t>
            </w:r>
          </w:p>
        </w:tc>
      </w:tr>
      <w:tr w14:paraId="0A256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1C03E20F">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22</w:t>
            </w:r>
          </w:p>
        </w:tc>
        <w:tc>
          <w:tcPr>
            <w:tcW w:w="5652" w:type="dxa"/>
            <w:vAlign w:val="center"/>
          </w:tcPr>
          <w:p w14:paraId="2A2F68C8">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新疆克拉玛依市无线电管理局</w:t>
            </w:r>
          </w:p>
        </w:tc>
      </w:tr>
      <w:tr w14:paraId="00F9D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6676B8E2">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23</w:t>
            </w:r>
          </w:p>
        </w:tc>
        <w:tc>
          <w:tcPr>
            <w:tcW w:w="5652" w:type="dxa"/>
            <w:vAlign w:val="center"/>
          </w:tcPr>
          <w:p w14:paraId="205CCC1A">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新疆石河子市无线电管理局</w:t>
            </w:r>
          </w:p>
        </w:tc>
      </w:tr>
      <w:tr w14:paraId="74C67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3F308B9B">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24</w:t>
            </w:r>
          </w:p>
        </w:tc>
        <w:tc>
          <w:tcPr>
            <w:tcW w:w="5652" w:type="dxa"/>
            <w:vAlign w:val="center"/>
          </w:tcPr>
          <w:p w14:paraId="53E14F21">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新疆奎屯市无线电管理局</w:t>
            </w:r>
          </w:p>
        </w:tc>
      </w:tr>
      <w:tr w14:paraId="05380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16480F2A">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25</w:t>
            </w:r>
          </w:p>
        </w:tc>
        <w:tc>
          <w:tcPr>
            <w:tcW w:w="5652" w:type="dxa"/>
            <w:vAlign w:val="center"/>
          </w:tcPr>
          <w:p w14:paraId="0828BD2D">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新疆乌鲁木齐市无线电管理局</w:t>
            </w:r>
          </w:p>
        </w:tc>
      </w:tr>
      <w:tr w14:paraId="5015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5BB2E5D9">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26</w:t>
            </w:r>
          </w:p>
        </w:tc>
        <w:tc>
          <w:tcPr>
            <w:tcW w:w="5652" w:type="dxa"/>
            <w:vAlign w:val="center"/>
          </w:tcPr>
          <w:p w14:paraId="07F70C63">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新疆维吾尔自治区重要信息系统灾难备份中心</w:t>
            </w:r>
          </w:p>
        </w:tc>
      </w:tr>
      <w:tr w14:paraId="3845D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4BE6CD81">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27</w:t>
            </w:r>
          </w:p>
        </w:tc>
        <w:tc>
          <w:tcPr>
            <w:tcW w:w="5652" w:type="dxa"/>
            <w:vAlign w:val="center"/>
          </w:tcPr>
          <w:p w14:paraId="7A854C27">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新疆维吾尔自治区工业经济和信息化研究院</w:t>
            </w:r>
          </w:p>
        </w:tc>
      </w:tr>
      <w:tr w14:paraId="66F0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37136BC7">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28</w:t>
            </w:r>
          </w:p>
        </w:tc>
        <w:tc>
          <w:tcPr>
            <w:tcW w:w="5652" w:type="dxa"/>
            <w:vAlign w:val="center"/>
          </w:tcPr>
          <w:p w14:paraId="65FC43B5">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新疆维吾尔自治区专业建设工程质量安全监督站</w:t>
            </w:r>
          </w:p>
        </w:tc>
      </w:tr>
      <w:tr w14:paraId="4E589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0F11420B">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29</w:t>
            </w:r>
          </w:p>
        </w:tc>
        <w:tc>
          <w:tcPr>
            <w:tcW w:w="5652" w:type="dxa"/>
            <w:vAlign w:val="center"/>
          </w:tcPr>
          <w:p w14:paraId="2BA4BF2B">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新疆工业职业技术学院（新疆钢铁高级技工学校)</w:t>
            </w:r>
          </w:p>
        </w:tc>
      </w:tr>
      <w:tr w14:paraId="4EB55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2331" w:type="dxa"/>
            <w:vAlign w:val="center"/>
          </w:tcPr>
          <w:p w14:paraId="189C603B">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30</w:t>
            </w:r>
          </w:p>
        </w:tc>
        <w:tc>
          <w:tcPr>
            <w:tcW w:w="5652" w:type="dxa"/>
            <w:vAlign w:val="center"/>
          </w:tcPr>
          <w:p w14:paraId="16A193B3">
            <w:pPr>
              <w:jc w:val="center"/>
              <w:rPr>
                <w:rFonts w:hint="default" w:ascii="Times New Roman" w:hAnsi="Times New Roman" w:eastAsia="仿宋_GB2312" w:cs="Times New Roman"/>
                <w:color w:val="auto"/>
                <w:sz w:val="32"/>
                <w:szCs w:val="32"/>
              </w:rPr>
            </w:pPr>
            <w:r>
              <w:rPr>
                <w:rFonts w:hint="default" w:ascii="Times New Roman" w:hAnsi="Times New Roman" w:cs="Times New Roman"/>
                <w:color w:val="auto"/>
                <w:shd w:val="clear" w:color="auto" w:fill="FFFFFF"/>
              </w:rPr>
              <w:t>新疆安装技工学校</w:t>
            </w:r>
          </w:p>
        </w:tc>
      </w:tr>
    </w:tbl>
    <w:p w14:paraId="24E909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p>
    <w:p w14:paraId="107C9E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p>
    <w:p w14:paraId="43D164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14:paraId="4F6324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25314"/>
      <w:bookmarkStart w:id="9" w:name="_Toc12566"/>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14:paraId="58A44E00">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2023年度</w:t>
      </w:r>
      <w:r>
        <w:rPr>
          <w:rFonts w:hint="default" w:ascii="Times New Roman" w:hAnsi="Times New Roman" w:eastAsia="仿宋_GB2312" w:cs="Times New Roman"/>
          <w:b/>
          <w:bCs/>
          <w:color w:val="auto"/>
          <w:spacing w:val="0"/>
          <w:sz w:val="32"/>
          <w:szCs w:val="32"/>
          <w:highlight w:val="none"/>
          <w:lang w:val="en-US" w:eastAsia="zh-CN"/>
        </w:rPr>
        <w:t>收入总计</w:t>
      </w:r>
      <w:r>
        <w:rPr>
          <w:rFonts w:hint="default" w:ascii="Times New Roman" w:hAnsi="Times New Roman" w:eastAsia="仿宋_GB2312" w:cs="Times New Roman"/>
          <w:b/>
          <w:bCs/>
          <w:color w:val="auto"/>
          <w:spacing w:val="0"/>
          <w:sz w:val="32"/>
          <w:szCs w:val="32"/>
          <w:highlight w:val="none"/>
          <w:lang w:eastAsia="zh-CN"/>
        </w:rPr>
        <w:t>124,754.46万元，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117,156.43万元，使用非财政拨款结余804.38万元，年初结转和结余6,793.66万元。</w:t>
      </w:r>
    </w:p>
    <w:p w14:paraId="120DE018">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val="en-US" w:eastAsia="zh-CN"/>
        </w:rPr>
        <w:t>2023</w:t>
      </w:r>
      <w:r>
        <w:rPr>
          <w:rFonts w:hint="default" w:ascii="Times New Roman" w:hAnsi="Times New Roman" w:eastAsia="仿宋_GB2312" w:cs="Times New Roman"/>
          <w:b/>
          <w:bCs/>
          <w:color w:val="auto"/>
          <w:spacing w:val="0"/>
          <w:sz w:val="32"/>
          <w:szCs w:val="32"/>
          <w:highlight w:val="none"/>
          <w:lang w:eastAsia="zh-CN"/>
        </w:rPr>
        <w:t>年</w:t>
      </w:r>
      <w:r>
        <w:rPr>
          <w:rFonts w:hint="default" w:ascii="Times New Roman" w:hAnsi="Times New Roman" w:eastAsia="仿宋_GB2312" w:cs="Times New Roman"/>
          <w:b/>
          <w:bCs/>
          <w:color w:val="auto"/>
          <w:spacing w:val="0"/>
          <w:sz w:val="32"/>
          <w:szCs w:val="32"/>
          <w:highlight w:val="none"/>
          <w:lang w:val="en-US" w:eastAsia="zh-CN"/>
        </w:rPr>
        <w:t>度</w:t>
      </w:r>
      <w:r>
        <w:rPr>
          <w:rFonts w:hint="default" w:ascii="Times New Roman" w:hAnsi="Times New Roman" w:eastAsia="仿宋_GB2312" w:cs="Times New Roman"/>
          <w:b/>
          <w:bCs/>
          <w:color w:val="auto"/>
          <w:spacing w:val="0"/>
          <w:sz w:val="32"/>
          <w:szCs w:val="32"/>
          <w:highlight w:val="none"/>
          <w:lang w:eastAsia="zh-CN"/>
        </w:rPr>
        <w:t>支出</w:t>
      </w:r>
      <w:r>
        <w:rPr>
          <w:rFonts w:hint="default" w:ascii="Times New Roman" w:hAnsi="Times New Roman" w:eastAsia="仿宋_GB2312" w:cs="Times New Roman"/>
          <w:b/>
          <w:bCs/>
          <w:color w:val="auto"/>
          <w:spacing w:val="0"/>
          <w:sz w:val="32"/>
          <w:szCs w:val="32"/>
          <w:highlight w:val="none"/>
          <w:lang w:val="en-US" w:eastAsia="zh-CN"/>
        </w:rPr>
        <w:t>总计</w:t>
      </w:r>
      <w:r>
        <w:rPr>
          <w:rFonts w:hint="default" w:ascii="Times New Roman" w:hAnsi="Times New Roman" w:eastAsia="仿宋_GB2312" w:cs="Times New Roman"/>
          <w:b/>
          <w:bCs/>
          <w:color w:val="auto"/>
          <w:spacing w:val="0"/>
          <w:sz w:val="32"/>
          <w:szCs w:val="32"/>
          <w:highlight w:val="none"/>
          <w:lang w:eastAsia="zh-CN"/>
        </w:rPr>
        <w:t>124,754.46万元，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119,671.19万元，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254.78万元，年末结转和结余4,828.49万元。</w:t>
      </w:r>
    </w:p>
    <w:p w14:paraId="11E1D2A0">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val="en-US" w:eastAsia="zh-CN"/>
        </w:rPr>
        <w:t>收入支出总体与上年相比</w:t>
      </w:r>
      <w:r>
        <w:rPr>
          <w:rFonts w:hint="default" w:ascii="Times New Roman" w:hAnsi="Times New Roman" w:eastAsia="仿宋_GB2312" w:cs="Times New Roman"/>
          <w:b/>
          <w:bCs/>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增加52,939.81万元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增长73.72%</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b/>
          <w:bCs/>
          <w:color w:val="auto"/>
          <w:spacing w:val="0"/>
          <w:sz w:val="32"/>
          <w:szCs w:val="32"/>
          <w:highlight w:val="none"/>
          <w:lang w:val="en-US" w:eastAsia="zh-CN"/>
        </w:rPr>
        <w:t>一是</w:t>
      </w:r>
      <w:r>
        <w:rPr>
          <w:rFonts w:hint="default" w:ascii="Times New Roman" w:hAnsi="Times New Roman" w:eastAsia="仿宋_GB2312" w:cs="Times New Roman"/>
          <w:color w:val="auto"/>
          <w:spacing w:val="0"/>
          <w:sz w:val="32"/>
          <w:szCs w:val="32"/>
          <w:highlight w:val="none"/>
          <w:lang w:val="en-US" w:eastAsia="zh-CN"/>
        </w:rPr>
        <w:t>财政拨款是工信厅整体预算收入中的主要收入，也是引起增长的主要原因。其中，纳入年初部门预算的财政拨款预算较上年增加，如上年结转预算、中央转移支付项目等。同时，年中追加财政拨款预算较上年增加，如人才发展基金、各项支持产业发展的交流活动经费、三所直属院校教育补助资金等</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b/>
          <w:bCs/>
          <w:color w:val="auto"/>
          <w:spacing w:val="0"/>
          <w:sz w:val="32"/>
          <w:szCs w:val="32"/>
          <w:highlight w:val="none"/>
          <w:lang w:val="en-US" w:eastAsia="zh-CN"/>
        </w:rPr>
        <w:t>二是</w:t>
      </w:r>
      <w:r>
        <w:rPr>
          <w:rFonts w:hint="default" w:ascii="Times New Roman" w:hAnsi="Times New Roman" w:eastAsia="仿宋_GB2312" w:cs="Times New Roman"/>
          <w:color w:val="auto"/>
          <w:spacing w:val="0"/>
          <w:sz w:val="32"/>
          <w:szCs w:val="32"/>
          <w:highlight w:val="none"/>
          <w:lang w:val="en-US" w:eastAsia="zh-CN"/>
        </w:rPr>
        <w:t>本年三所直属院校积极开展教学活动、扩大招生规模，事业收入暨财政专户（教育收费）收入较上年增长。</w:t>
      </w:r>
      <w:r>
        <w:rPr>
          <w:rFonts w:hint="default" w:ascii="Times New Roman" w:hAnsi="Times New Roman" w:eastAsia="仿宋_GB2312" w:cs="Times New Roman"/>
          <w:b/>
          <w:bCs/>
          <w:color w:val="auto"/>
          <w:spacing w:val="0"/>
          <w:sz w:val="32"/>
          <w:szCs w:val="32"/>
          <w:highlight w:val="none"/>
          <w:lang w:val="en-US" w:eastAsia="zh-CN"/>
        </w:rPr>
        <w:t>三是</w:t>
      </w:r>
      <w:r>
        <w:rPr>
          <w:rFonts w:hint="default" w:ascii="Times New Roman" w:hAnsi="Times New Roman" w:eastAsia="仿宋_GB2312" w:cs="Times New Roman"/>
          <w:color w:val="auto"/>
          <w:spacing w:val="0"/>
          <w:sz w:val="32"/>
          <w:szCs w:val="32"/>
          <w:highlight w:val="none"/>
          <w:lang w:val="en-US" w:eastAsia="zh-CN"/>
        </w:rPr>
        <w:t>本年差额事业单位所投资事业经营状况良好，经营收入较上年增长。综上所述，由于收入增加，各项支出相应增加。</w:t>
      </w:r>
    </w:p>
    <w:p w14:paraId="5AA3B5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2142"/>
      <w:bookmarkStart w:id="11" w:name="_Toc1979"/>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14:paraId="39184725">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rPr>
        <w:t>本年收入</w:t>
      </w:r>
      <w:r>
        <w:rPr>
          <w:rFonts w:hint="default" w:ascii="Times New Roman" w:hAnsi="Times New Roman" w:eastAsia="仿宋_GB2312" w:cs="Times New Roman"/>
          <w:b/>
          <w:bCs/>
          <w:color w:val="auto"/>
          <w:sz w:val="32"/>
          <w:szCs w:val="32"/>
          <w:highlight w:val="none"/>
          <w:lang w:eastAsia="zh-CN"/>
        </w:rPr>
        <w:t>117,156.43</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其中：财政拨款收入</w:t>
      </w:r>
      <w:r>
        <w:rPr>
          <w:rFonts w:hint="default" w:ascii="Times New Roman" w:hAnsi="Times New Roman" w:eastAsia="仿宋_GB2312" w:cs="Times New Roman"/>
          <w:color w:val="auto"/>
          <w:sz w:val="32"/>
          <w:szCs w:val="32"/>
          <w:highlight w:val="none"/>
          <w:lang w:val="zh-CN"/>
        </w:rPr>
        <w:t>105,879.61</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90.37</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8,710.13</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7.43</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438.71</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0.37</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2,127.99</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1.82</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14:paraId="392AFF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27961"/>
      <w:bookmarkStart w:id="13" w:name="_Toc1320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14:paraId="47600502">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0"/>
          <w:szCs w:val="30"/>
          <w:highlight w:val="none"/>
          <w:lang w:val="zh-CN" w:eastAsia="zh-CN"/>
        </w:rPr>
      </w:pPr>
      <w:r>
        <w:rPr>
          <w:rFonts w:hint="default" w:ascii="Times New Roman" w:hAnsi="Times New Roman" w:eastAsia="仿宋_GB2312" w:cs="Times New Roman"/>
          <w:b/>
          <w:bCs/>
          <w:color w:val="auto"/>
          <w:sz w:val="32"/>
          <w:szCs w:val="32"/>
          <w:highlight w:val="none"/>
          <w:lang w:val="zh-CN" w:eastAsia="zh-CN"/>
        </w:rPr>
        <w:t>本年支出119,671.19万元，</w:t>
      </w:r>
      <w:r>
        <w:rPr>
          <w:rFonts w:hint="default" w:ascii="Times New Roman" w:hAnsi="Times New Roman" w:eastAsia="仿宋_GB2312" w:cs="Times New Roman"/>
          <w:color w:val="auto"/>
          <w:sz w:val="32"/>
          <w:szCs w:val="32"/>
          <w:highlight w:val="none"/>
          <w:lang w:val="zh-CN" w:eastAsia="zh-CN"/>
        </w:rPr>
        <w:t>其中：基本支出42,425.64万元，占35.45%；项目支出77,044.99万元，占64.38%；上缴上级支出0.00万元，占0.00%；经营支出200.56万元，占0.17%；对附属单位补助支出0.00万元，占0.00%。</w:t>
      </w:r>
    </w:p>
    <w:p w14:paraId="464B75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26564"/>
      <w:bookmarkStart w:id="15" w:name="_Toc4393"/>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14:paraId="4587141B">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2023年度财政拨款收入</w:t>
      </w:r>
      <w:r>
        <w:rPr>
          <w:rFonts w:hint="default" w:ascii="Times New Roman" w:hAnsi="Times New Roman" w:eastAsia="仿宋_GB2312" w:cs="Times New Roman"/>
          <w:b/>
          <w:bCs/>
          <w:color w:val="auto"/>
          <w:spacing w:val="0"/>
          <w:sz w:val="32"/>
          <w:szCs w:val="32"/>
          <w:highlight w:val="none"/>
          <w:lang w:val="en-US" w:eastAsia="zh-CN"/>
        </w:rPr>
        <w:t>总计</w:t>
      </w:r>
      <w:r>
        <w:rPr>
          <w:rFonts w:hint="default" w:ascii="Times New Roman" w:hAnsi="Times New Roman" w:eastAsia="仿宋_GB2312" w:cs="Times New Roman"/>
          <w:b/>
          <w:bCs/>
          <w:color w:val="auto"/>
          <w:spacing w:val="0"/>
          <w:sz w:val="32"/>
          <w:szCs w:val="32"/>
          <w:highlight w:val="none"/>
          <w:lang w:val="zh-CN" w:eastAsia="zh-CN"/>
        </w:rPr>
        <w:t>107,851.45</w:t>
      </w:r>
      <w:r>
        <w:rPr>
          <w:rFonts w:hint="default" w:ascii="Times New Roman" w:hAnsi="Times New Roman" w:eastAsia="仿宋_GB2312" w:cs="Times New Roman"/>
          <w:b/>
          <w:bCs/>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1,971.84</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105,879.61</w:t>
      </w:r>
      <w:r>
        <w:rPr>
          <w:rFonts w:hint="default" w:ascii="Times New Roman" w:hAnsi="Times New Roman" w:eastAsia="仿宋_GB2312" w:cs="Times New Roman"/>
          <w:color w:val="auto"/>
          <w:spacing w:val="0"/>
          <w:sz w:val="32"/>
          <w:szCs w:val="32"/>
          <w:highlight w:val="none"/>
          <w:lang w:eastAsia="zh-CN"/>
        </w:rPr>
        <w:t>万元。财政拨款支出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107,851.45</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506.18</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107,345.27</w:t>
      </w:r>
      <w:r>
        <w:rPr>
          <w:rFonts w:hint="default" w:ascii="Times New Roman" w:hAnsi="Times New Roman" w:eastAsia="仿宋_GB2312" w:cs="Times New Roman"/>
          <w:color w:val="auto"/>
          <w:spacing w:val="0"/>
          <w:sz w:val="32"/>
          <w:szCs w:val="32"/>
          <w:highlight w:val="none"/>
          <w:lang w:eastAsia="zh-CN"/>
        </w:rPr>
        <w:t>万元。</w:t>
      </w:r>
    </w:p>
    <w:p w14:paraId="0E3ED836">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lang w:eastAsia="zh-CN"/>
        </w:rPr>
        <w:t>财政拨款收入支出总体与上年相比</w:t>
      </w:r>
      <w:r>
        <w:rPr>
          <w:rFonts w:hint="default" w:ascii="Times New Roman" w:hAnsi="Times New Roman" w:eastAsia="仿宋_GB2312" w:cs="Times New Roman"/>
          <w:b/>
          <w:bCs/>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zh-CN" w:eastAsia="zh-CN"/>
        </w:rPr>
        <w:t>增加47,968.69万元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增长80.10%，</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b/>
          <w:bCs/>
          <w:color w:val="auto"/>
          <w:spacing w:val="0"/>
          <w:sz w:val="32"/>
          <w:szCs w:val="32"/>
          <w:highlight w:val="none"/>
          <w:lang w:val="en-US" w:eastAsia="zh-CN"/>
        </w:rPr>
        <w:t>一是</w:t>
      </w:r>
      <w:r>
        <w:rPr>
          <w:rFonts w:hint="default" w:ascii="Times New Roman" w:hAnsi="Times New Roman" w:eastAsia="仿宋_GB2312" w:cs="Times New Roman"/>
          <w:color w:val="auto"/>
          <w:spacing w:val="0"/>
          <w:sz w:val="32"/>
          <w:szCs w:val="32"/>
          <w:highlight w:val="none"/>
          <w:lang w:val="en-US" w:eastAsia="zh-CN"/>
        </w:rPr>
        <w:t>纳入年初部门预算的财政拨款预算较上年增加，如上年结转项目预算、中央转移支付项目预算等。</w:t>
      </w:r>
      <w:r>
        <w:rPr>
          <w:rFonts w:hint="default" w:ascii="Times New Roman" w:hAnsi="Times New Roman" w:eastAsia="仿宋_GB2312" w:cs="Times New Roman"/>
          <w:b/>
          <w:bCs/>
          <w:color w:val="auto"/>
          <w:spacing w:val="0"/>
          <w:sz w:val="32"/>
          <w:szCs w:val="32"/>
          <w:highlight w:val="none"/>
          <w:lang w:val="en-US" w:eastAsia="zh-CN"/>
        </w:rPr>
        <w:t>二是</w:t>
      </w:r>
      <w:r>
        <w:rPr>
          <w:rFonts w:hint="default" w:ascii="Times New Roman" w:hAnsi="Times New Roman" w:eastAsia="仿宋_GB2312" w:cs="Times New Roman"/>
          <w:color w:val="auto"/>
          <w:spacing w:val="0"/>
          <w:sz w:val="32"/>
          <w:szCs w:val="32"/>
          <w:highlight w:val="none"/>
          <w:lang w:val="en-US" w:eastAsia="zh-CN"/>
        </w:rPr>
        <w:t>年中追加财政拨款预算较上年增加，如人员经费、人才发展基金、各项支持产业发展的交流活动经费、三所直属院校教育补助资金等</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b/>
          <w:bCs/>
          <w:color w:val="auto"/>
          <w:spacing w:val="0"/>
          <w:sz w:val="32"/>
          <w:szCs w:val="32"/>
          <w:highlight w:val="none"/>
          <w:lang w:eastAsia="zh-CN"/>
        </w:rPr>
        <w:t>与年初预算相比，</w:t>
      </w:r>
      <w:r>
        <w:rPr>
          <w:rFonts w:hint="default" w:ascii="Times New Roman" w:hAnsi="Times New Roman" w:eastAsia="仿宋_GB2312" w:cs="Times New Roman"/>
          <w:color w:val="auto"/>
          <w:spacing w:val="0"/>
          <w:sz w:val="32"/>
          <w:szCs w:val="32"/>
          <w:highlight w:val="none"/>
          <w:lang w:eastAsia="zh-CN"/>
        </w:rPr>
        <w:t>年初预算数</w:t>
      </w:r>
      <w:r>
        <w:rPr>
          <w:rFonts w:hint="default" w:ascii="Times New Roman" w:hAnsi="Times New Roman" w:eastAsia="仿宋_GB2312" w:cs="Times New Roman"/>
          <w:color w:val="auto"/>
          <w:spacing w:val="0"/>
          <w:sz w:val="32"/>
          <w:szCs w:val="32"/>
          <w:highlight w:val="none"/>
          <w:lang w:val="zh-CN" w:eastAsia="zh-CN"/>
        </w:rPr>
        <w:t>60,999.66</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107,851.45</w:t>
      </w:r>
      <w:r>
        <w:rPr>
          <w:rFonts w:hint="default" w:ascii="Times New Roman" w:hAnsi="Times New Roman" w:eastAsia="仿宋_GB2312" w:cs="Times New Roman"/>
          <w:color w:val="auto"/>
          <w:spacing w:val="0"/>
          <w:sz w:val="32"/>
          <w:szCs w:val="32"/>
          <w:highlight w:val="none"/>
          <w:lang w:eastAsia="zh-CN"/>
        </w:rPr>
        <w:t>万元，预决算差异率76.81%，</w:t>
      </w:r>
      <w:r>
        <w:rPr>
          <w:rFonts w:hint="default" w:ascii="Times New Roman" w:hAnsi="Times New Roman" w:eastAsia="仿宋_GB2312" w:cs="Times New Roman"/>
          <w:color w:val="auto"/>
          <w:spacing w:val="0"/>
          <w:sz w:val="32"/>
          <w:szCs w:val="32"/>
          <w:highlight w:val="none"/>
          <w:lang w:val="en-US" w:eastAsia="zh-CN"/>
        </w:rPr>
        <w:t>主要原因是：年中追加财政拨款基本支出预算如职业年金、丧葬抚恤金等，追加财政拨款项目支出预算如人才发展基金、各项支持产业发展的交流活动经费、三所直属院校教育补助资金等</w:t>
      </w:r>
      <w:r>
        <w:rPr>
          <w:rFonts w:hint="default" w:ascii="Times New Roman" w:hAnsi="Times New Roman" w:eastAsia="仿宋_GB2312" w:cs="Times New Roman"/>
          <w:color w:val="auto"/>
          <w:spacing w:val="0"/>
          <w:sz w:val="32"/>
          <w:szCs w:val="32"/>
          <w:highlight w:val="none"/>
          <w:lang w:eastAsia="zh-CN"/>
        </w:rPr>
        <w:t>。</w:t>
      </w:r>
    </w:p>
    <w:p w14:paraId="76CFDD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13833"/>
      <w:bookmarkStart w:id="17" w:name="_Toc20360"/>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14:paraId="281325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14:paraId="1130DD4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lang w:eastAsia="zh-CN"/>
        </w:rPr>
        <w:t>2023年度一般公共预算财政拨款支出107,345.27万元，</w:t>
      </w:r>
      <w:r>
        <w:rPr>
          <w:rFonts w:hint="default" w:ascii="Times New Roman" w:hAnsi="Times New Roman" w:eastAsia="仿宋_GB2312" w:cs="Times New Roman"/>
          <w:color w:val="auto"/>
          <w:spacing w:val="0"/>
          <w:sz w:val="32"/>
          <w:szCs w:val="32"/>
          <w:highlight w:val="none"/>
          <w:lang w:eastAsia="zh-CN"/>
        </w:rPr>
        <w:t>占本年支出合计的</w:t>
      </w:r>
      <w:r>
        <w:rPr>
          <w:rFonts w:hint="default" w:ascii="Times New Roman" w:hAnsi="Times New Roman" w:eastAsia="仿宋_GB2312" w:cs="Times New Roman"/>
          <w:color w:val="auto"/>
          <w:spacing w:val="0"/>
          <w:sz w:val="32"/>
          <w:szCs w:val="32"/>
          <w:highlight w:val="none"/>
          <w:lang w:val="zh-CN" w:eastAsia="zh-CN"/>
        </w:rPr>
        <w:t>89.70%</w:t>
      </w:r>
      <w:r>
        <w:rPr>
          <w:rFonts w:hint="default" w:ascii="Times New Roman" w:hAnsi="Times New Roman" w:eastAsia="仿宋_GB2312" w:cs="Times New Roman"/>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增加49,692.54万元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增长86.19%，</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b/>
          <w:bCs/>
          <w:color w:val="auto"/>
          <w:spacing w:val="0"/>
          <w:sz w:val="32"/>
          <w:szCs w:val="32"/>
          <w:highlight w:val="none"/>
          <w:lang w:val="en-US" w:eastAsia="zh-CN"/>
        </w:rPr>
        <w:t>一是</w:t>
      </w:r>
      <w:r>
        <w:rPr>
          <w:rFonts w:hint="default" w:ascii="Times New Roman" w:hAnsi="Times New Roman" w:eastAsia="仿宋_GB2312" w:cs="Times New Roman"/>
          <w:color w:val="auto"/>
          <w:spacing w:val="0"/>
          <w:sz w:val="32"/>
          <w:szCs w:val="32"/>
          <w:highlight w:val="none"/>
          <w:lang w:val="en-US" w:eastAsia="zh-CN"/>
        </w:rPr>
        <w:t>纳入年初部门预算的</w:t>
      </w:r>
      <w:r>
        <w:rPr>
          <w:rFonts w:hint="default" w:ascii="Times New Roman" w:hAnsi="Times New Roman" w:eastAsia="仿宋_GB2312" w:cs="Times New Roman"/>
          <w:color w:val="auto"/>
          <w:spacing w:val="0"/>
          <w:sz w:val="32"/>
          <w:szCs w:val="32"/>
          <w:highlight w:val="none"/>
          <w:lang w:eastAsia="zh-CN"/>
        </w:rPr>
        <w:t>一般公共预算</w:t>
      </w:r>
      <w:r>
        <w:rPr>
          <w:rFonts w:hint="default" w:ascii="Times New Roman" w:hAnsi="Times New Roman" w:eastAsia="仿宋_GB2312" w:cs="Times New Roman"/>
          <w:color w:val="auto"/>
          <w:spacing w:val="0"/>
          <w:sz w:val="32"/>
          <w:szCs w:val="32"/>
          <w:highlight w:val="none"/>
          <w:lang w:val="en-US" w:eastAsia="zh-CN"/>
        </w:rPr>
        <w:t>财政拨款较上年增加，如上年结转项目预算、中央转移支付项目预算等。</w:t>
      </w:r>
      <w:r>
        <w:rPr>
          <w:rFonts w:hint="default" w:ascii="Times New Roman" w:hAnsi="Times New Roman" w:eastAsia="仿宋_GB2312" w:cs="Times New Roman"/>
          <w:b/>
          <w:bCs/>
          <w:color w:val="auto"/>
          <w:spacing w:val="0"/>
          <w:sz w:val="32"/>
          <w:szCs w:val="32"/>
          <w:highlight w:val="none"/>
          <w:lang w:val="en-US" w:eastAsia="zh-CN"/>
        </w:rPr>
        <w:t>二是</w:t>
      </w:r>
      <w:r>
        <w:rPr>
          <w:rFonts w:hint="default" w:ascii="Times New Roman" w:hAnsi="Times New Roman" w:eastAsia="仿宋_GB2312" w:cs="Times New Roman"/>
          <w:color w:val="auto"/>
          <w:spacing w:val="0"/>
          <w:sz w:val="32"/>
          <w:szCs w:val="32"/>
          <w:highlight w:val="none"/>
          <w:lang w:val="en-US" w:eastAsia="zh-CN"/>
        </w:rPr>
        <w:t>年中追加</w:t>
      </w:r>
      <w:r>
        <w:rPr>
          <w:rFonts w:hint="default" w:ascii="Times New Roman" w:hAnsi="Times New Roman" w:eastAsia="仿宋_GB2312" w:cs="Times New Roman"/>
          <w:color w:val="auto"/>
          <w:spacing w:val="0"/>
          <w:sz w:val="32"/>
          <w:szCs w:val="32"/>
          <w:highlight w:val="none"/>
          <w:lang w:eastAsia="zh-CN"/>
        </w:rPr>
        <w:t>一般公共预算</w:t>
      </w:r>
      <w:r>
        <w:rPr>
          <w:rFonts w:hint="default" w:ascii="Times New Roman" w:hAnsi="Times New Roman" w:eastAsia="仿宋_GB2312" w:cs="Times New Roman"/>
          <w:color w:val="auto"/>
          <w:spacing w:val="0"/>
          <w:sz w:val="32"/>
          <w:szCs w:val="32"/>
          <w:highlight w:val="none"/>
          <w:lang w:val="en-US" w:eastAsia="zh-CN"/>
        </w:rPr>
        <w:t>财政拨款支出较上年增加，如人员经费、人才发展基金、各项支持产业发展的交流活动经费、三所直属院校教育补助资金等</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b/>
          <w:bCs/>
          <w:color w:val="auto"/>
          <w:spacing w:val="0"/>
          <w:sz w:val="32"/>
          <w:szCs w:val="32"/>
          <w:highlight w:val="none"/>
          <w:lang w:eastAsia="zh-CN"/>
        </w:rPr>
        <w:t>与年初预算相比，</w:t>
      </w:r>
      <w:r>
        <w:rPr>
          <w:rFonts w:hint="default" w:ascii="Times New Roman" w:hAnsi="Times New Roman" w:eastAsia="仿宋_GB2312" w:cs="Times New Roman"/>
          <w:color w:val="auto"/>
          <w:spacing w:val="0"/>
          <w:sz w:val="32"/>
          <w:szCs w:val="32"/>
          <w:highlight w:val="none"/>
          <w:lang w:eastAsia="zh-CN"/>
        </w:rPr>
        <w:t>年初预算数</w:t>
      </w:r>
      <w:r>
        <w:rPr>
          <w:rFonts w:hint="default" w:ascii="Times New Roman" w:hAnsi="Times New Roman" w:eastAsia="仿宋_GB2312" w:cs="Times New Roman"/>
          <w:color w:val="auto"/>
          <w:spacing w:val="0"/>
          <w:sz w:val="32"/>
          <w:szCs w:val="32"/>
          <w:highlight w:val="none"/>
          <w:lang w:val="zh-CN" w:eastAsia="zh-CN"/>
        </w:rPr>
        <w:t>60,999.66</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107,345.27</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75.98%</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年中追加一般公共预算财政拨款基本支出如职业年金、丧葬抚恤金等，追加一般公共预算财政拨款项目支出如人才发展基金、各项支持产业发展的交流活动经费、三所直属院校教育补助资金等</w:t>
      </w:r>
      <w:r>
        <w:rPr>
          <w:rFonts w:hint="default" w:ascii="Times New Roman" w:hAnsi="Times New Roman" w:eastAsia="仿宋_GB2312" w:cs="Times New Roman"/>
          <w:color w:val="auto"/>
          <w:spacing w:val="0"/>
          <w:sz w:val="32"/>
          <w:szCs w:val="32"/>
          <w:highlight w:val="none"/>
          <w:lang w:eastAsia="zh-CN"/>
        </w:rPr>
        <w:t>。</w:t>
      </w:r>
    </w:p>
    <w:p w14:paraId="55872EDD">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14:paraId="088CFA1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zh-CN" w:eastAsia="zh-CN" w:bidi="ar-SA"/>
        </w:rPr>
        <w:t>1.</w:t>
      </w:r>
      <w:r>
        <w:rPr>
          <w:rFonts w:hint="default" w:ascii="Times New Roman" w:hAnsi="Times New Roman" w:eastAsia="仿宋_GB2312" w:cs="Times New Roman"/>
          <w:color w:val="auto"/>
          <w:spacing w:val="0"/>
          <w:kern w:val="2"/>
          <w:sz w:val="32"/>
          <w:szCs w:val="32"/>
          <w:highlight w:val="none"/>
          <w:lang w:val="zh-CN" w:eastAsia="zh-CN" w:bidi="ar-SA"/>
        </w:rPr>
        <w:t>一般公共服务支出（类）</w:t>
      </w:r>
      <w:r>
        <w:rPr>
          <w:rFonts w:hint="default" w:ascii="Times New Roman" w:hAnsi="Times New Roman" w:eastAsia="仿宋_GB2312" w:cs="Times New Roman"/>
          <w:color w:val="auto"/>
          <w:spacing w:val="0"/>
          <w:kern w:val="2"/>
          <w:sz w:val="32"/>
          <w:szCs w:val="32"/>
          <w:highlight w:val="none"/>
          <w:lang w:val="zh-CN" w:eastAsia="zh-CN" w:bidi="ar-SA"/>
        </w:rPr>
        <w:t>85.99</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0.08</w:t>
      </w:r>
      <w:r>
        <w:rPr>
          <w:rFonts w:hint="default" w:ascii="Times New Roman" w:hAnsi="Times New Roman" w:eastAsia="仿宋_GB2312" w:cs="Times New Roman"/>
          <w:color w:val="auto"/>
          <w:spacing w:val="0"/>
          <w:kern w:val="2"/>
          <w:sz w:val="32"/>
          <w:szCs w:val="32"/>
          <w:highlight w:val="none"/>
          <w:lang w:val="zh-CN" w:eastAsia="zh-CN" w:bidi="ar-SA"/>
        </w:rPr>
        <w:t>%；</w:t>
      </w:r>
    </w:p>
    <w:p w14:paraId="6ECAAE0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教育支出（类）</w:t>
      </w:r>
      <w:r>
        <w:rPr>
          <w:rFonts w:hint="default" w:ascii="Times New Roman" w:hAnsi="Times New Roman" w:eastAsia="仿宋_GB2312" w:cs="Times New Roman"/>
          <w:color w:val="auto"/>
          <w:spacing w:val="0"/>
          <w:kern w:val="2"/>
          <w:sz w:val="32"/>
          <w:szCs w:val="32"/>
          <w:highlight w:val="none"/>
          <w:lang w:val="zh-CN" w:eastAsia="zh-CN" w:bidi="ar-SA"/>
        </w:rPr>
        <w:t>36,415.63</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33.92</w:t>
      </w:r>
      <w:r>
        <w:rPr>
          <w:rFonts w:hint="default" w:ascii="Times New Roman" w:hAnsi="Times New Roman" w:eastAsia="仿宋_GB2312" w:cs="Times New Roman"/>
          <w:color w:val="auto"/>
          <w:spacing w:val="0"/>
          <w:kern w:val="2"/>
          <w:sz w:val="32"/>
          <w:szCs w:val="32"/>
          <w:highlight w:val="none"/>
          <w:lang w:val="zh-CN" w:eastAsia="zh-CN" w:bidi="ar-SA"/>
        </w:rPr>
        <w:t>%；</w:t>
      </w:r>
    </w:p>
    <w:p w14:paraId="67BA4D9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en-US"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en-US"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科学技术支出（类）</w:t>
      </w:r>
      <w:r>
        <w:rPr>
          <w:rFonts w:hint="default" w:ascii="Times New Roman" w:hAnsi="Times New Roman" w:eastAsia="仿宋_GB2312" w:cs="Times New Roman"/>
          <w:color w:val="auto"/>
          <w:spacing w:val="0"/>
          <w:kern w:val="2"/>
          <w:sz w:val="32"/>
          <w:szCs w:val="32"/>
          <w:highlight w:val="none"/>
          <w:lang w:val="zh-CN" w:eastAsia="zh-CN" w:bidi="ar-SA"/>
        </w:rPr>
        <w:t>7.00</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0.01</w:t>
      </w:r>
      <w:r>
        <w:rPr>
          <w:rFonts w:hint="default" w:ascii="Times New Roman" w:hAnsi="Times New Roman" w:eastAsia="仿宋_GB2312" w:cs="Times New Roman"/>
          <w:color w:val="auto"/>
          <w:spacing w:val="0"/>
          <w:kern w:val="2"/>
          <w:sz w:val="32"/>
          <w:szCs w:val="32"/>
          <w:highlight w:val="none"/>
          <w:lang w:val="en-US" w:eastAsia="zh-CN" w:bidi="ar-SA"/>
        </w:rPr>
        <w:t>%；</w:t>
      </w:r>
    </w:p>
    <w:p w14:paraId="199287A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4</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w:t>
      </w:r>
      <w:r>
        <w:rPr>
          <w:rFonts w:hint="default" w:ascii="Times New Roman" w:hAnsi="Times New Roman" w:eastAsia="仿宋_GB2312" w:cs="Times New Roman"/>
          <w:color w:val="auto"/>
          <w:spacing w:val="0"/>
          <w:kern w:val="2"/>
          <w:sz w:val="32"/>
          <w:szCs w:val="32"/>
          <w:highlight w:val="none"/>
          <w:lang w:val="zh-CN" w:eastAsia="zh-CN" w:bidi="ar-SA"/>
        </w:rPr>
        <w:t>4,606.76</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4.29</w:t>
      </w:r>
      <w:r>
        <w:rPr>
          <w:rFonts w:hint="default" w:ascii="Times New Roman" w:hAnsi="Times New Roman" w:eastAsia="仿宋_GB2312" w:cs="Times New Roman"/>
          <w:color w:val="auto"/>
          <w:spacing w:val="0"/>
          <w:kern w:val="2"/>
          <w:sz w:val="32"/>
          <w:szCs w:val="32"/>
          <w:highlight w:val="none"/>
          <w:lang w:val="zh-CN" w:eastAsia="zh-CN" w:bidi="ar-SA"/>
        </w:rPr>
        <w:t>%；</w:t>
      </w:r>
    </w:p>
    <w:p w14:paraId="1F824BF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5</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w:t>
      </w:r>
      <w:r>
        <w:rPr>
          <w:rFonts w:hint="default" w:ascii="Times New Roman" w:hAnsi="Times New Roman" w:eastAsia="仿宋_GB2312" w:cs="Times New Roman"/>
          <w:color w:val="auto"/>
          <w:spacing w:val="0"/>
          <w:kern w:val="2"/>
          <w:sz w:val="32"/>
          <w:szCs w:val="32"/>
          <w:highlight w:val="none"/>
          <w:lang w:val="zh-CN" w:eastAsia="zh-CN" w:bidi="ar-SA"/>
        </w:rPr>
        <w:t>928.41</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0.86</w:t>
      </w:r>
      <w:r>
        <w:rPr>
          <w:rFonts w:hint="default" w:ascii="Times New Roman" w:hAnsi="Times New Roman" w:eastAsia="仿宋_GB2312" w:cs="Times New Roman"/>
          <w:color w:val="auto"/>
          <w:spacing w:val="0"/>
          <w:kern w:val="2"/>
          <w:sz w:val="32"/>
          <w:szCs w:val="32"/>
          <w:highlight w:val="none"/>
          <w:lang w:val="zh-CN" w:eastAsia="zh-CN" w:bidi="ar-SA"/>
        </w:rPr>
        <w:t>%；</w:t>
      </w:r>
    </w:p>
    <w:p w14:paraId="14AB42D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6</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节能环保支出（类）</w:t>
      </w:r>
      <w:r>
        <w:rPr>
          <w:rFonts w:hint="default" w:ascii="Times New Roman" w:hAnsi="Times New Roman" w:eastAsia="仿宋_GB2312" w:cs="Times New Roman"/>
          <w:color w:val="auto"/>
          <w:spacing w:val="0"/>
          <w:kern w:val="2"/>
          <w:sz w:val="32"/>
          <w:szCs w:val="32"/>
          <w:highlight w:val="none"/>
          <w:lang w:val="zh-CN" w:eastAsia="zh-CN" w:bidi="ar-SA"/>
        </w:rPr>
        <w:t>505.53</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0.47</w:t>
      </w:r>
      <w:r>
        <w:rPr>
          <w:rFonts w:hint="default" w:ascii="Times New Roman" w:hAnsi="Times New Roman" w:eastAsia="仿宋_GB2312" w:cs="Times New Roman"/>
          <w:color w:val="auto"/>
          <w:spacing w:val="0"/>
          <w:kern w:val="2"/>
          <w:sz w:val="32"/>
          <w:szCs w:val="32"/>
          <w:highlight w:val="none"/>
          <w:lang w:val="zh-CN" w:eastAsia="zh-CN" w:bidi="ar-SA"/>
        </w:rPr>
        <w:t>%；</w:t>
      </w:r>
    </w:p>
    <w:p w14:paraId="389D727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7</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资源勘探信息等支出（类）</w:t>
      </w:r>
      <w:r>
        <w:rPr>
          <w:rFonts w:hint="default" w:ascii="Times New Roman" w:hAnsi="Times New Roman" w:eastAsia="仿宋_GB2312" w:cs="Times New Roman"/>
          <w:color w:val="auto"/>
          <w:spacing w:val="0"/>
          <w:kern w:val="2"/>
          <w:sz w:val="32"/>
          <w:szCs w:val="32"/>
          <w:highlight w:val="none"/>
          <w:lang w:val="zh-CN" w:eastAsia="zh-CN" w:bidi="ar-SA"/>
        </w:rPr>
        <w:t>63,974.57</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59.60</w:t>
      </w:r>
      <w:r>
        <w:rPr>
          <w:rFonts w:hint="default" w:ascii="Times New Roman" w:hAnsi="Times New Roman" w:eastAsia="仿宋_GB2312" w:cs="Times New Roman"/>
          <w:color w:val="auto"/>
          <w:spacing w:val="0"/>
          <w:kern w:val="2"/>
          <w:sz w:val="32"/>
          <w:szCs w:val="32"/>
          <w:highlight w:val="none"/>
          <w:lang w:val="zh-CN" w:eastAsia="zh-CN" w:bidi="ar-SA"/>
        </w:rPr>
        <w:t>%；</w:t>
      </w:r>
    </w:p>
    <w:p w14:paraId="1F7614D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8</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w:t>
      </w:r>
      <w:r>
        <w:rPr>
          <w:rFonts w:hint="default" w:ascii="Times New Roman" w:hAnsi="Times New Roman" w:eastAsia="仿宋_GB2312" w:cs="Times New Roman"/>
          <w:color w:val="auto"/>
          <w:spacing w:val="0"/>
          <w:kern w:val="2"/>
          <w:sz w:val="32"/>
          <w:szCs w:val="32"/>
          <w:highlight w:val="none"/>
          <w:lang w:val="zh-CN" w:eastAsia="zh-CN" w:bidi="ar-SA"/>
        </w:rPr>
        <w:t>816.37</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0.76</w:t>
      </w:r>
      <w:r>
        <w:rPr>
          <w:rFonts w:hint="default" w:ascii="Times New Roman" w:hAnsi="Times New Roman" w:eastAsia="仿宋_GB2312" w:cs="Times New Roman"/>
          <w:color w:val="auto"/>
          <w:spacing w:val="0"/>
          <w:kern w:val="2"/>
          <w:sz w:val="32"/>
          <w:szCs w:val="32"/>
          <w:highlight w:val="none"/>
          <w:lang w:val="zh-CN" w:eastAsia="zh-CN" w:bidi="ar-SA"/>
        </w:rPr>
        <w:t>%；</w:t>
      </w:r>
    </w:p>
    <w:p w14:paraId="28148CD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9</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lang w:val="zh-CN" w:eastAsia="zh-CN" w:bidi="ar-SA"/>
        </w:rPr>
        <w:t>灾</w:t>
      </w:r>
      <w:r>
        <w:rPr>
          <w:rFonts w:hint="default" w:ascii="Times New Roman" w:hAnsi="Times New Roman" w:eastAsia="仿宋_GB2312" w:cs="Times New Roman"/>
          <w:color w:val="auto"/>
          <w:spacing w:val="0"/>
          <w:kern w:val="2"/>
          <w:sz w:val="32"/>
          <w:szCs w:val="32"/>
          <w:highlight w:val="none"/>
          <w:lang w:val="zh-CN" w:eastAsia="zh-CN" w:bidi="ar-SA"/>
        </w:rPr>
        <w:t>害防治及应急管理支出（类）</w:t>
      </w:r>
      <w:r>
        <w:rPr>
          <w:rFonts w:hint="default" w:ascii="Times New Roman" w:hAnsi="Times New Roman" w:eastAsia="仿宋_GB2312" w:cs="Times New Roman"/>
          <w:color w:val="auto"/>
          <w:spacing w:val="0"/>
          <w:kern w:val="2"/>
          <w:sz w:val="32"/>
          <w:szCs w:val="32"/>
          <w:highlight w:val="none"/>
          <w:lang w:val="zh-CN" w:eastAsia="zh-CN" w:bidi="ar-SA"/>
        </w:rPr>
        <w:t>5.00</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0.0</w:t>
      </w:r>
      <w:r>
        <w:rPr>
          <w:rFonts w:hint="default" w:ascii="Times New Roman" w:hAnsi="Times New Roman" w:eastAsia="仿宋_GB2312" w:cs="Times New Roman"/>
          <w:color w:val="auto"/>
          <w:spacing w:val="0"/>
          <w:kern w:val="2"/>
          <w:sz w:val="32"/>
          <w:szCs w:val="32"/>
          <w:highlight w:val="none"/>
          <w:lang w:val="en-US" w:eastAsia="zh-CN" w:bidi="ar-SA"/>
        </w:rPr>
        <w:t>1</w:t>
      </w:r>
      <w:r>
        <w:rPr>
          <w:rFonts w:hint="default" w:ascii="Times New Roman" w:hAnsi="Times New Roman" w:eastAsia="仿宋_GB2312" w:cs="Times New Roman"/>
          <w:color w:val="auto"/>
          <w:spacing w:val="0"/>
          <w:kern w:val="2"/>
          <w:sz w:val="32"/>
          <w:szCs w:val="32"/>
          <w:highlight w:val="none"/>
          <w:lang w:val="zh-CN" w:eastAsia="zh-CN" w:bidi="ar-SA"/>
        </w:rPr>
        <w:t>%；</w:t>
      </w:r>
    </w:p>
    <w:p w14:paraId="7EB37EA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14:paraId="421349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1.灾害防治及应急管理支出（类）应急管理事务（款）安全监管（项）:支出决算数为5.00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5.00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100%，主要原因是：</w:t>
      </w:r>
      <w:r>
        <w:rPr>
          <w:rFonts w:hint="default" w:ascii="Times New Roman" w:hAnsi="Times New Roman" w:eastAsia="仿宋_GB2312" w:cs="Times New Roman"/>
          <w:color w:val="auto"/>
          <w:kern w:val="2"/>
          <w:sz w:val="32"/>
          <w:szCs w:val="32"/>
          <w:highlight w:val="none"/>
          <w:lang w:val="en-US" w:eastAsia="zh-CN" w:bidi="ar-SA"/>
        </w:rPr>
        <w:t>本年工信厅本级新增财政拨款预算安全生产类项目5万元</w:t>
      </w:r>
      <w:r>
        <w:rPr>
          <w:rFonts w:hint="default" w:ascii="Times New Roman" w:hAnsi="Times New Roman" w:eastAsia="仿宋_GB2312" w:cs="Times New Roman"/>
          <w:color w:val="auto"/>
          <w:kern w:val="2"/>
          <w:sz w:val="32"/>
          <w:szCs w:val="32"/>
          <w:highlight w:val="none"/>
          <w:lang w:val="zh-CN" w:eastAsia="zh-CN" w:bidi="ar-SA"/>
        </w:rPr>
        <w:t>。</w:t>
      </w:r>
    </w:p>
    <w:p w14:paraId="76B843B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2.社会保障和就业支出（类）抚恤（款）死亡抚恤（项）:支出决算数为433.72</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94.01</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27.67%，主要原因是：</w:t>
      </w:r>
      <w:r>
        <w:rPr>
          <w:rFonts w:hint="default" w:ascii="Times New Roman" w:hAnsi="Times New Roman" w:eastAsia="仿宋_GB2312" w:cs="Times New Roman"/>
          <w:color w:val="auto"/>
          <w:kern w:val="2"/>
          <w:sz w:val="32"/>
          <w:szCs w:val="32"/>
          <w:highlight w:val="none"/>
          <w:lang w:val="en-US" w:eastAsia="zh-CN" w:bidi="ar-SA"/>
        </w:rPr>
        <w:t>工信厅机关去世人员增加，发放死亡抚恤金和丧葬费支出增加</w:t>
      </w:r>
      <w:r>
        <w:rPr>
          <w:rFonts w:hint="default" w:ascii="Times New Roman" w:hAnsi="Times New Roman" w:eastAsia="仿宋_GB2312" w:cs="Times New Roman"/>
          <w:color w:val="auto"/>
          <w:kern w:val="2"/>
          <w:sz w:val="32"/>
          <w:szCs w:val="32"/>
          <w:highlight w:val="none"/>
          <w:lang w:val="zh-CN" w:eastAsia="zh-CN" w:bidi="ar-SA"/>
        </w:rPr>
        <w:t>。</w:t>
      </w:r>
    </w:p>
    <w:p w14:paraId="0B4602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3.资源勘探工业信息等支出（类）工业和信息产业监管（款）机关服务（项）:支出决算数为1,031.98</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56.86</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5.22%，主要原因是：</w:t>
      </w:r>
      <w:r>
        <w:rPr>
          <w:rFonts w:hint="default" w:ascii="Times New Roman" w:hAnsi="Times New Roman" w:eastAsia="仿宋_GB2312" w:cs="Times New Roman"/>
          <w:color w:val="auto"/>
          <w:kern w:val="2"/>
          <w:sz w:val="32"/>
          <w:szCs w:val="32"/>
          <w:highlight w:val="none"/>
          <w:lang w:val="en-US" w:eastAsia="zh-CN" w:bidi="ar-SA"/>
        </w:rPr>
        <w:t>工信厅机关服务中心在职人员减少，支出相应减少</w:t>
      </w:r>
      <w:r>
        <w:rPr>
          <w:rFonts w:hint="default" w:ascii="Times New Roman" w:hAnsi="Times New Roman" w:eastAsia="仿宋_GB2312" w:cs="Times New Roman"/>
          <w:color w:val="auto"/>
          <w:kern w:val="2"/>
          <w:sz w:val="32"/>
          <w:szCs w:val="32"/>
          <w:highlight w:val="none"/>
          <w:lang w:val="zh-CN" w:eastAsia="zh-CN" w:bidi="ar-SA"/>
        </w:rPr>
        <w:t>。</w:t>
      </w:r>
    </w:p>
    <w:p w14:paraId="3E2A83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4.资源勘探工业信息等支出（类）资源勘探开发（款）有色金属矿勘探和采选（项）:支出决算数为208.62</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13.84</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6.22%，主要原因是：</w:t>
      </w:r>
      <w:r>
        <w:rPr>
          <w:rFonts w:hint="default" w:ascii="Times New Roman" w:hAnsi="Times New Roman" w:eastAsia="仿宋_GB2312" w:cs="Times New Roman"/>
          <w:color w:val="auto"/>
          <w:kern w:val="2"/>
          <w:sz w:val="32"/>
          <w:szCs w:val="32"/>
          <w:highlight w:val="none"/>
          <w:lang w:val="en-US" w:eastAsia="zh-CN" w:bidi="ar-SA"/>
        </w:rPr>
        <w:t>专业建设工程质量安全监督站在职人员减少，基本支出相应减少</w:t>
      </w:r>
      <w:r>
        <w:rPr>
          <w:rFonts w:hint="default" w:ascii="Times New Roman" w:hAnsi="Times New Roman" w:eastAsia="仿宋_GB2312" w:cs="Times New Roman"/>
          <w:color w:val="auto"/>
          <w:kern w:val="2"/>
          <w:sz w:val="32"/>
          <w:szCs w:val="32"/>
          <w:highlight w:val="none"/>
          <w:lang w:val="zh-CN" w:eastAsia="zh-CN" w:bidi="ar-SA"/>
        </w:rPr>
        <w:t>。</w:t>
      </w:r>
    </w:p>
    <w:p w14:paraId="3417D63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5.资源勘探工业信息等支出（类）制造业（款）纺织业（项）:支出决算数为52.80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46.30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46.72%，主要原因是：</w:t>
      </w:r>
      <w:r>
        <w:rPr>
          <w:rFonts w:hint="default" w:ascii="Times New Roman" w:hAnsi="Times New Roman" w:eastAsia="仿宋_GB2312" w:cs="Times New Roman"/>
          <w:color w:val="auto"/>
          <w:kern w:val="2"/>
          <w:sz w:val="32"/>
          <w:szCs w:val="32"/>
          <w:highlight w:val="none"/>
          <w:lang w:val="en-US" w:eastAsia="zh-CN" w:bidi="ar-SA"/>
        </w:rPr>
        <w:t>工信厅机关纺织类专项工作较上年减少，支出相应减少</w:t>
      </w:r>
      <w:r>
        <w:rPr>
          <w:rFonts w:hint="default" w:ascii="Times New Roman" w:hAnsi="Times New Roman" w:eastAsia="仿宋_GB2312" w:cs="Times New Roman"/>
          <w:color w:val="auto"/>
          <w:kern w:val="2"/>
          <w:sz w:val="32"/>
          <w:szCs w:val="32"/>
          <w:highlight w:val="none"/>
          <w:lang w:val="zh-CN" w:eastAsia="zh-CN" w:bidi="ar-SA"/>
        </w:rPr>
        <w:t>。</w:t>
      </w:r>
    </w:p>
    <w:p w14:paraId="4C9F9C3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6.资源勘探工业信息等支出（类）工业和信息产业监管（款）行政运行（项）:支出决算数为5,605.77</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269.49</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5.05%，主要原因是：</w:t>
      </w:r>
      <w:r>
        <w:rPr>
          <w:rFonts w:hint="default" w:ascii="Times New Roman" w:hAnsi="Times New Roman" w:eastAsia="仿宋_GB2312" w:cs="Times New Roman"/>
          <w:color w:val="auto"/>
          <w:kern w:val="2"/>
          <w:sz w:val="32"/>
          <w:szCs w:val="32"/>
          <w:highlight w:val="none"/>
          <w:lang w:val="en-US" w:eastAsia="zh-CN" w:bidi="ar-SA"/>
        </w:rPr>
        <w:t>工信厅机关在职人员增加，基本支出相应增加</w:t>
      </w:r>
      <w:r>
        <w:rPr>
          <w:rFonts w:hint="default" w:ascii="Times New Roman" w:hAnsi="Times New Roman" w:eastAsia="仿宋_GB2312" w:cs="Times New Roman"/>
          <w:color w:val="auto"/>
          <w:kern w:val="2"/>
          <w:sz w:val="32"/>
          <w:szCs w:val="32"/>
          <w:highlight w:val="none"/>
          <w:lang w:val="zh-CN" w:eastAsia="zh-CN" w:bidi="ar-SA"/>
        </w:rPr>
        <w:t>。</w:t>
      </w:r>
    </w:p>
    <w:p w14:paraId="3D328EC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7.社会保障和就业支出（类）行政事业单位养老支出（款）事业单位离退休（项）:支出决算数为556.30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128.39</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30.00%，主要原因是：</w:t>
      </w:r>
      <w:r>
        <w:rPr>
          <w:rFonts w:hint="default" w:ascii="Times New Roman" w:hAnsi="Times New Roman" w:eastAsia="仿宋_GB2312" w:cs="Times New Roman"/>
          <w:color w:val="auto"/>
          <w:kern w:val="2"/>
          <w:sz w:val="32"/>
          <w:szCs w:val="32"/>
          <w:highlight w:val="none"/>
          <w:lang w:val="en-US" w:eastAsia="zh-CN" w:bidi="ar-SA"/>
        </w:rPr>
        <w:t>工信厅直属事业单位本年年中追加丧葬费、抚恤金较上年增加，支出相应增加</w:t>
      </w:r>
      <w:r>
        <w:rPr>
          <w:rFonts w:hint="default" w:ascii="Times New Roman" w:hAnsi="Times New Roman" w:eastAsia="仿宋_GB2312" w:cs="Times New Roman"/>
          <w:color w:val="auto"/>
          <w:kern w:val="2"/>
          <w:sz w:val="32"/>
          <w:szCs w:val="32"/>
          <w:highlight w:val="none"/>
          <w:lang w:val="zh-CN" w:eastAsia="zh-CN" w:bidi="ar-SA"/>
        </w:rPr>
        <w:t>。</w:t>
      </w:r>
    </w:p>
    <w:p w14:paraId="0B77579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8.节能环保支出（类）环境保护管理事务（款）行政运行（项）:支出决算数为147.57</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14.08</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10.55%，主要原因是：</w:t>
      </w:r>
      <w:r>
        <w:rPr>
          <w:rFonts w:hint="default" w:ascii="Times New Roman" w:hAnsi="Times New Roman" w:eastAsia="仿宋_GB2312" w:cs="Times New Roman"/>
          <w:color w:val="auto"/>
          <w:kern w:val="2"/>
          <w:sz w:val="32"/>
          <w:szCs w:val="32"/>
          <w:highlight w:val="none"/>
          <w:lang w:val="en-US" w:eastAsia="zh-CN" w:bidi="ar-SA"/>
        </w:rPr>
        <w:t>节能监察总队在职人员正常晋升、待遇调整，人员经费相应增加</w:t>
      </w:r>
      <w:r>
        <w:rPr>
          <w:rFonts w:hint="default" w:ascii="Times New Roman" w:hAnsi="Times New Roman" w:eastAsia="仿宋_GB2312" w:cs="Times New Roman"/>
          <w:color w:val="auto"/>
          <w:kern w:val="2"/>
          <w:sz w:val="32"/>
          <w:szCs w:val="32"/>
          <w:highlight w:val="none"/>
          <w:lang w:val="zh-CN" w:eastAsia="zh-CN" w:bidi="ar-SA"/>
        </w:rPr>
        <w:t>。</w:t>
      </w:r>
    </w:p>
    <w:p w14:paraId="6936483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9.社会保障和就业支出（类）行政事业单位养老支出（款）行政单位离退休（项）:支出决算数为2,078.92</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217.05</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9.45%，主要原因是：</w:t>
      </w:r>
      <w:r>
        <w:rPr>
          <w:rFonts w:hint="default" w:ascii="Times New Roman" w:hAnsi="Times New Roman" w:eastAsia="仿宋_GB2312" w:cs="Times New Roman"/>
          <w:color w:val="auto"/>
          <w:kern w:val="2"/>
          <w:sz w:val="32"/>
          <w:szCs w:val="32"/>
          <w:highlight w:val="none"/>
          <w:lang w:val="en-US" w:eastAsia="zh-CN" w:bidi="ar-SA"/>
        </w:rPr>
        <w:t>工信厅机关离退休人员减少，支出相应减少</w:t>
      </w:r>
      <w:r>
        <w:rPr>
          <w:rFonts w:hint="default" w:ascii="Times New Roman" w:hAnsi="Times New Roman" w:eastAsia="仿宋_GB2312" w:cs="Times New Roman"/>
          <w:color w:val="auto"/>
          <w:kern w:val="2"/>
          <w:sz w:val="32"/>
          <w:szCs w:val="32"/>
          <w:highlight w:val="none"/>
          <w:lang w:val="zh-CN" w:eastAsia="zh-CN" w:bidi="ar-SA"/>
        </w:rPr>
        <w:t>。</w:t>
      </w:r>
    </w:p>
    <w:p w14:paraId="371BC5E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10.资源勘探工业信息等支出（类）工业和信息产业监管（款）一般行政管理事务（项）:支出决算数为33,272.30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32,882.99</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8446.</w:t>
      </w:r>
      <w:r>
        <w:rPr>
          <w:rFonts w:hint="default" w:ascii="Times New Roman" w:hAnsi="Times New Roman" w:eastAsia="仿宋_GB2312" w:cs="Times New Roman"/>
          <w:color w:val="auto"/>
          <w:kern w:val="2"/>
          <w:sz w:val="32"/>
          <w:szCs w:val="32"/>
          <w:highlight w:val="none"/>
          <w:lang w:val="en-US" w:eastAsia="zh-CN" w:bidi="ar-SA"/>
        </w:rPr>
        <w:t>48</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color w:val="auto"/>
          <w:kern w:val="2"/>
          <w:sz w:val="32"/>
          <w:szCs w:val="32"/>
          <w:highlight w:val="none"/>
          <w:lang w:val="en-US" w:eastAsia="zh-CN" w:bidi="ar-SA"/>
        </w:rPr>
        <w:t>工信厅机关本年新增一般公共预算安排项目支出人才发展基金</w:t>
      </w:r>
      <w:r>
        <w:rPr>
          <w:rFonts w:hint="default" w:ascii="Times New Roman" w:hAnsi="Times New Roman" w:eastAsia="仿宋_GB2312" w:cs="Times New Roman"/>
          <w:color w:val="auto"/>
          <w:kern w:val="2"/>
          <w:sz w:val="32"/>
          <w:szCs w:val="32"/>
          <w:highlight w:val="none"/>
          <w:lang w:val="zh-CN" w:eastAsia="zh-CN" w:bidi="ar-SA"/>
        </w:rPr>
        <w:t>。</w:t>
      </w:r>
    </w:p>
    <w:p w14:paraId="1F8DFAE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11.社会保障和就业支出（类）行政事业单位养老支出（款）机关事业单位职业年金缴费支出（项）:支出决算数为263.47</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60.01</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29.</w:t>
      </w:r>
      <w:r>
        <w:rPr>
          <w:rFonts w:hint="default" w:ascii="Times New Roman" w:hAnsi="Times New Roman" w:eastAsia="仿宋_GB2312" w:cs="Times New Roman"/>
          <w:color w:val="auto"/>
          <w:kern w:val="2"/>
          <w:sz w:val="32"/>
          <w:szCs w:val="32"/>
          <w:highlight w:val="none"/>
          <w:lang w:val="en-US" w:eastAsia="zh-CN" w:bidi="ar-SA"/>
        </w:rPr>
        <w:t>49</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color w:val="auto"/>
          <w:kern w:val="2"/>
          <w:sz w:val="32"/>
          <w:szCs w:val="32"/>
          <w:highlight w:val="none"/>
          <w:lang w:val="en-US" w:eastAsia="zh-CN" w:bidi="ar-SA"/>
        </w:rPr>
        <w:t>工信厅直属事业单位本年退休人员增加，坐实职业年金缴费支出相应增加</w:t>
      </w:r>
      <w:r>
        <w:rPr>
          <w:rFonts w:hint="default" w:ascii="Times New Roman" w:hAnsi="Times New Roman" w:eastAsia="仿宋_GB2312" w:cs="Times New Roman"/>
          <w:color w:val="auto"/>
          <w:kern w:val="2"/>
          <w:sz w:val="32"/>
          <w:szCs w:val="32"/>
          <w:highlight w:val="none"/>
          <w:lang w:val="zh-CN" w:eastAsia="zh-CN" w:bidi="ar-SA"/>
        </w:rPr>
        <w:t>。</w:t>
      </w:r>
    </w:p>
    <w:p w14:paraId="6F01931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12.社会保障和就业支出（类）行政事业单位养老支出（款）机关事业单位基本养老保险缴费支出（项）:支出决算数为1,015.15</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191.49</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23.25%，主要原因是：</w:t>
      </w:r>
      <w:r>
        <w:rPr>
          <w:rFonts w:hint="default" w:ascii="Times New Roman" w:hAnsi="Times New Roman" w:eastAsia="仿宋_GB2312" w:cs="Times New Roman"/>
          <w:color w:val="auto"/>
          <w:kern w:val="2"/>
          <w:sz w:val="32"/>
          <w:szCs w:val="32"/>
          <w:highlight w:val="none"/>
          <w:lang w:val="en-US" w:eastAsia="zh-CN" w:bidi="ar-SA"/>
        </w:rPr>
        <w:t>工信厅在职人员待遇调整，养老保险缴费基数上浮，支出相应增加</w:t>
      </w:r>
      <w:r>
        <w:rPr>
          <w:rFonts w:hint="default" w:ascii="Times New Roman" w:hAnsi="Times New Roman" w:eastAsia="仿宋_GB2312" w:cs="Times New Roman"/>
          <w:color w:val="auto"/>
          <w:kern w:val="2"/>
          <w:sz w:val="32"/>
          <w:szCs w:val="32"/>
          <w:highlight w:val="none"/>
          <w:lang w:val="zh-CN" w:eastAsia="zh-CN" w:bidi="ar-SA"/>
        </w:rPr>
        <w:t>。</w:t>
      </w:r>
    </w:p>
    <w:p w14:paraId="44BA504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13.教育支出（类）其他教育支出（款）其他教育支出（项）:支出决算数为167.63</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67.25</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67.00%，主要原因是：</w:t>
      </w:r>
      <w:r>
        <w:rPr>
          <w:rFonts w:hint="default" w:ascii="Times New Roman" w:hAnsi="Times New Roman" w:eastAsia="仿宋_GB2312" w:cs="Times New Roman"/>
          <w:color w:val="auto"/>
          <w:kern w:val="2"/>
          <w:sz w:val="32"/>
          <w:szCs w:val="32"/>
          <w:highlight w:val="none"/>
          <w:lang w:val="en-US" w:eastAsia="zh-CN" w:bidi="ar-SA"/>
        </w:rPr>
        <w:t>计算机培训中心</w:t>
      </w:r>
      <w:r>
        <w:rPr>
          <w:rFonts w:hint="default" w:ascii="Times New Roman" w:hAnsi="Times New Roman" w:eastAsia="仿宋_GB2312" w:cs="Times New Roman"/>
          <w:color w:val="auto"/>
          <w:kern w:val="2"/>
          <w:sz w:val="32"/>
          <w:szCs w:val="32"/>
          <w:lang w:val="en-US" w:eastAsia="zh-CN" w:bidi="ar-SA"/>
        </w:rPr>
        <w:t>本</w:t>
      </w:r>
      <w:r>
        <w:rPr>
          <w:rFonts w:hint="default" w:ascii="Times New Roman" w:hAnsi="Times New Roman" w:eastAsia="仿宋_GB2312" w:cs="Times New Roman"/>
          <w:color w:val="auto"/>
          <w:kern w:val="2"/>
          <w:sz w:val="32"/>
          <w:szCs w:val="32"/>
          <w:lang w:val="zh-CN" w:eastAsia="zh-CN" w:bidi="ar-SA"/>
        </w:rPr>
        <w:t>年新增</w:t>
      </w:r>
      <w:r>
        <w:rPr>
          <w:rFonts w:hint="default" w:ascii="Times New Roman" w:hAnsi="Times New Roman" w:eastAsia="仿宋_GB2312" w:cs="Times New Roman"/>
          <w:color w:val="auto"/>
          <w:kern w:val="2"/>
          <w:sz w:val="32"/>
          <w:szCs w:val="32"/>
          <w:lang w:val="en-US" w:eastAsia="zh-CN" w:bidi="ar-SA"/>
        </w:rPr>
        <w:t>一般公共预算项目支出</w:t>
      </w:r>
      <w:r>
        <w:rPr>
          <w:rFonts w:hint="default" w:ascii="Times New Roman" w:hAnsi="Times New Roman" w:eastAsia="仿宋_GB2312" w:cs="Times New Roman"/>
          <w:color w:val="auto"/>
          <w:kern w:val="2"/>
          <w:sz w:val="32"/>
          <w:szCs w:val="32"/>
          <w:lang w:val="zh-CN" w:eastAsia="zh-CN" w:bidi="ar-SA"/>
        </w:rPr>
        <w:t>计算机技术与软件专业技术资格水平新疆区考试收费项目</w:t>
      </w:r>
      <w:r>
        <w:rPr>
          <w:rFonts w:hint="default" w:ascii="Times New Roman" w:hAnsi="Times New Roman" w:eastAsia="仿宋_GB2312" w:cs="Times New Roman"/>
          <w:color w:val="auto"/>
          <w:kern w:val="2"/>
          <w:sz w:val="32"/>
          <w:szCs w:val="32"/>
          <w:highlight w:val="none"/>
          <w:lang w:val="zh-CN" w:eastAsia="zh-CN" w:bidi="ar-SA"/>
        </w:rPr>
        <w:t>。</w:t>
      </w:r>
    </w:p>
    <w:p w14:paraId="184D45E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14.资源勘探工业信息等支出（类）工业和信息产业监管（款）产业发展（项）:支出决算数为488.72</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488.72</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100%，主要原因是：</w:t>
      </w:r>
      <w:r>
        <w:rPr>
          <w:rFonts w:hint="default" w:ascii="Times New Roman" w:hAnsi="Times New Roman" w:eastAsia="仿宋_GB2312" w:cs="Times New Roman"/>
          <w:color w:val="auto"/>
          <w:kern w:val="2"/>
          <w:sz w:val="32"/>
          <w:szCs w:val="32"/>
          <w:highlight w:val="none"/>
          <w:lang w:val="en-US" w:eastAsia="zh-CN" w:bidi="ar-SA"/>
        </w:rPr>
        <w:t>工信厅机关本年</w:t>
      </w:r>
      <w:r>
        <w:rPr>
          <w:rFonts w:hint="default" w:ascii="Times New Roman" w:hAnsi="Times New Roman" w:eastAsia="仿宋_GB2312" w:cs="Times New Roman"/>
          <w:color w:val="auto"/>
          <w:kern w:val="2"/>
          <w:sz w:val="32"/>
          <w:szCs w:val="32"/>
          <w:highlight w:val="none"/>
          <w:lang w:val="en-US" w:eastAsia="zh-CN" w:bidi="ar-SA"/>
        </w:rPr>
        <w:t>新增</w:t>
      </w:r>
      <w:r>
        <w:rPr>
          <w:rFonts w:hint="default" w:ascii="Times New Roman" w:hAnsi="Times New Roman" w:eastAsia="仿宋_GB2312" w:cs="Times New Roman"/>
          <w:color w:val="auto"/>
          <w:kern w:val="2"/>
          <w:sz w:val="32"/>
          <w:szCs w:val="32"/>
          <w:highlight w:val="none"/>
          <w:lang w:val="en-US" w:eastAsia="zh-CN" w:bidi="ar-SA"/>
        </w:rPr>
        <w:t>一般公共预算项目支出</w:t>
      </w:r>
      <w:r>
        <w:rPr>
          <w:rFonts w:hint="default" w:ascii="Times New Roman" w:hAnsi="Times New Roman" w:eastAsia="仿宋_GB2312" w:cs="Times New Roman"/>
          <w:color w:val="auto"/>
          <w:kern w:val="2"/>
          <w:sz w:val="32"/>
          <w:szCs w:val="32"/>
          <w:lang w:val="en" w:eastAsia="zh-CN" w:bidi="ar-SA"/>
        </w:rPr>
        <w:t>葡萄酒产业发展专项</w:t>
      </w:r>
      <w:r>
        <w:rPr>
          <w:rFonts w:hint="default" w:ascii="Times New Roman" w:hAnsi="Times New Roman" w:eastAsia="仿宋_GB2312" w:cs="Times New Roman"/>
          <w:color w:val="auto"/>
          <w:kern w:val="2"/>
          <w:sz w:val="32"/>
          <w:szCs w:val="32"/>
          <w:highlight w:val="none"/>
          <w:lang w:val="zh-CN" w:eastAsia="zh-CN" w:bidi="ar-SA"/>
        </w:rPr>
        <w:t>。</w:t>
      </w:r>
    </w:p>
    <w:p w14:paraId="749465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15.教育支出（类）职业教育（款）技校教育（项）:支出决算数为2,581.67</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1,418.37</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121.93%，主要原因是：</w:t>
      </w:r>
      <w:r>
        <w:rPr>
          <w:rFonts w:hint="default" w:ascii="Times New Roman" w:hAnsi="Times New Roman" w:eastAsia="仿宋_GB2312" w:cs="Times New Roman"/>
          <w:color w:val="auto"/>
          <w:kern w:val="2"/>
          <w:sz w:val="32"/>
          <w:szCs w:val="32"/>
          <w:highlight w:val="none"/>
          <w:lang w:val="en-US" w:eastAsia="zh-CN" w:bidi="ar-SA"/>
        </w:rPr>
        <w:t>安装技工学校</w:t>
      </w:r>
      <w:r>
        <w:rPr>
          <w:rFonts w:hint="default" w:ascii="Times New Roman" w:hAnsi="Times New Roman" w:eastAsia="仿宋_GB2312" w:cs="Times New Roman"/>
          <w:color w:val="auto"/>
          <w:sz w:val="32"/>
          <w:szCs w:val="32"/>
          <w:highlight w:val="none"/>
        </w:rPr>
        <w:t>在职人员</w:t>
      </w:r>
      <w:r>
        <w:rPr>
          <w:rFonts w:hint="default" w:ascii="Times New Roman" w:hAnsi="Times New Roman" w:eastAsia="仿宋_GB2312" w:cs="Times New Roman"/>
          <w:color w:val="auto"/>
          <w:sz w:val="32"/>
          <w:szCs w:val="32"/>
          <w:highlight w:val="none"/>
          <w:lang w:val="en-US" w:eastAsia="zh-CN"/>
        </w:rPr>
        <w:t>待遇调增，</w:t>
      </w:r>
      <w:r>
        <w:rPr>
          <w:rFonts w:hint="default" w:ascii="Times New Roman" w:hAnsi="Times New Roman" w:eastAsia="仿宋_GB2312" w:cs="Times New Roman"/>
          <w:color w:val="auto"/>
          <w:sz w:val="32"/>
          <w:szCs w:val="32"/>
          <w:highlight w:val="none"/>
        </w:rPr>
        <w:t>人员经费增加；</w:t>
      </w:r>
      <w:r>
        <w:rPr>
          <w:rFonts w:hint="default" w:ascii="Times New Roman" w:hAnsi="Times New Roman" w:eastAsia="仿宋_GB2312" w:cs="Times New Roman"/>
          <w:color w:val="auto"/>
          <w:sz w:val="32"/>
          <w:szCs w:val="32"/>
          <w:highlight w:val="none"/>
          <w:lang w:val="en-US" w:eastAsia="zh-CN"/>
        </w:rPr>
        <w:t>一般公共预算项目支出较上年增加</w:t>
      </w:r>
      <w:r>
        <w:rPr>
          <w:rFonts w:hint="default" w:ascii="Times New Roman" w:hAnsi="Times New Roman" w:eastAsia="仿宋_GB2312" w:cs="Times New Roman"/>
          <w:color w:val="auto"/>
          <w:kern w:val="2"/>
          <w:sz w:val="32"/>
          <w:szCs w:val="32"/>
          <w:highlight w:val="none"/>
          <w:lang w:val="zh-CN" w:eastAsia="zh-CN" w:bidi="ar-SA"/>
        </w:rPr>
        <w:t>。</w:t>
      </w:r>
    </w:p>
    <w:p w14:paraId="1E22705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16.教育支出（类）职业教育（款）中等职业教育（项）:支出决算数为1,327.01</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795.43</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149.6</w:t>
      </w:r>
      <w:r>
        <w:rPr>
          <w:rFonts w:hint="default" w:ascii="Times New Roman" w:hAnsi="Times New Roman" w:eastAsia="仿宋_GB2312" w:cs="Times New Roman"/>
          <w:color w:val="auto"/>
          <w:kern w:val="2"/>
          <w:sz w:val="32"/>
          <w:szCs w:val="32"/>
          <w:highlight w:val="none"/>
          <w:lang w:val="en-US" w:eastAsia="zh-CN" w:bidi="ar-SA"/>
        </w:rPr>
        <w:t>4</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仿宋_GB2312" w:cs="Times New Roman"/>
          <w:color w:val="auto"/>
          <w:kern w:val="2"/>
          <w:sz w:val="32"/>
          <w:szCs w:val="32"/>
          <w:highlight w:val="none"/>
          <w:lang w:val="en-US" w:eastAsia="zh-CN" w:bidi="ar-SA"/>
        </w:rPr>
        <w:t>安装技工学校一般公共预算安排中职教育质量提升类项目支出增加</w:t>
      </w:r>
      <w:r>
        <w:rPr>
          <w:rFonts w:hint="default" w:ascii="Times New Roman" w:hAnsi="Times New Roman" w:eastAsia="仿宋_GB2312" w:cs="Times New Roman"/>
          <w:color w:val="auto"/>
          <w:kern w:val="2"/>
          <w:sz w:val="32"/>
          <w:szCs w:val="32"/>
          <w:highlight w:val="none"/>
          <w:lang w:val="zh-CN" w:eastAsia="zh-CN" w:bidi="ar-SA"/>
        </w:rPr>
        <w:t>。</w:t>
      </w:r>
    </w:p>
    <w:p w14:paraId="1EFCE3C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17.教育支出（类）职业教育（款）高等职业教育（项）:支出决算数为32,339.32</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4,222.47</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15.02%，主要原因是：</w:t>
      </w:r>
      <w:r>
        <w:rPr>
          <w:rFonts w:hint="default" w:ascii="Times New Roman" w:hAnsi="Times New Roman" w:eastAsia="仿宋_GB2312" w:cs="Times New Roman"/>
          <w:color w:val="auto"/>
          <w:kern w:val="2"/>
          <w:sz w:val="32"/>
          <w:szCs w:val="32"/>
          <w:highlight w:val="none"/>
          <w:lang w:val="en-US" w:eastAsia="zh-CN" w:bidi="ar-SA"/>
        </w:rPr>
        <w:t>轻工职业技术学院和工业职业技术学院在职人员待遇调增，一般公共预算安排的教育类项目支出增加</w:t>
      </w:r>
      <w:r>
        <w:rPr>
          <w:rFonts w:hint="default" w:ascii="Times New Roman" w:hAnsi="Times New Roman" w:eastAsia="仿宋_GB2312" w:cs="Times New Roman"/>
          <w:color w:val="auto"/>
          <w:kern w:val="2"/>
          <w:sz w:val="32"/>
          <w:szCs w:val="32"/>
          <w:highlight w:val="none"/>
          <w:lang w:val="zh-CN" w:eastAsia="zh-CN" w:bidi="ar-SA"/>
        </w:rPr>
        <w:t>。</w:t>
      </w:r>
    </w:p>
    <w:p w14:paraId="6CF0F40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18.资源勘探工业信息等支出（类）工业和信息产业监管（款）事业运行（项）:支出决算数为956.02</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94.46</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8.99%，主要原因是：</w:t>
      </w:r>
      <w:r>
        <w:rPr>
          <w:rFonts w:hint="default" w:ascii="Times New Roman" w:hAnsi="Times New Roman" w:eastAsia="仿宋_GB2312" w:cs="Times New Roman"/>
          <w:color w:val="auto"/>
          <w:kern w:val="2"/>
          <w:sz w:val="32"/>
          <w:szCs w:val="32"/>
          <w:highlight w:val="none"/>
          <w:lang w:val="en-US" w:eastAsia="zh-CN" w:bidi="ar-SA"/>
        </w:rPr>
        <w:t>工业经济和信息化研究院、重要信息系统灾难备份中心在职人员减少，基本支出相应减少</w:t>
      </w:r>
      <w:r>
        <w:rPr>
          <w:rFonts w:hint="default" w:ascii="Times New Roman" w:hAnsi="Times New Roman" w:eastAsia="仿宋_GB2312" w:cs="Times New Roman"/>
          <w:color w:val="auto"/>
          <w:kern w:val="2"/>
          <w:sz w:val="32"/>
          <w:szCs w:val="32"/>
          <w:highlight w:val="none"/>
          <w:lang w:val="zh-CN" w:eastAsia="zh-CN" w:bidi="ar-SA"/>
        </w:rPr>
        <w:t>。</w:t>
      </w:r>
    </w:p>
    <w:p w14:paraId="7C3BEA0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19.卫生健康支出（类）行政事业单位医疗（款）行政单位医疗（项）:支出决算数为265.94</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12.11</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4.77%，主要原因是：</w:t>
      </w:r>
      <w:r>
        <w:rPr>
          <w:rFonts w:hint="default" w:ascii="Times New Roman" w:hAnsi="Times New Roman" w:eastAsia="仿宋_GB2312" w:cs="Times New Roman"/>
          <w:color w:val="auto"/>
          <w:kern w:val="2"/>
          <w:sz w:val="32"/>
          <w:szCs w:val="32"/>
          <w:highlight w:val="none"/>
          <w:lang w:val="en-US" w:eastAsia="zh-CN" w:bidi="ar-SA"/>
        </w:rPr>
        <w:t>工信厅机关在职人员增加，医疗保险缴费支出相应增加</w:t>
      </w:r>
      <w:r>
        <w:rPr>
          <w:rFonts w:hint="default" w:ascii="Times New Roman" w:hAnsi="Times New Roman" w:eastAsia="仿宋_GB2312" w:cs="Times New Roman"/>
          <w:color w:val="auto"/>
          <w:kern w:val="2"/>
          <w:sz w:val="32"/>
          <w:szCs w:val="32"/>
          <w:highlight w:val="none"/>
          <w:lang w:val="zh-CN" w:eastAsia="zh-CN" w:bidi="ar-SA"/>
        </w:rPr>
        <w:t>。</w:t>
      </w:r>
    </w:p>
    <w:p w14:paraId="784076B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20.卫生健康支出（类）行政事业单位医疗（款）事业单位医疗（项）:支出决算数为258.48</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21.23</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8.95%，主要原因是：</w:t>
      </w:r>
      <w:r>
        <w:rPr>
          <w:rFonts w:hint="default" w:ascii="Times New Roman" w:hAnsi="Times New Roman" w:eastAsia="仿宋_GB2312" w:cs="Times New Roman"/>
          <w:color w:val="auto"/>
          <w:kern w:val="2"/>
          <w:sz w:val="32"/>
          <w:szCs w:val="32"/>
          <w:highlight w:val="none"/>
          <w:lang w:val="en-US" w:eastAsia="zh-CN" w:bidi="ar-SA"/>
        </w:rPr>
        <w:t>工信厅直属单位人员待遇调增，医疗保险基数上浮，支出相应增加</w:t>
      </w:r>
      <w:r>
        <w:rPr>
          <w:rFonts w:hint="default" w:ascii="Times New Roman" w:hAnsi="Times New Roman" w:eastAsia="仿宋_GB2312" w:cs="Times New Roman"/>
          <w:color w:val="auto"/>
          <w:kern w:val="2"/>
          <w:sz w:val="32"/>
          <w:szCs w:val="32"/>
          <w:highlight w:val="none"/>
          <w:lang w:val="zh-CN" w:eastAsia="zh-CN" w:bidi="ar-SA"/>
        </w:rPr>
        <w:t>。</w:t>
      </w:r>
    </w:p>
    <w:p w14:paraId="79E469E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21.卫生健康支出（类）行政事业单位医疗（款）公务员医疗补助（项）:支出决算数为404.00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41.03</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11.30%，主要原因是：</w:t>
      </w:r>
      <w:r>
        <w:rPr>
          <w:rFonts w:hint="default" w:ascii="Times New Roman" w:hAnsi="Times New Roman" w:eastAsia="仿宋_GB2312" w:cs="Times New Roman"/>
          <w:color w:val="auto"/>
          <w:kern w:val="2"/>
          <w:sz w:val="32"/>
          <w:szCs w:val="32"/>
          <w:highlight w:val="none"/>
          <w:lang w:val="en-US" w:eastAsia="zh-CN" w:bidi="ar-SA"/>
        </w:rPr>
        <w:t>工信厅机关人员待遇调增，医疗保险基数上浮，支出相应增加</w:t>
      </w:r>
      <w:r>
        <w:rPr>
          <w:rFonts w:hint="default" w:ascii="Times New Roman" w:hAnsi="Times New Roman" w:eastAsia="仿宋_GB2312" w:cs="Times New Roman"/>
          <w:color w:val="auto"/>
          <w:kern w:val="2"/>
          <w:sz w:val="32"/>
          <w:szCs w:val="32"/>
          <w:highlight w:val="none"/>
          <w:lang w:val="zh-CN" w:eastAsia="zh-CN" w:bidi="ar-SA"/>
        </w:rPr>
        <w:t>。</w:t>
      </w:r>
    </w:p>
    <w:p w14:paraId="6AFDE64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22.住房保障支出（类）住房改革支出（款）住房公积金（项）:支出决算数为816.37</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113.17</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16.09%，主要原因是：</w:t>
      </w:r>
      <w:r>
        <w:rPr>
          <w:rFonts w:hint="default" w:ascii="Times New Roman" w:hAnsi="Times New Roman" w:eastAsia="仿宋_GB2312" w:cs="Times New Roman"/>
          <w:color w:val="auto"/>
          <w:kern w:val="2"/>
          <w:sz w:val="32"/>
          <w:szCs w:val="32"/>
          <w:highlight w:val="none"/>
          <w:lang w:val="en-US" w:eastAsia="zh-CN" w:bidi="ar-SA"/>
        </w:rPr>
        <w:t>工信厅人员待遇调增，住房公积金缴费基数上浮，支出相应增加</w:t>
      </w:r>
      <w:r>
        <w:rPr>
          <w:rFonts w:hint="default" w:ascii="Times New Roman" w:hAnsi="Times New Roman" w:eastAsia="仿宋_GB2312" w:cs="Times New Roman"/>
          <w:color w:val="auto"/>
          <w:kern w:val="2"/>
          <w:sz w:val="32"/>
          <w:szCs w:val="32"/>
          <w:highlight w:val="none"/>
          <w:lang w:val="zh-CN" w:eastAsia="zh-CN" w:bidi="ar-SA"/>
        </w:rPr>
        <w:t>。</w:t>
      </w:r>
    </w:p>
    <w:p w14:paraId="16B8A1D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23.资源勘探工业信息等支出（类）支持中小企业发展和管理支出（款）其他支持中小企业发展和管理支出（项）:支出决算数为270.39</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28.53</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11.80%，主要原因是：</w:t>
      </w:r>
      <w:r>
        <w:rPr>
          <w:rFonts w:hint="default" w:ascii="Times New Roman" w:hAnsi="Times New Roman" w:eastAsia="仿宋_GB2312" w:cs="Times New Roman"/>
          <w:color w:val="auto"/>
          <w:kern w:val="2"/>
          <w:sz w:val="32"/>
          <w:szCs w:val="32"/>
          <w:highlight w:val="none"/>
          <w:lang w:val="en-US" w:eastAsia="zh-CN" w:bidi="ar-SA"/>
        </w:rPr>
        <w:t>中小企业服务中心人员待遇调增，基本支出相应增加</w:t>
      </w:r>
      <w:r>
        <w:rPr>
          <w:rFonts w:hint="default" w:ascii="Times New Roman" w:hAnsi="Times New Roman" w:eastAsia="仿宋_GB2312" w:cs="Times New Roman"/>
          <w:color w:val="auto"/>
          <w:kern w:val="2"/>
          <w:sz w:val="32"/>
          <w:szCs w:val="32"/>
          <w:highlight w:val="none"/>
          <w:lang w:val="zh-CN" w:eastAsia="zh-CN" w:bidi="ar-SA"/>
        </w:rPr>
        <w:t>。</w:t>
      </w:r>
    </w:p>
    <w:p w14:paraId="34A6138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24.社会保障和就业支出（类）企业改革补助（款）其他企业改革发展补助（项）:支出决算数为259.19</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31.47</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10.83%，主要原因是：</w:t>
      </w:r>
      <w:r>
        <w:rPr>
          <w:rFonts w:hint="default" w:ascii="Times New Roman" w:hAnsi="Times New Roman" w:eastAsia="仿宋_GB2312" w:cs="Times New Roman"/>
          <w:color w:val="auto"/>
          <w:kern w:val="2"/>
          <w:sz w:val="32"/>
          <w:szCs w:val="32"/>
          <w:highlight w:val="none"/>
          <w:lang w:val="en-US" w:eastAsia="zh-CN" w:bidi="ar-SA"/>
        </w:rPr>
        <w:t>工信厅机关破产企业遗留问题项目支出较上年减少</w:t>
      </w:r>
      <w:r>
        <w:rPr>
          <w:rFonts w:hint="default" w:ascii="Times New Roman" w:hAnsi="Times New Roman" w:eastAsia="仿宋_GB2312" w:cs="Times New Roman"/>
          <w:color w:val="auto"/>
          <w:kern w:val="2"/>
          <w:sz w:val="32"/>
          <w:szCs w:val="32"/>
          <w:highlight w:val="none"/>
          <w:lang w:val="zh-CN" w:eastAsia="zh-CN" w:bidi="ar-SA"/>
        </w:rPr>
        <w:t>。</w:t>
      </w:r>
    </w:p>
    <w:p w14:paraId="665E69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25.节能环保支出（类）能源节约利用（款）能源节约利用（项）:支出决算数为357.96</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113.33</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24.05%，主要原因是：</w:t>
      </w:r>
      <w:r>
        <w:rPr>
          <w:rFonts w:hint="default" w:ascii="Times New Roman" w:hAnsi="Times New Roman" w:eastAsia="仿宋_GB2312" w:cs="Times New Roman"/>
          <w:color w:val="auto"/>
          <w:kern w:val="2"/>
          <w:sz w:val="32"/>
          <w:szCs w:val="32"/>
          <w:highlight w:val="none"/>
          <w:lang w:val="en-US" w:eastAsia="zh-CN" w:bidi="ar-SA"/>
        </w:rPr>
        <w:t>本年安排工信厅机关的</w:t>
      </w:r>
      <w:r>
        <w:rPr>
          <w:rFonts w:hint="default" w:ascii="Times New Roman" w:hAnsi="Times New Roman" w:eastAsia="仿宋_GB2312" w:cs="Times New Roman"/>
          <w:color w:val="auto"/>
          <w:kern w:val="2"/>
          <w:sz w:val="32"/>
          <w:szCs w:val="32"/>
          <w:highlight w:val="none"/>
          <w:lang w:val="en-US" w:eastAsia="zh-CN" w:bidi="ar-SA"/>
        </w:rPr>
        <w:t>节能减排专项资金</w:t>
      </w:r>
      <w:r>
        <w:rPr>
          <w:rFonts w:hint="default" w:ascii="Times New Roman" w:hAnsi="Times New Roman" w:eastAsia="仿宋_GB2312" w:cs="Times New Roman"/>
          <w:color w:val="auto"/>
          <w:kern w:val="2"/>
          <w:sz w:val="32"/>
          <w:szCs w:val="32"/>
          <w:highlight w:val="none"/>
          <w:lang w:val="en-US" w:eastAsia="zh-CN" w:bidi="ar-SA"/>
        </w:rPr>
        <w:t>较上年减少</w:t>
      </w:r>
      <w:r>
        <w:rPr>
          <w:rFonts w:hint="default" w:ascii="Times New Roman" w:hAnsi="Times New Roman" w:eastAsia="仿宋_GB2312" w:cs="Times New Roman"/>
          <w:color w:val="auto"/>
          <w:kern w:val="2"/>
          <w:sz w:val="32"/>
          <w:szCs w:val="32"/>
          <w:highlight w:val="none"/>
          <w:lang w:val="zh-CN" w:eastAsia="zh-CN" w:bidi="ar-SA"/>
        </w:rPr>
        <w:t>。</w:t>
      </w:r>
    </w:p>
    <w:p w14:paraId="0508DE7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26.资源勘探工业信息等支出（类）工业和信息产业监管（款）其他工业和信息产业监管支出（项）:支出决算数为1,902.99</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424.90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18.25%，主要原因是：</w:t>
      </w:r>
      <w:r>
        <w:rPr>
          <w:rFonts w:hint="default" w:ascii="Times New Roman" w:hAnsi="Times New Roman" w:eastAsia="仿宋_GB2312" w:cs="Times New Roman"/>
          <w:color w:val="auto"/>
          <w:kern w:val="2"/>
          <w:sz w:val="32"/>
          <w:szCs w:val="32"/>
          <w:highlight w:val="none"/>
          <w:lang w:val="en-US" w:eastAsia="zh-CN" w:bidi="ar-SA"/>
        </w:rPr>
        <w:t>工信厅机关一般公共预算安排支持经济运行工作的项目支出减少</w:t>
      </w:r>
      <w:r>
        <w:rPr>
          <w:rFonts w:hint="default" w:ascii="Times New Roman" w:hAnsi="Times New Roman" w:eastAsia="仿宋_GB2312" w:cs="Times New Roman"/>
          <w:color w:val="auto"/>
          <w:kern w:val="2"/>
          <w:sz w:val="32"/>
          <w:szCs w:val="32"/>
          <w:highlight w:val="none"/>
          <w:lang w:val="zh-CN" w:eastAsia="zh-CN" w:bidi="ar-SA"/>
        </w:rPr>
        <w:t>。</w:t>
      </w:r>
    </w:p>
    <w:p w14:paraId="25D0870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27.科学技术支出（类）社会科学（款）社会科学研究（项）:支出决算数为5.00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5.00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100%，主要原因是：</w:t>
      </w:r>
      <w:r>
        <w:rPr>
          <w:rFonts w:hint="default" w:ascii="Times New Roman" w:hAnsi="Times New Roman" w:eastAsia="仿宋_GB2312" w:cs="Times New Roman"/>
          <w:color w:val="auto"/>
          <w:kern w:val="2"/>
          <w:sz w:val="32"/>
          <w:szCs w:val="32"/>
          <w:highlight w:val="none"/>
          <w:lang w:val="en-US" w:eastAsia="zh-CN" w:bidi="ar-SA"/>
        </w:rPr>
        <w:t>工业经济研究院上年</w:t>
      </w:r>
      <w:r>
        <w:rPr>
          <w:rFonts w:hint="default" w:ascii="Times New Roman" w:hAnsi="Times New Roman" w:eastAsia="仿宋_GB2312" w:cs="Times New Roman"/>
          <w:color w:val="auto"/>
          <w:sz w:val="32"/>
          <w:szCs w:val="32"/>
          <w:lang w:val="en-US" w:eastAsia="zh-CN"/>
        </w:rPr>
        <w:t>专家顾问团项目结转到本年支出</w:t>
      </w:r>
      <w:r>
        <w:rPr>
          <w:rFonts w:hint="default" w:ascii="Times New Roman" w:hAnsi="Times New Roman" w:eastAsia="仿宋_GB2312" w:cs="Times New Roman"/>
          <w:color w:val="auto"/>
          <w:kern w:val="2"/>
          <w:sz w:val="32"/>
          <w:szCs w:val="32"/>
          <w:highlight w:val="none"/>
          <w:lang w:val="zh-CN" w:eastAsia="zh-CN" w:bidi="ar-SA"/>
        </w:rPr>
        <w:t>。</w:t>
      </w:r>
    </w:p>
    <w:p w14:paraId="6FFFBE0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28.资源勘探工业信息等支出（类）支持中小企业发展和管理支出（款）中小企业发展专项（项）:支出决算数为5,000.00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1,973.31</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65.20%，主要原因是：支持</w:t>
      </w:r>
      <w:r>
        <w:rPr>
          <w:rFonts w:hint="default" w:ascii="Times New Roman" w:hAnsi="Times New Roman" w:eastAsia="仿宋_GB2312" w:cs="Times New Roman"/>
          <w:color w:val="auto"/>
          <w:kern w:val="2"/>
          <w:sz w:val="32"/>
          <w:szCs w:val="32"/>
          <w:highlight w:val="none"/>
          <w:lang w:val="en-US" w:eastAsia="zh-CN" w:bidi="ar-SA"/>
        </w:rPr>
        <w:t>中小企业发展</w:t>
      </w:r>
      <w:r>
        <w:rPr>
          <w:rFonts w:hint="default" w:ascii="Times New Roman" w:hAnsi="Times New Roman" w:eastAsia="仿宋_GB2312" w:cs="Times New Roman"/>
          <w:color w:val="auto"/>
          <w:kern w:val="2"/>
          <w:sz w:val="32"/>
          <w:szCs w:val="32"/>
          <w:highlight w:val="none"/>
          <w:lang w:val="en-US" w:eastAsia="zh-CN" w:bidi="ar-SA"/>
        </w:rPr>
        <w:t>的</w:t>
      </w:r>
      <w:r>
        <w:rPr>
          <w:rFonts w:hint="default" w:ascii="Times New Roman" w:hAnsi="Times New Roman" w:eastAsia="仿宋_GB2312" w:cs="Times New Roman"/>
          <w:color w:val="auto"/>
          <w:kern w:val="2"/>
          <w:sz w:val="32"/>
          <w:szCs w:val="32"/>
          <w:highlight w:val="none"/>
          <w:lang w:val="en-US" w:eastAsia="zh-CN" w:bidi="ar-SA"/>
        </w:rPr>
        <w:t>专项</w:t>
      </w:r>
      <w:r>
        <w:rPr>
          <w:rFonts w:hint="default" w:ascii="Times New Roman" w:hAnsi="Times New Roman" w:eastAsia="仿宋_GB2312" w:cs="Times New Roman"/>
          <w:color w:val="auto"/>
          <w:kern w:val="2"/>
          <w:sz w:val="32"/>
          <w:szCs w:val="32"/>
          <w:highlight w:val="none"/>
          <w:lang w:val="en-US" w:eastAsia="zh-CN" w:bidi="ar-SA"/>
        </w:rPr>
        <w:t>资金，在资金规模不变的前提下，由</w:t>
      </w:r>
      <w:r>
        <w:rPr>
          <w:rFonts w:hint="default" w:ascii="Times New Roman" w:hAnsi="Times New Roman" w:eastAsia="仿宋_GB2312" w:cs="Times New Roman"/>
          <w:color w:val="auto"/>
          <w:kern w:val="2"/>
          <w:sz w:val="32"/>
          <w:szCs w:val="32"/>
          <w:highlight w:val="none"/>
          <w:lang w:val="en-US" w:eastAsia="zh-CN" w:bidi="ar-SA"/>
        </w:rPr>
        <w:t>工信厅机关</w:t>
      </w:r>
      <w:r>
        <w:rPr>
          <w:rFonts w:hint="default" w:ascii="Times New Roman" w:hAnsi="Times New Roman" w:eastAsia="仿宋_GB2312" w:cs="Times New Roman"/>
          <w:color w:val="auto"/>
          <w:kern w:val="2"/>
          <w:sz w:val="32"/>
          <w:szCs w:val="32"/>
          <w:highlight w:val="none"/>
          <w:lang w:val="en-US" w:eastAsia="zh-CN" w:bidi="ar-SA"/>
        </w:rPr>
        <w:t>增编预算</w:t>
      </w:r>
      <w:r>
        <w:rPr>
          <w:rFonts w:hint="default" w:ascii="Times New Roman" w:hAnsi="Times New Roman" w:eastAsia="仿宋_GB2312" w:cs="Times New Roman"/>
          <w:color w:val="auto"/>
          <w:kern w:val="2"/>
          <w:sz w:val="32"/>
          <w:szCs w:val="32"/>
          <w:highlight w:val="none"/>
          <w:lang w:val="zh-CN" w:eastAsia="zh-CN" w:bidi="ar-SA"/>
        </w:rPr>
        <w:t>。</w:t>
      </w:r>
    </w:p>
    <w:p w14:paraId="438E1E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29.资源勘探工业信息等支出（类）工业和信息产业监管（款）无线电及信息通信监管（项）:支出决算数为15,184.98</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8,256.93</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119.18%，主要原因是：</w:t>
      </w:r>
      <w:r>
        <w:rPr>
          <w:rFonts w:hint="default" w:ascii="Times New Roman" w:hAnsi="Times New Roman" w:eastAsia="仿宋_GB2312" w:cs="Times New Roman"/>
          <w:color w:val="auto"/>
          <w:kern w:val="2"/>
          <w:sz w:val="32"/>
          <w:szCs w:val="32"/>
          <w:highlight w:val="none"/>
          <w:lang w:val="en-US" w:eastAsia="zh-CN" w:bidi="ar-SA"/>
        </w:rPr>
        <w:t>工信厅直属无线电管理单位人员待遇调增，基本支出相应增加。同时本年较上年多支出了结转的无线电管理经费项目经费</w:t>
      </w:r>
      <w:r>
        <w:rPr>
          <w:rFonts w:hint="default" w:ascii="Times New Roman" w:hAnsi="Times New Roman" w:eastAsia="仿宋_GB2312" w:cs="Times New Roman"/>
          <w:color w:val="auto"/>
          <w:kern w:val="2"/>
          <w:sz w:val="32"/>
          <w:szCs w:val="32"/>
          <w:highlight w:val="none"/>
          <w:lang w:val="zh-CN" w:eastAsia="zh-CN" w:bidi="ar-SA"/>
        </w:rPr>
        <w:t>。</w:t>
      </w:r>
    </w:p>
    <w:p w14:paraId="12213D3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30.科学技术支出（类）基础研究（款）其他基础研究支出（项）:支出决算数为2.00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2.00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100%，主要原因是：</w:t>
      </w:r>
      <w:r>
        <w:rPr>
          <w:rFonts w:hint="default" w:ascii="Times New Roman" w:hAnsi="Times New Roman" w:eastAsia="仿宋_GB2312" w:cs="Times New Roman"/>
          <w:color w:val="auto"/>
          <w:kern w:val="2"/>
          <w:sz w:val="32"/>
          <w:szCs w:val="32"/>
          <w:highlight w:val="none"/>
          <w:lang w:val="en-US" w:eastAsia="zh-CN" w:bidi="ar-SA"/>
        </w:rPr>
        <w:t>轻工职业技术学院</w:t>
      </w:r>
      <w:r>
        <w:rPr>
          <w:rFonts w:hint="default" w:ascii="Times New Roman" w:hAnsi="Times New Roman" w:eastAsia="仿宋_GB2312" w:cs="Times New Roman"/>
          <w:color w:val="auto"/>
          <w:kern w:val="2"/>
          <w:sz w:val="32"/>
          <w:szCs w:val="32"/>
          <w:highlight w:val="none"/>
          <w:lang w:val="en-US" w:eastAsia="zh-CN" w:bidi="ar-SA"/>
        </w:rPr>
        <w:t>上年高校科研专项资金结转到今年支出</w:t>
      </w:r>
      <w:r>
        <w:rPr>
          <w:rFonts w:hint="default" w:ascii="Times New Roman" w:hAnsi="Times New Roman" w:eastAsia="仿宋_GB2312" w:cs="Times New Roman"/>
          <w:color w:val="auto"/>
          <w:kern w:val="2"/>
          <w:sz w:val="32"/>
          <w:szCs w:val="32"/>
          <w:highlight w:val="none"/>
          <w:lang w:val="zh-CN" w:eastAsia="zh-CN" w:bidi="ar-SA"/>
        </w:rPr>
        <w:t>。</w:t>
      </w:r>
    </w:p>
    <w:p w14:paraId="4170C85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31.一般公共服务支出（类）商贸事务（款）一般行政管理事务（项）:支出决算数为27.85</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增加</w:t>
      </w:r>
      <w:r>
        <w:rPr>
          <w:rFonts w:hint="default" w:ascii="Times New Roman" w:hAnsi="Times New Roman" w:eastAsia="仿宋_GB2312" w:cs="Times New Roman"/>
          <w:color w:val="auto"/>
          <w:kern w:val="2"/>
          <w:sz w:val="32"/>
          <w:szCs w:val="32"/>
          <w:highlight w:val="none"/>
          <w:lang w:val="en-US" w:eastAsia="zh-CN" w:bidi="ar-SA"/>
        </w:rPr>
        <w:t>27.85</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增长</w:t>
      </w:r>
      <w:r>
        <w:rPr>
          <w:rFonts w:hint="default" w:ascii="Times New Roman" w:hAnsi="Times New Roman" w:eastAsia="仿宋_GB2312" w:cs="Times New Roman"/>
          <w:color w:val="auto"/>
          <w:kern w:val="2"/>
          <w:sz w:val="32"/>
          <w:szCs w:val="32"/>
          <w:highlight w:val="none"/>
          <w:lang w:val="en-US" w:eastAsia="zh-CN" w:bidi="ar-SA"/>
        </w:rPr>
        <w:t>100%，主要原因是：</w:t>
      </w:r>
      <w:r>
        <w:rPr>
          <w:rFonts w:hint="default" w:ascii="Times New Roman" w:hAnsi="Times New Roman" w:eastAsia="仿宋_GB2312" w:cs="Times New Roman"/>
          <w:color w:val="auto"/>
          <w:kern w:val="2"/>
          <w:sz w:val="32"/>
          <w:szCs w:val="32"/>
          <w:highlight w:val="none"/>
          <w:lang w:val="en-US" w:eastAsia="zh-CN" w:bidi="ar-SA"/>
        </w:rPr>
        <w:t>工信厅机关积极消化课题费类项目支出结余</w:t>
      </w:r>
      <w:r>
        <w:rPr>
          <w:rFonts w:hint="default" w:ascii="Times New Roman" w:hAnsi="Times New Roman" w:eastAsia="仿宋_GB2312" w:cs="Times New Roman"/>
          <w:color w:val="auto"/>
          <w:kern w:val="2"/>
          <w:sz w:val="32"/>
          <w:szCs w:val="32"/>
          <w:highlight w:val="none"/>
          <w:lang w:val="zh-CN" w:eastAsia="zh-CN" w:bidi="ar-SA"/>
        </w:rPr>
        <w:t>。</w:t>
      </w:r>
    </w:p>
    <w:p w14:paraId="0EBBEE9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32.一般公共服务支出（类）商贸事务（款）行政运行（项）:支出决算数为58.15</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87.44</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60.06%，主要原因是：</w:t>
      </w:r>
      <w:r>
        <w:rPr>
          <w:rFonts w:hint="default" w:ascii="Times New Roman" w:hAnsi="Times New Roman" w:eastAsia="仿宋_GB2312" w:cs="Times New Roman"/>
          <w:color w:val="auto"/>
          <w:kern w:val="2"/>
          <w:sz w:val="32"/>
          <w:szCs w:val="32"/>
          <w:highlight w:val="none"/>
          <w:lang w:val="en-US" w:eastAsia="zh-CN" w:bidi="ar-SA"/>
        </w:rPr>
        <w:t>工信厅机关基本支出结余较上年减少，支出相应减少</w:t>
      </w:r>
      <w:r>
        <w:rPr>
          <w:rFonts w:hint="default" w:ascii="Times New Roman" w:hAnsi="Times New Roman" w:eastAsia="仿宋_GB2312" w:cs="Times New Roman"/>
          <w:color w:val="auto"/>
          <w:kern w:val="2"/>
          <w:sz w:val="32"/>
          <w:szCs w:val="32"/>
          <w:highlight w:val="none"/>
          <w:lang w:val="zh-CN" w:eastAsia="zh-CN" w:bidi="ar-SA"/>
        </w:rPr>
        <w:t>。</w:t>
      </w:r>
    </w:p>
    <w:p w14:paraId="545ECED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33.一般公共服务支出（类）商贸事务（款）其他商贸事务支出（项）:支出决算数为0.00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31.44</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100%，主要原因是：</w:t>
      </w:r>
      <w:r>
        <w:rPr>
          <w:rFonts w:hint="default" w:ascii="Times New Roman" w:hAnsi="Times New Roman" w:eastAsia="仿宋_GB2312" w:cs="Times New Roman"/>
          <w:color w:val="auto"/>
          <w:kern w:val="2"/>
          <w:sz w:val="32"/>
          <w:szCs w:val="32"/>
          <w:highlight w:val="none"/>
          <w:lang w:val="en-US" w:eastAsia="zh-CN" w:bidi="ar-SA"/>
        </w:rPr>
        <w:t>工信厅机关园区发展项目支出结余</w:t>
      </w:r>
      <w:r>
        <w:rPr>
          <w:rFonts w:hint="default" w:ascii="Times New Roman" w:hAnsi="Times New Roman" w:eastAsia="仿宋_GB2312" w:cs="Times New Roman"/>
          <w:color w:val="auto"/>
          <w:kern w:val="2"/>
          <w:sz w:val="32"/>
          <w:szCs w:val="32"/>
          <w:highlight w:val="none"/>
          <w:lang w:val="en-US" w:eastAsia="zh-CN" w:bidi="ar-SA"/>
        </w:rPr>
        <w:t>上年已支出完毕，本年无此支出</w:t>
      </w:r>
      <w:r>
        <w:rPr>
          <w:rFonts w:hint="default" w:ascii="Times New Roman" w:hAnsi="Times New Roman" w:eastAsia="仿宋_GB2312" w:cs="Times New Roman"/>
          <w:color w:val="auto"/>
          <w:kern w:val="2"/>
          <w:sz w:val="32"/>
          <w:szCs w:val="32"/>
          <w:highlight w:val="none"/>
          <w:lang w:val="zh-CN" w:eastAsia="zh-CN" w:bidi="ar-SA"/>
        </w:rPr>
        <w:t>。</w:t>
      </w:r>
    </w:p>
    <w:p w14:paraId="0129C3B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34.教育支出（类）职业教育（款）其他职业教育支出（项）:支出决算数为0.00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6.51</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100%，主要原因是：</w:t>
      </w:r>
      <w:r>
        <w:rPr>
          <w:rFonts w:hint="default" w:ascii="Times New Roman" w:hAnsi="Times New Roman" w:eastAsia="仿宋_GB2312" w:cs="Times New Roman"/>
          <w:color w:val="auto"/>
          <w:kern w:val="2"/>
          <w:sz w:val="32"/>
          <w:szCs w:val="32"/>
          <w:highlight w:val="none"/>
          <w:lang w:val="en-US" w:eastAsia="zh-CN" w:bidi="ar-SA"/>
        </w:rPr>
        <w:t>轻工职业技术学院</w:t>
      </w:r>
      <w:r>
        <w:rPr>
          <w:rFonts w:hint="default" w:ascii="Times New Roman" w:hAnsi="Times New Roman" w:eastAsia="仿宋_GB2312" w:cs="Times New Roman"/>
          <w:color w:val="auto"/>
          <w:kern w:val="2"/>
          <w:sz w:val="32"/>
          <w:szCs w:val="32"/>
          <w:highlight w:val="none"/>
          <w:lang w:val="en-US" w:eastAsia="zh-CN" w:bidi="ar-SA"/>
        </w:rPr>
        <w:t>职业教育质量提升项目上年已支出完毕，本年无此支出</w:t>
      </w:r>
      <w:r>
        <w:rPr>
          <w:rFonts w:hint="default" w:ascii="Times New Roman" w:hAnsi="Times New Roman" w:eastAsia="仿宋_GB2312" w:cs="Times New Roman"/>
          <w:color w:val="auto"/>
          <w:kern w:val="2"/>
          <w:sz w:val="32"/>
          <w:szCs w:val="32"/>
          <w:highlight w:val="none"/>
          <w:lang w:val="zh-CN" w:eastAsia="zh-CN" w:bidi="ar-SA"/>
        </w:rPr>
        <w:t>。</w:t>
      </w:r>
    </w:p>
    <w:p w14:paraId="5BD56EF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35.科学技术支出（类）科学技术管理事务（款）一般行政管理事务（项）:支出决算数为0.00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2.70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100%，主要原因是：</w:t>
      </w:r>
      <w:r>
        <w:rPr>
          <w:rFonts w:hint="default" w:ascii="Times New Roman" w:hAnsi="Times New Roman" w:eastAsia="仿宋_GB2312" w:cs="Times New Roman"/>
          <w:color w:val="auto"/>
          <w:kern w:val="2"/>
          <w:sz w:val="32"/>
          <w:szCs w:val="32"/>
          <w:highlight w:val="none"/>
          <w:lang w:val="en-US" w:eastAsia="zh-CN" w:bidi="ar-SA"/>
        </w:rPr>
        <w:t>工业经济和信息化研究院社科类项目上年已支出完毕，本年无此支出</w:t>
      </w:r>
      <w:r>
        <w:rPr>
          <w:rFonts w:hint="default" w:ascii="Times New Roman" w:hAnsi="Times New Roman" w:eastAsia="仿宋_GB2312" w:cs="Times New Roman"/>
          <w:color w:val="auto"/>
          <w:kern w:val="2"/>
          <w:sz w:val="32"/>
          <w:szCs w:val="32"/>
          <w:highlight w:val="none"/>
          <w:lang w:val="zh-CN" w:eastAsia="zh-CN" w:bidi="ar-SA"/>
        </w:rPr>
        <w:t>。</w:t>
      </w:r>
    </w:p>
    <w:p w14:paraId="0C9815E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36.资源勘探工业信息等支出（类）工业和信息产业监管（款）工程建设及运行维护（项）:支出决算数为0.00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，比上年决算</w:t>
      </w:r>
      <w:r>
        <w:rPr>
          <w:rFonts w:hint="default" w:ascii="Times New Roman" w:hAnsi="Times New Roman" w:eastAsia="仿宋_GB2312" w:cs="Times New Roman"/>
          <w:color w:val="auto"/>
          <w:kern w:val="2"/>
          <w:sz w:val="32"/>
          <w:szCs w:val="32"/>
          <w:highlight w:val="none"/>
          <w:lang w:val="en-US" w:eastAsia="zh-CN" w:bidi="ar-SA"/>
        </w:rPr>
        <w:t>减少</w:t>
      </w:r>
      <w:r>
        <w:rPr>
          <w:rFonts w:hint="default" w:ascii="Times New Roman" w:hAnsi="Times New Roman" w:eastAsia="仿宋_GB2312" w:cs="Times New Roman"/>
          <w:color w:val="auto"/>
          <w:kern w:val="2"/>
          <w:sz w:val="32"/>
          <w:szCs w:val="32"/>
          <w:highlight w:val="none"/>
          <w:lang w:val="en-US" w:eastAsia="zh-CN" w:bidi="ar-SA"/>
        </w:rPr>
        <w:t>300.00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下降</w:t>
      </w:r>
      <w:r>
        <w:rPr>
          <w:rFonts w:hint="default" w:ascii="Times New Roman" w:hAnsi="Times New Roman" w:eastAsia="仿宋_GB2312" w:cs="Times New Roman"/>
          <w:color w:val="auto"/>
          <w:kern w:val="2"/>
          <w:sz w:val="32"/>
          <w:szCs w:val="32"/>
          <w:highlight w:val="none"/>
          <w:lang w:val="en-US" w:eastAsia="zh-CN" w:bidi="ar-SA"/>
        </w:rPr>
        <w:t>100%，主要原因是：</w:t>
      </w:r>
      <w:r>
        <w:rPr>
          <w:rFonts w:hint="default" w:ascii="Times New Roman" w:hAnsi="Times New Roman" w:eastAsia="仿宋_GB2312" w:cs="Times New Roman"/>
          <w:color w:val="auto"/>
          <w:kern w:val="2"/>
          <w:sz w:val="32"/>
          <w:szCs w:val="32"/>
          <w:highlight w:val="none"/>
          <w:lang w:val="en-US" w:eastAsia="zh-CN" w:bidi="ar-SA"/>
        </w:rPr>
        <w:t>重要信息系统灾难备份中心将一般公共预算安排的运维经费支出，从此科目调整到“</w:t>
      </w:r>
      <w:r>
        <w:rPr>
          <w:rFonts w:hint="default" w:ascii="Times New Roman" w:hAnsi="Times New Roman" w:eastAsia="仿宋_GB2312" w:cs="Times New Roman"/>
          <w:color w:val="auto"/>
          <w:sz w:val="32"/>
          <w:szCs w:val="32"/>
        </w:rPr>
        <w:t>其他工业和信息产业监管支出</w:t>
      </w:r>
      <w:r>
        <w:rPr>
          <w:rFonts w:hint="default" w:ascii="Times New Roman" w:hAnsi="Times New Roman" w:eastAsia="仿宋_GB2312" w:cs="Times New Roman"/>
          <w:color w:val="auto"/>
          <w:kern w:val="2"/>
          <w:sz w:val="32"/>
          <w:szCs w:val="32"/>
          <w:highlight w:val="none"/>
          <w:lang w:val="en-US" w:eastAsia="zh-CN" w:bidi="ar-SA"/>
        </w:rPr>
        <w:t>”科目</w:t>
      </w:r>
      <w:r>
        <w:rPr>
          <w:rFonts w:hint="default" w:ascii="Times New Roman" w:hAnsi="Times New Roman" w:eastAsia="仿宋_GB2312" w:cs="Times New Roman"/>
          <w:color w:val="auto"/>
          <w:kern w:val="2"/>
          <w:sz w:val="32"/>
          <w:szCs w:val="32"/>
          <w:highlight w:val="none"/>
          <w:lang w:val="zh-CN" w:eastAsia="zh-CN" w:bidi="ar-SA"/>
        </w:rPr>
        <w:t>。</w:t>
      </w:r>
    </w:p>
    <w:p w14:paraId="789C01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14:paraId="06A4DB2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41,845.17</w:t>
      </w:r>
      <w:r>
        <w:rPr>
          <w:rFonts w:hint="default" w:ascii="Times New Roman" w:hAnsi="Times New Roman" w:eastAsia="仿宋_GB2312" w:cs="Times New Roman"/>
          <w:color w:val="auto"/>
          <w:sz w:val="32"/>
          <w:szCs w:val="32"/>
          <w:highlight w:val="none"/>
        </w:rPr>
        <w:t>万元，其中：</w:t>
      </w:r>
      <w:r>
        <w:rPr>
          <w:rFonts w:hint="default" w:ascii="Times New Roman" w:hAnsi="Times New Roman" w:eastAsia="仿宋_GB2312" w:cs="Times New Roman"/>
          <w:b/>
          <w:bCs/>
          <w:color w:val="auto"/>
          <w:sz w:val="32"/>
          <w:szCs w:val="32"/>
          <w:highlight w:val="none"/>
        </w:rPr>
        <w:t>人员经费</w:t>
      </w:r>
      <w:r>
        <w:rPr>
          <w:rFonts w:hint="default" w:ascii="Times New Roman" w:hAnsi="Times New Roman" w:eastAsia="仿宋_GB2312" w:cs="Times New Roman"/>
          <w:b/>
          <w:bCs/>
          <w:color w:val="auto"/>
          <w:sz w:val="32"/>
          <w:szCs w:val="32"/>
          <w:highlight w:val="none"/>
          <w:lang w:eastAsia="zh-CN"/>
        </w:rPr>
        <w:t>37,392.13</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包括：</w:t>
      </w:r>
      <w:r>
        <w:rPr>
          <w:rFonts w:hint="default" w:ascii="Times New Roman" w:hAnsi="Times New Roman" w:eastAsia="仿宋_GB2312" w:cs="Times New Roman"/>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离休费、退休费、抚恤金、生活补助、医疗费补助、奖励金、其他对个人和家庭的补助。</w:t>
      </w:r>
    </w:p>
    <w:p w14:paraId="43F50471">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b/>
          <w:bCs/>
          <w:color w:val="auto"/>
          <w:sz w:val="32"/>
          <w:szCs w:val="32"/>
          <w:highlight w:val="none"/>
        </w:rPr>
        <w:t>公用经费</w:t>
      </w:r>
      <w:r>
        <w:rPr>
          <w:rFonts w:hint="default" w:ascii="Times New Roman" w:hAnsi="Times New Roman" w:eastAsia="仿宋_GB2312" w:cs="Times New Roman"/>
          <w:b/>
          <w:bCs/>
          <w:color w:val="auto"/>
          <w:sz w:val="32"/>
          <w:szCs w:val="32"/>
          <w:highlight w:val="none"/>
          <w:lang w:eastAsia="zh-CN"/>
        </w:rPr>
        <w:t>4,453.04</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包括：</w:t>
      </w:r>
      <w:r>
        <w:rPr>
          <w:rFonts w:hint="default" w:ascii="Times New Roman" w:hAnsi="Times New Roman" w:eastAsia="仿宋_GB2312" w:cs="Times New Roman"/>
          <w:color w:val="auto"/>
          <w:sz w:val="32"/>
          <w:szCs w:val="32"/>
          <w:highlight w:val="none"/>
          <w:lang w:val="en-US" w:eastAsia="zh-CN"/>
        </w:rPr>
        <w:t>办公费、印刷费、咨询费、水费、电费、邮电费、取暖费、物业管理费、差旅费、培训费、公务接待费、工会经费、福利费、公务用车运行维护费、其他交通费用、其他商品和服务支出。</w:t>
      </w:r>
    </w:p>
    <w:p w14:paraId="16EFF5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14:paraId="24464F17">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2023年度</w:t>
      </w:r>
      <w:r>
        <w:rPr>
          <w:rFonts w:hint="default" w:ascii="Times New Roman" w:hAnsi="Times New Roman" w:eastAsia="仿宋_GB2312" w:cs="Times New Roman"/>
          <w:b/>
          <w:bCs/>
          <w:color w:val="auto"/>
          <w:sz w:val="32"/>
          <w:szCs w:val="32"/>
          <w:highlight w:val="none"/>
          <w:lang w:val="en-US" w:eastAsia="zh-CN"/>
        </w:rPr>
        <w:t>财政拨款</w:t>
      </w:r>
      <w:r>
        <w:rPr>
          <w:rFonts w:hint="default" w:ascii="Times New Roman" w:hAnsi="Times New Roman" w:eastAsia="仿宋_GB2312" w:cs="Times New Roman"/>
          <w:b/>
          <w:bCs/>
          <w:color w:val="auto"/>
          <w:sz w:val="32"/>
          <w:szCs w:val="32"/>
          <w:highlight w:val="none"/>
          <w:lang w:val="zh-CN" w:eastAsia="zh-CN"/>
        </w:rPr>
        <w:t>“三公”经费支出325.14万元，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减少53.54万元，下降14.14%，主要原因是：</w:t>
      </w:r>
      <w:r>
        <w:rPr>
          <w:rFonts w:hint="default" w:ascii="Times New Roman" w:hAnsi="Times New Roman" w:eastAsia="仿宋_GB2312" w:cs="Times New Roman"/>
          <w:color w:val="auto"/>
          <w:sz w:val="32"/>
          <w:szCs w:val="32"/>
        </w:rPr>
        <w:t>严格执行中央八项规定及实施细则，做到“三公”经费只减不增，无预算不支出</w:t>
      </w:r>
      <w:r>
        <w:rPr>
          <w:rFonts w:hint="default" w:ascii="Times New Roman" w:hAnsi="Times New Roman" w:eastAsia="仿宋_GB2312" w:cs="Times New Roman"/>
          <w:color w:val="auto"/>
          <w:sz w:val="32"/>
          <w:szCs w:val="32"/>
          <w:highlight w:val="none"/>
          <w:lang w:val="zh-CN" w:eastAsia="zh-CN"/>
        </w:rPr>
        <w:t>。其中：因公出国（境）费支出2.97万元，占0.91%，比上年增加2.97万元，增长</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zh-CN" w:eastAsia="zh-CN"/>
        </w:rPr>
        <w:t>.00%，主要原因是：上年无出国事项，</w:t>
      </w:r>
      <w:r>
        <w:rPr>
          <w:rFonts w:hint="default" w:ascii="Times New Roman" w:hAnsi="Times New Roman" w:eastAsia="仿宋_GB2312" w:cs="Times New Roman"/>
          <w:color w:val="auto"/>
          <w:sz w:val="32"/>
          <w:szCs w:val="32"/>
          <w:highlight w:val="none"/>
          <w:lang w:val="en-US" w:eastAsia="zh-CN"/>
        </w:rPr>
        <w:t>本年新增自治区人民政府组织出国参展事项，并由财政部门追加经费</w:t>
      </w:r>
      <w:r>
        <w:rPr>
          <w:rFonts w:hint="default" w:ascii="Times New Roman" w:hAnsi="Times New Roman" w:eastAsia="仿宋_GB2312" w:cs="Times New Roman"/>
          <w:color w:val="auto"/>
          <w:sz w:val="32"/>
          <w:szCs w:val="32"/>
          <w:highlight w:val="none"/>
          <w:lang w:val="zh-CN" w:eastAsia="zh-CN"/>
        </w:rPr>
        <w:t>；公务用车购置及运行维护费支出319.98万元，占98.41%，比上年减少56.46万元，下降15.00%，主要原因是：</w:t>
      </w:r>
      <w:r>
        <w:rPr>
          <w:rFonts w:hint="default" w:ascii="Times New Roman" w:hAnsi="Times New Roman" w:eastAsia="仿宋_GB2312" w:cs="Times New Roman"/>
          <w:color w:val="auto"/>
          <w:sz w:val="32"/>
          <w:szCs w:val="32"/>
        </w:rPr>
        <w:t>严格执行公务车用管理制度，</w:t>
      </w:r>
      <w:r>
        <w:rPr>
          <w:rFonts w:hint="default" w:ascii="Times New Roman" w:hAnsi="Times New Roman" w:eastAsia="仿宋_GB2312" w:cs="Times New Roman"/>
          <w:color w:val="auto"/>
          <w:sz w:val="32"/>
          <w:szCs w:val="32"/>
          <w:lang w:val="en-US" w:eastAsia="zh-CN"/>
        </w:rPr>
        <w:t>厉行节约严格控制</w:t>
      </w:r>
      <w:r>
        <w:rPr>
          <w:rFonts w:hint="default" w:ascii="Times New Roman" w:hAnsi="Times New Roman" w:eastAsia="仿宋_GB2312" w:cs="Times New Roman"/>
          <w:color w:val="auto"/>
          <w:sz w:val="32"/>
          <w:szCs w:val="32"/>
          <w:lang w:val="en-US" w:eastAsia="zh-CN"/>
        </w:rPr>
        <w:t>公务用车</w:t>
      </w:r>
      <w:r>
        <w:rPr>
          <w:rFonts w:hint="default" w:ascii="Times New Roman" w:hAnsi="Times New Roman" w:eastAsia="仿宋_GB2312" w:cs="Times New Roman"/>
          <w:color w:val="auto"/>
          <w:sz w:val="32"/>
          <w:szCs w:val="32"/>
          <w:lang w:val="en-US" w:eastAsia="zh-CN"/>
        </w:rPr>
        <w:t>经费</w:t>
      </w:r>
      <w:r>
        <w:rPr>
          <w:rFonts w:hint="default" w:ascii="Times New Roman" w:hAnsi="Times New Roman" w:eastAsia="仿宋_GB2312" w:cs="Times New Roman"/>
          <w:color w:val="auto"/>
          <w:sz w:val="32"/>
          <w:szCs w:val="32"/>
          <w:lang w:val="zh-CN" w:eastAsia="zh-CN"/>
        </w:rPr>
        <w:t>；</w:t>
      </w:r>
      <w:r>
        <w:rPr>
          <w:rFonts w:hint="default" w:ascii="Times New Roman" w:hAnsi="Times New Roman" w:eastAsia="仿宋_GB2312" w:cs="Times New Roman"/>
          <w:color w:val="auto"/>
          <w:sz w:val="32"/>
          <w:szCs w:val="32"/>
          <w:highlight w:val="none"/>
          <w:lang w:val="zh-CN" w:eastAsia="zh-CN"/>
        </w:rPr>
        <w:t>公务接待费支出2.20万元，占0.68%，比上年减少0.05万元，下降2.</w:t>
      </w:r>
      <w:r>
        <w:rPr>
          <w:rFonts w:hint="default" w:ascii="Times New Roman" w:hAnsi="Times New Roman" w:eastAsia="仿宋_GB2312" w:cs="Times New Roman"/>
          <w:color w:val="auto"/>
          <w:sz w:val="32"/>
          <w:szCs w:val="32"/>
          <w:highlight w:val="none"/>
          <w:lang w:val="en-US" w:eastAsia="zh-CN"/>
        </w:rPr>
        <w:t>22</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rPr>
        <w:t>严格执行中央八项规定及实施细则，严格控制公务接待</w:t>
      </w:r>
      <w:r>
        <w:rPr>
          <w:rFonts w:hint="default" w:ascii="Times New Roman" w:hAnsi="Times New Roman" w:eastAsia="仿宋_GB2312" w:cs="Times New Roman"/>
          <w:color w:val="auto"/>
          <w:sz w:val="32"/>
          <w:szCs w:val="32"/>
          <w:lang w:val="en-US" w:eastAsia="zh-CN"/>
        </w:rPr>
        <w:t>事项</w:t>
      </w:r>
      <w:r>
        <w:rPr>
          <w:rFonts w:hint="default" w:ascii="Times New Roman" w:hAnsi="Times New Roman" w:eastAsia="仿宋_GB2312" w:cs="Times New Roman"/>
          <w:color w:val="auto"/>
          <w:sz w:val="32"/>
          <w:szCs w:val="32"/>
          <w:highlight w:val="none"/>
          <w:lang w:val="zh-CN" w:eastAsia="zh-CN"/>
        </w:rPr>
        <w:t>。</w:t>
      </w:r>
    </w:p>
    <w:p w14:paraId="157FABB5">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仿宋_GB2312" w:cs="Times New Roman"/>
          <w:b/>
          <w:bCs/>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具体情况如下：</w:t>
      </w:r>
    </w:p>
    <w:p w14:paraId="10404C9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因公出国（境）费支出2.97万元，开支内容包括</w:t>
      </w:r>
      <w:r>
        <w:rPr>
          <w:rFonts w:hint="default" w:ascii="Times New Roman" w:hAnsi="Times New Roman" w:eastAsia="仿宋_GB2312" w:cs="Times New Roman"/>
          <w:color w:val="auto"/>
          <w:sz w:val="32"/>
          <w:szCs w:val="32"/>
          <w:highlight w:val="none"/>
          <w:lang w:val="en-US" w:eastAsia="zh-CN"/>
        </w:rPr>
        <w:t>国际旅费、住宿费、伙食费、公杂费等费用支出</w:t>
      </w:r>
      <w:r>
        <w:rPr>
          <w:rFonts w:hint="default" w:ascii="Times New Roman" w:hAnsi="Times New Roman" w:eastAsia="仿宋_GB2312" w:cs="Times New Roman"/>
          <w:color w:val="auto"/>
          <w:sz w:val="32"/>
          <w:szCs w:val="32"/>
          <w:highlight w:val="none"/>
          <w:lang w:val="zh-CN" w:eastAsia="zh-CN"/>
        </w:rPr>
        <w:t>。单位全年安排的因公出国（境）团组1个，因公出国（境）1人次。</w:t>
      </w:r>
    </w:p>
    <w:p w14:paraId="4ACD7E1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公务用车购置及运行维护费319.98万元，其中：公务用车购置费0.00万元，公务用车运行维护费319.98万元。公务用车运行维护费开支内容包括</w:t>
      </w:r>
      <w:r>
        <w:rPr>
          <w:rFonts w:hint="default" w:ascii="Times New Roman" w:hAnsi="Times New Roman" w:eastAsia="仿宋_GB2312" w:cs="Times New Roman"/>
          <w:color w:val="auto"/>
          <w:sz w:val="32"/>
          <w:szCs w:val="32"/>
        </w:rPr>
        <w:t>车辆保险、停车过路费、车辆加油、车辆维修等费用</w:t>
      </w:r>
      <w:r>
        <w:rPr>
          <w:rFonts w:hint="default" w:ascii="Times New Roman" w:hAnsi="Times New Roman" w:eastAsia="仿宋_GB2312" w:cs="Times New Roman"/>
          <w:color w:val="auto"/>
          <w:sz w:val="32"/>
          <w:szCs w:val="32"/>
          <w:highlight w:val="none"/>
          <w:lang w:val="zh-CN" w:eastAsia="zh-CN"/>
        </w:rPr>
        <w:t>。公务用车购置数0辆，公务用车保有量135辆。国有资产占用情况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151辆，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保有量差异</w:t>
      </w:r>
      <w:r>
        <w:rPr>
          <w:rFonts w:hint="default" w:ascii="Times New Roman" w:hAnsi="Times New Roman" w:eastAsia="仿宋_GB2312" w:cs="Times New Roman"/>
          <w:color w:val="auto"/>
          <w:sz w:val="32"/>
          <w:szCs w:val="32"/>
          <w:highlight w:val="none"/>
          <w:lang w:val="zh-CN" w:eastAsia="zh-CN"/>
        </w:rPr>
        <w:t>原因是：</w:t>
      </w:r>
      <w:r>
        <w:rPr>
          <w:rFonts w:hint="default" w:ascii="Times New Roman" w:hAnsi="Times New Roman" w:eastAsia="仿宋_GB2312" w:cs="Times New Roman"/>
          <w:color w:val="auto"/>
          <w:sz w:val="32"/>
          <w:szCs w:val="32"/>
          <w:highlight w:val="none"/>
          <w:lang w:val="en-US" w:eastAsia="zh-CN"/>
        </w:rPr>
        <w:t>差额单位使用非财政资金保障的其他用车16辆</w:t>
      </w:r>
      <w:r>
        <w:rPr>
          <w:rFonts w:hint="default" w:ascii="Times New Roman" w:hAnsi="Times New Roman" w:eastAsia="仿宋_GB2312" w:cs="Times New Roman"/>
          <w:color w:val="auto"/>
          <w:sz w:val="32"/>
          <w:szCs w:val="32"/>
          <w:highlight w:val="none"/>
          <w:lang w:val="zh-CN" w:eastAsia="zh-CN"/>
        </w:rPr>
        <w:t>。</w:t>
      </w:r>
    </w:p>
    <w:p w14:paraId="1353C64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公务接待费2.20万元，开支内容包括公务接待相关部</w:t>
      </w:r>
    </w:p>
    <w:p w14:paraId="07F9B457">
      <w:pPr>
        <w:keepNext w:val="0"/>
        <w:keepLines w:val="0"/>
        <w:pageBreakBefore w:val="0"/>
        <w:widowControl w:val="0"/>
        <w:kinsoku/>
        <w:wordWrap/>
        <w:overflowPunct/>
        <w:topLinePunct w:val="0"/>
        <w:bidi w:val="0"/>
        <w:adjustRightInd/>
        <w:snapToGrid/>
        <w:spacing w:line="240" w:lineRule="auto"/>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门人员发生的餐费。单位全年安排的国内公务接待21批次，142人次。</w:t>
      </w:r>
    </w:p>
    <w:p w14:paraId="0F525572">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与</w:t>
      </w:r>
      <w:r>
        <w:rPr>
          <w:rFonts w:hint="default" w:ascii="Times New Roman" w:hAnsi="Times New Roman" w:eastAsia="仿宋_GB2312" w:cs="Times New Roman"/>
          <w:b/>
          <w:bCs/>
          <w:color w:val="auto"/>
          <w:sz w:val="32"/>
          <w:szCs w:val="32"/>
          <w:highlight w:val="none"/>
          <w:lang w:val="en-US" w:eastAsia="zh-CN"/>
        </w:rPr>
        <w:t>全年</w:t>
      </w:r>
      <w:r>
        <w:rPr>
          <w:rFonts w:hint="default" w:ascii="Times New Roman" w:hAnsi="Times New Roman" w:eastAsia="仿宋_GB2312" w:cs="Times New Roman"/>
          <w:b/>
          <w:bCs/>
          <w:color w:val="auto"/>
          <w:sz w:val="32"/>
          <w:szCs w:val="32"/>
          <w:highlight w:val="none"/>
          <w:lang w:val="zh-CN" w:eastAsia="zh-CN"/>
        </w:rPr>
        <w:t>预算相比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财政拨款“三公”经费支出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预算数330.14万元，决算数325.14万元，预决算差异率-1.51%，主要原因是：严格执行中央八项规定及实施细则，根据工作实际需求，合理压减预算资金。其中：因公出国（境）费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2.97万元，决算数2.97万元，预决算差异率0.00%，主要原因是：</w:t>
      </w:r>
      <w:r>
        <w:rPr>
          <w:rFonts w:hint="default" w:ascii="Times New Roman" w:hAnsi="Times New Roman" w:eastAsia="仿宋_GB2312" w:cs="Times New Roman"/>
          <w:color w:val="auto"/>
          <w:sz w:val="32"/>
          <w:szCs w:val="32"/>
          <w:highlight w:val="none"/>
          <w:lang w:val="en-US" w:eastAsia="zh-CN"/>
        </w:rPr>
        <w:t>上年无出国事项，本年新增自治区人民政府组织出国参展事项，并由财政部门追加经费</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color w:val="auto"/>
          <w:sz w:val="32"/>
          <w:szCs w:val="32"/>
          <w:highlight w:val="none"/>
          <w:lang w:val="en-US" w:eastAsia="zh-CN"/>
        </w:rPr>
        <w:t>本年未购买公务用车</w:t>
      </w:r>
      <w:r>
        <w:rPr>
          <w:rFonts w:hint="default" w:ascii="Times New Roman" w:hAnsi="Times New Roman" w:eastAsia="仿宋_GB2312" w:cs="Times New Roman"/>
          <w:color w:val="auto"/>
          <w:sz w:val="32"/>
          <w:szCs w:val="32"/>
          <w:highlight w:val="none"/>
          <w:lang w:val="zh-CN" w:eastAsia="zh-CN"/>
        </w:rPr>
        <w:t>；公务用车运行费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预算数321.76万元，决算数319.98万元，预决算差异率-0.55%，主要原因是：</w:t>
      </w:r>
      <w:r>
        <w:rPr>
          <w:rFonts w:hint="default" w:ascii="Times New Roman" w:hAnsi="Times New Roman" w:eastAsia="仿宋_GB2312" w:cs="Times New Roman"/>
          <w:color w:val="auto"/>
          <w:sz w:val="32"/>
          <w:szCs w:val="32"/>
        </w:rPr>
        <w:t>严格执行公务车用管理制度，</w:t>
      </w:r>
      <w:r>
        <w:rPr>
          <w:rFonts w:hint="default" w:ascii="Times New Roman" w:hAnsi="Times New Roman" w:eastAsia="仿宋_GB2312" w:cs="Times New Roman"/>
          <w:color w:val="auto"/>
          <w:sz w:val="32"/>
          <w:szCs w:val="32"/>
          <w:lang w:val="en-US" w:eastAsia="zh-CN"/>
        </w:rPr>
        <w:t>厉行节约严格控制</w:t>
      </w:r>
      <w:r>
        <w:rPr>
          <w:rFonts w:hint="default" w:ascii="Times New Roman" w:hAnsi="Times New Roman" w:eastAsia="仿宋_GB2312" w:cs="Times New Roman"/>
          <w:color w:val="auto"/>
          <w:sz w:val="32"/>
          <w:szCs w:val="32"/>
          <w:lang w:val="en-US" w:eastAsia="zh-CN"/>
        </w:rPr>
        <w:t>公务用车</w:t>
      </w:r>
      <w:r>
        <w:rPr>
          <w:rFonts w:hint="default" w:ascii="Times New Roman" w:hAnsi="Times New Roman" w:eastAsia="仿宋_GB2312" w:cs="Times New Roman"/>
          <w:color w:val="auto"/>
          <w:sz w:val="32"/>
          <w:szCs w:val="32"/>
          <w:lang w:val="en-US" w:eastAsia="zh-CN"/>
        </w:rPr>
        <w:t>经费</w:t>
      </w:r>
      <w:r>
        <w:rPr>
          <w:rFonts w:hint="default" w:ascii="Times New Roman" w:hAnsi="Times New Roman" w:eastAsia="仿宋_GB2312" w:cs="Times New Roman"/>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预算数5.41万元，决算数2.20万元，预决算差异率-59.3</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color w:val="auto"/>
          <w:sz w:val="32"/>
          <w:szCs w:val="32"/>
        </w:rPr>
        <w:t>严格执行中央八项规定及实施细则，严格控制公务接待</w:t>
      </w:r>
      <w:r>
        <w:rPr>
          <w:rFonts w:hint="default" w:ascii="Times New Roman" w:hAnsi="Times New Roman" w:eastAsia="仿宋_GB2312" w:cs="Times New Roman"/>
          <w:color w:val="auto"/>
          <w:sz w:val="32"/>
          <w:szCs w:val="32"/>
          <w:lang w:val="en-US" w:eastAsia="zh-CN"/>
        </w:rPr>
        <w:t>事项</w:t>
      </w:r>
      <w:r>
        <w:rPr>
          <w:rFonts w:hint="default" w:ascii="Times New Roman" w:hAnsi="Times New Roman" w:eastAsia="仿宋_GB2312" w:cs="Times New Roman"/>
          <w:color w:val="auto"/>
          <w:sz w:val="32"/>
          <w:szCs w:val="32"/>
          <w:highlight w:val="none"/>
          <w:lang w:val="zh-CN" w:eastAsia="zh-CN"/>
        </w:rPr>
        <w:t>。</w:t>
      </w:r>
    </w:p>
    <w:p w14:paraId="5032A7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7927"/>
      <w:bookmarkStart w:id="19" w:name="_Toc5810"/>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14:paraId="5D4FC62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部门</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14:paraId="160C33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14:paraId="51BC33C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部门</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14:paraId="16D2040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国有资本经营预算财政拨款收入支出与上年相比，减少</w:t>
      </w:r>
      <w:r>
        <w:rPr>
          <w:rFonts w:hint="default" w:ascii="Times New Roman" w:hAnsi="Times New Roman" w:eastAsia="仿宋_GB2312" w:cs="Times New Roman"/>
          <w:color w:val="auto"/>
          <w:sz w:val="32"/>
          <w:szCs w:val="32"/>
          <w:highlight w:val="none"/>
          <w:lang w:val="en-US" w:eastAsia="zh-CN"/>
        </w:rPr>
        <w:t>0.64万元，下降100%，主要原因是：上年由国有资本经营预算安排了国有破产企业遗留问题相关支出，本年无此事项。</w:t>
      </w:r>
    </w:p>
    <w:p w14:paraId="517885D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国有资本经营预算支出（类）解决历史遗留问题及改革成本支出（款）国有企业改革成本支出（项）：支出决算数为0万元，比上年决算减少0.64万元，下降100%，主要原因是：上年由国有资本经营预算安排了国有破产企业遗留问题相关支出，本年无此事项。</w:t>
      </w:r>
    </w:p>
    <w:p w14:paraId="3AE249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7314"/>
      <w:bookmarkStart w:id="21" w:name="_Toc12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14:paraId="663707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rPr>
      </w:pPr>
      <w:bookmarkStart w:id="22" w:name="_Toc14519"/>
      <w:bookmarkStart w:id="23" w:name="_Toc13105"/>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14:paraId="1F11A34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bookmarkStart w:id="24" w:name="_Toc227"/>
      <w:bookmarkStart w:id="25" w:name="_Toc26704"/>
      <w:r>
        <w:rPr>
          <w:rFonts w:hint="default" w:ascii="Times New Roman" w:hAnsi="Times New Roman" w:eastAsia="仿宋_GB2312" w:cs="Times New Roman"/>
          <w:color w:val="auto"/>
          <w:kern w:val="2"/>
          <w:sz w:val="32"/>
          <w:szCs w:val="32"/>
          <w:highlight w:val="none"/>
          <w:lang w:val="zh-CN" w:eastAsia="zh-CN" w:bidi="ar-SA"/>
        </w:rPr>
        <w:t>2023年度</w:t>
      </w:r>
      <w:r>
        <w:rPr>
          <w:rFonts w:hint="default" w:ascii="Times New Roman" w:hAnsi="Times New Roman" w:eastAsia="仿宋_GB2312" w:cs="Times New Roman"/>
          <w:color w:val="auto"/>
          <w:kern w:val="2"/>
          <w:sz w:val="32"/>
          <w:szCs w:val="32"/>
          <w:highlight w:val="none"/>
          <w:lang w:val="en-US" w:eastAsia="zh-CN" w:bidi="ar-SA"/>
        </w:rPr>
        <w:t>新疆维吾尔自治区工业和信息化厅</w:t>
      </w:r>
      <w:bookmarkStart w:id="48" w:name="_GoBack"/>
      <w:bookmarkEnd w:id="48"/>
      <w:r>
        <w:rPr>
          <w:rFonts w:hint="default" w:ascii="Times New Roman" w:hAnsi="Times New Roman" w:eastAsia="仿宋_GB2312" w:cs="Times New Roman"/>
          <w:color w:val="auto"/>
          <w:kern w:val="2"/>
          <w:sz w:val="32"/>
          <w:szCs w:val="32"/>
          <w:highlight w:val="none"/>
          <w:lang w:val="en-US" w:eastAsia="zh-CN" w:bidi="ar-SA"/>
        </w:rPr>
        <w:t>机关运行经费支出1,257.94万元，比上年减少55.78万元，下降4.25%，主要原因是：工信厅机关上年积极消化基本支出结余，并且本年厉行节约，支出较上年减少。</w:t>
      </w:r>
    </w:p>
    <w:p w14:paraId="35369CAE">
      <w:pPr>
        <w:ind w:firstLine="640" w:firstLineChars="200"/>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新疆维吾尔自治区工业和信息化厅</w:t>
      </w:r>
      <w:r>
        <w:rPr>
          <w:rFonts w:hint="default" w:ascii="Times New Roman" w:hAnsi="Times New Roman" w:eastAsia="仿宋_GB2312" w:cs="Times New Roman"/>
          <w:color w:val="auto"/>
          <w:sz w:val="32"/>
          <w:szCs w:val="32"/>
          <w:highlight w:val="none"/>
          <w:lang w:val="zh-CN" w:eastAsia="zh-CN"/>
        </w:rPr>
        <w:t>公用经费支出3,195.10万元，比上年减少917.24万元，下降22.30%，主要原因是：</w:t>
      </w:r>
      <w:r>
        <w:rPr>
          <w:rFonts w:hint="default" w:ascii="Times New Roman" w:hAnsi="Times New Roman" w:eastAsia="仿宋_GB2312" w:cs="Times New Roman"/>
          <w:color w:val="auto"/>
          <w:sz w:val="32"/>
          <w:szCs w:val="32"/>
          <w:highlight w:val="none"/>
          <w:lang w:val="en-US" w:eastAsia="zh-CN"/>
        </w:rPr>
        <w:t>直属院校轻工职业技术学院调整生均拨款使用方向，并使用项目支出弥补基本支出公用经费，公用经费支出大幅下降。其他直属事业单位厉行节约，公用经费支出略有降低。</w:t>
      </w:r>
    </w:p>
    <w:p w14:paraId="5B6880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r>
        <w:rPr>
          <w:rFonts w:hint="default" w:ascii="Times New Roman" w:hAnsi="Times New Roman" w:eastAsia="黑体" w:cs="Times New Roman"/>
          <w:color w:val="auto"/>
          <w:sz w:val="32"/>
          <w:szCs w:val="30"/>
          <w:highlight w:val="none"/>
          <w:lang w:val="zh-CN" w:eastAsia="zh-CN"/>
        </w:rPr>
        <w:t>（二）政府采购情况</w:t>
      </w:r>
      <w:bookmarkEnd w:id="24"/>
      <w:bookmarkEnd w:id="25"/>
    </w:p>
    <w:p w14:paraId="74E0EF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23,211.92万元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其中：政府采购货物支出13,063.72万元、政府采购工程支出2,504.15万元、政府采购服务支出7,644.05万元。</w:t>
      </w:r>
    </w:p>
    <w:p w14:paraId="0CC9B8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授予中小企业合同金额21,501.72万元，占政府采购支出总额的92.63</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，其中：授予小微企业合同金额14,197.90万元，占政府采购支出总额的61.17</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w:t>
      </w:r>
    </w:p>
    <w:p w14:paraId="5A90F8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bookmarkStart w:id="26" w:name="_Toc4591"/>
      <w:bookmarkStart w:id="27" w:name="_Toc8391"/>
      <w:r>
        <w:rPr>
          <w:rFonts w:hint="default" w:ascii="Times New Roman" w:hAnsi="Times New Roman" w:eastAsia="黑体" w:cs="Times New Roman"/>
          <w:color w:val="auto"/>
          <w:sz w:val="32"/>
          <w:szCs w:val="30"/>
          <w:highlight w:val="none"/>
          <w:lang w:val="zh-CN" w:eastAsia="zh-CN"/>
        </w:rPr>
        <w:t>（三）国有资产占用情况说明</w:t>
      </w:r>
      <w:bookmarkEnd w:id="26"/>
      <w:bookmarkEnd w:id="27"/>
    </w:p>
    <w:p w14:paraId="58CB66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234,739.10</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屋521021.89平方米，价值93,084.94万元。车辆151辆，价值6,146.07万元，其中：副部（省）级及以上领导用车0辆、主要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用车0辆、机要通信用车0辆、应急保障用车0辆、执法执勤用车13辆、特种专业技术用车60辆、离退休干部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用车0辆、其他用车78辆，其他用车主要是：</w:t>
      </w:r>
      <w:r>
        <w:rPr>
          <w:rFonts w:hint="default" w:ascii="Times New Roman" w:hAnsi="Times New Roman" w:eastAsia="仿宋_GB2312" w:cs="Times New Roman"/>
          <w:color w:val="auto"/>
          <w:sz w:val="32"/>
          <w:szCs w:val="32"/>
        </w:rPr>
        <w:t>开展日常公务活动，赴全疆检查、调研、指导业务工作，保障</w:t>
      </w:r>
      <w:r>
        <w:rPr>
          <w:rFonts w:hint="default" w:ascii="Times New Roman" w:hAnsi="Times New Roman" w:eastAsia="仿宋_GB2312" w:cs="Times New Roman"/>
          <w:color w:val="auto"/>
          <w:sz w:val="32"/>
          <w:szCs w:val="32"/>
          <w:lang w:val="en-US" w:eastAsia="zh-CN"/>
        </w:rPr>
        <w:t>驻村工作</w:t>
      </w:r>
      <w:r>
        <w:rPr>
          <w:rFonts w:hint="default" w:ascii="Times New Roman" w:hAnsi="Times New Roman" w:eastAsia="仿宋_GB2312" w:cs="Times New Roman"/>
          <w:color w:val="auto"/>
          <w:sz w:val="32"/>
          <w:szCs w:val="32"/>
        </w:rPr>
        <w:t>开展为民办实事工作等</w:t>
      </w:r>
      <w:r>
        <w:rPr>
          <w:rFonts w:hint="default" w:ascii="Times New Roman" w:hAnsi="Times New Roman" w:eastAsia="仿宋_GB2312" w:cs="Times New Roman"/>
          <w:color w:val="auto"/>
          <w:sz w:val="32"/>
          <w:szCs w:val="32"/>
          <w:highlight w:val="none"/>
          <w:lang w:val="zh-CN" w:eastAsia="zh-CN"/>
        </w:rPr>
        <w:t>；单价100万元（含）以上设备（不含车辆）197</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14:paraId="0D3A28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11283"/>
      <w:bookmarkStart w:id="29" w:name="_Toc4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14:paraId="7DE6FD7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部门</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kern w:val="0"/>
          <w:sz w:val="32"/>
          <w:szCs w:val="32"/>
          <w:highlight w:val="none"/>
        </w:rPr>
        <w:t>预算绩效管理整体</w:t>
      </w:r>
      <w:r>
        <w:rPr>
          <w:rFonts w:hint="default" w:ascii="Times New Roman" w:hAnsi="Times New Roman" w:eastAsia="仿宋_GB2312" w:cs="Times New Roman"/>
          <w:color w:val="auto"/>
          <w:kern w:val="0"/>
          <w:sz w:val="32"/>
          <w:szCs w:val="32"/>
          <w:highlight w:val="none"/>
          <w:lang w:val="en-US" w:eastAsia="zh-CN"/>
        </w:rPr>
        <w:t>支出</w:t>
      </w:r>
      <w:r>
        <w:rPr>
          <w:rFonts w:hint="default" w:ascii="Times New Roman" w:hAnsi="Times New Roman" w:eastAsia="仿宋_GB2312" w:cs="Times New Roman"/>
          <w:color w:val="auto"/>
          <w:kern w:val="0"/>
          <w:sz w:val="32"/>
          <w:szCs w:val="32"/>
          <w:highlight w:val="none"/>
        </w:rPr>
        <w:t>绩效自评表</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kern w:val="0"/>
          <w:sz w:val="32"/>
          <w:szCs w:val="32"/>
          <w:highlight w:val="none"/>
          <w:lang w:val="en-US" w:eastAsia="zh-CN"/>
        </w:rPr>
        <w:t>个，全年</w:t>
      </w:r>
      <w:r>
        <w:rPr>
          <w:rFonts w:hint="default" w:ascii="Times New Roman" w:hAnsi="Times New Roman" w:eastAsia="仿宋_GB2312" w:cs="Times New Roman"/>
          <w:color w:val="auto"/>
          <w:sz w:val="32"/>
          <w:szCs w:val="32"/>
          <w:highlight w:val="none"/>
          <w:lang w:val="en-US" w:eastAsia="zh-CN"/>
        </w:rPr>
        <w:t>预算总额</w:t>
      </w:r>
      <w:r>
        <w:rPr>
          <w:rFonts w:hint="default" w:ascii="Times New Roman" w:hAnsi="Times New Roman" w:eastAsia="仿宋_GB2312" w:cs="Times New Roman"/>
          <w:color w:val="auto"/>
          <w:sz w:val="32"/>
          <w:szCs w:val="32"/>
          <w:highlight w:val="none"/>
          <w:lang w:eastAsia="zh-CN"/>
        </w:rPr>
        <w:t>12</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754.46</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实际执行总额</w:t>
      </w:r>
      <w:r>
        <w:rPr>
          <w:rFonts w:hint="default" w:ascii="Times New Roman" w:hAnsi="Times New Roman" w:eastAsia="仿宋_GB2312" w:cs="Times New Roman"/>
          <w:color w:val="auto"/>
          <w:sz w:val="32"/>
          <w:szCs w:val="32"/>
          <w:highlight w:val="none"/>
          <w:lang w:eastAsia="zh-CN"/>
        </w:rPr>
        <w:t>11</w:t>
      </w:r>
      <w:r>
        <w:rPr>
          <w:rFonts w:hint="default"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lang w:eastAsia="zh-CN"/>
        </w:rPr>
        <w:t>671.19</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72</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全年预算数66,786.55</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全年执行数64,517.43</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本年度安排sm项目4个，预算金额4,873.99万元，不公开自评表。</w:t>
      </w:r>
      <w:r>
        <w:rPr>
          <w:rFonts w:hint="default" w:ascii="Times New Roman" w:hAnsi="Times New Roman" w:eastAsia="仿宋_GB2312" w:cs="Times New Roman"/>
          <w:color w:val="auto"/>
          <w:sz w:val="32"/>
          <w:szCs w:val="32"/>
          <w:highlight w:val="none"/>
          <w:lang w:eastAsia="zh-CN"/>
        </w:rPr>
        <w:t>预算绩效管理取得的成效：一是</w:t>
      </w:r>
      <w:r>
        <w:rPr>
          <w:rFonts w:hint="default" w:ascii="Times New Roman" w:hAnsi="Times New Roman" w:eastAsia="仿宋_GB2312" w:cs="Times New Roman"/>
          <w:color w:val="auto"/>
          <w:sz w:val="32"/>
          <w:szCs w:val="32"/>
          <w:highlight w:val="none"/>
          <w:lang w:val="en-US" w:eastAsia="zh-CN"/>
        </w:rPr>
        <w:t>全面预算</w:t>
      </w:r>
      <w:r>
        <w:rPr>
          <w:rFonts w:hint="default" w:ascii="Times New Roman" w:hAnsi="Times New Roman" w:eastAsia="仿宋_GB2312" w:cs="Times New Roman"/>
          <w:color w:val="auto"/>
          <w:sz w:val="32"/>
          <w:szCs w:val="32"/>
          <w:highlight w:val="none"/>
          <w:lang w:eastAsia="zh-CN"/>
        </w:rPr>
        <w:t>绩效</w:t>
      </w:r>
      <w:r>
        <w:rPr>
          <w:rFonts w:hint="default" w:ascii="Times New Roman" w:hAnsi="Times New Roman" w:eastAsia="仿宋_GB2312" w:cs="Times New Roman"/>
          <w:color w:val="auto"/>
          <w:sz w:val="32"/>
          <w:szCs w:val="32"/>
          <w:highlight w:val="none"/>
          <w:lang w:val="en-US" w:eastAsia="zh-CN"/>
        </w:rPr>
        <w:t>管理</w:t>
      </w:r>
      <w:r>
        <w:rPr>
          <w:rFonts w:hint="default" w:ascii="Times New Roman" w:hAnsi="Times New Roman" w:eastAsia="仿宋_GB2312" w:cs="Times New Roman"/>
          <w:color w:val="auto"/>
          <w:sz w:val="32"/>
          <w:szCs w:val="32"/>
          <w:highlight w:val="none"/>
          <w:lang w:eastAsia="zh-CN"/>
        </w:rPr>
        <w:t>理念进一步强化。各单位、各部门能够主动履行绩效主体职责，严格落实全面实施预算绩效管理各项工作任务，进一步增强了支出责任和效率意识，提高了使用财政资金的科学决策意识、责任意识、效率意识和服务意识。二是预算绩效管理责任进一步压实。加强与自治区财政厅协调对接，不断强化绩效评价管理与财政资金监管、财政监督检查工作的相互融合，绩效评价在预算分配、预算执行、结果应用的全过程管理机制不断完善。建立由厅财务部门牵头，其他业务处室（单位）积极配合的工作机制，明确各责任单位工作重点及承担的具体工作职责，压实了具体资金使用处室（所属单位）和项目负责人的绩效责任，切实将“花钱必问效、无效必问责”的绩效约束，落实到项目支出全生命周期管理上。三是预算绩效管理结果进一步公开透明。及时公开本部门单位预算绩效管理情况，主动接受社会监督。四是预算绩效管理促进高质量发展成效进一步显现。通过加强预算绩效管理，进一步提高了财政资金的使用效率，较好地发挥了各项财政资金聚力增效、支持工业和信息化高质量发展的重要作用。发现的问题及原因：一是</w:t>
      </w:r>
      <w:r>
        <w:rPr>
          <w:rFonts w:hint="default" w:ascii="Times New Roman" w:hAnsi="Times New Roman" w:eastAsia="仿宋_GB2312" w:cs="Times New Roman"/>
          <w:color w:val="auto"/>
          <w:sz w:val="32"/>
          <w:szCs w:val="32"/>
          <w:highlight w:val="none"/>
          <w:lang w:val="en-US" w:eastAsia="zh-CN"/>
        </w:rPr>
        <w:t>极</w:t>
      </w:r>
      <w:r>
        <w:rPr>
          <w:rFonts w:hint="default" w:ascii="Times New Roman" w:hAnsi="Times New Roman" w:eastAsia="仿宋_GB2312" w:cs="Times New Roman"/>
          <w:color w:val="auto"/>
          <w:sz w:val="32"/>
          <w:szCs w:val="32"/>
          <w:highlight w:val="none"/>
          <w:lang w:eastAsia="zh-CN"/>
        </w:rPr>
        <w:t>个别项目资金</w:t>
      </w:r>
      <w:r>
        <w:rPr>
          <w:rFonts w:hint="default" w:ascii="Times New Roman" w:hAnsi="Times New Roman" w:eastAsia="仿宋_GB2312" w:cs="Times New Roman"/>
          <w:color w:val="auto"/>
          <w:sz w:val="32"/>
          <w:szCs w:val="32"/>
          <w:highlight w:val="none"/>
          <w:lang w:val="en-US" w:eastAsia="zh-CN"/>
        </w:rPr>
        <w:t>预算执行进度较慢，需要不断督促项目负责单位，影响了绩效监控、评价工作成绩</w:t>
      </w:r>
      <w:r>
        <w:rPr>
          <w:rFonts w:hint="default" w:ascii="Times New Roman" w:hAnsi="Times New Roman" w:eastAsia="仿宋_GB2312" w:cs="Times New Roman"/>
          <w:color w:val="auto"/>
          <w:sz w:val="32"/>
          <w:szCs w:val="32"/>
          <w:highlight w:val="none"/>
          <w:lang w:eastAsia="zh-CN"/>
        </w:rPr>
        <w:t>；二是预算绩效观念不强，工作质量待提高，部分预算单位对预算绩效管理工作重视高度程度还不足，工作缺乏主动性；对预算绩效管理工作对意义、框架、思路、操作规程认识不深入，申报绩效目标不够明确，设计的评价指标体系不科学、不严谨；三是评价指标体系不完善，实际操作有难度，绩效指标具体设置没有统一的明确规定，没有针对性较强的个性评价指标体系可供预算部门及单位借鉴。下一步改进措施：</w:t>
      </w:r>
      <w:r>
        <w:rPr>
          <w:rFonts w:hint="default" w:ascii="Times New Roman" w:hAnsi="Times New Roman" w:eastAsia="仿宋_GB2312" w:cs="Times New Roman"/>
          <w:color w:val="auto"/>
          <w:sz w:val="32"/>
          <w:szCs w:val="32"/>
          <w:highlight w:val="none"/>
          <w:lang w:val="en-US" w:eastAsia="zh-CN"/>
        </w:rPr>
        <w:t>一是</w:t>
      </w:r>
      <w:r>
        <w:rPr>
          <w:rFonts w:hint="default" w:ascii="Times New Roman" w:hAnsi="Times New Roman" w:eastAsia="仿宋_GB2312" w:cs="Times New Roman"/>
          <w:color w:val="auto"/>
          <w:sz w:val="32"/>
          <w:szCs w:val="32"/>
          <w:highlight w:val="none"/>
          <w:lang w:eastAsia="zh-CN"/>
        </w:rPr>
        <w:t>在现有的</w:t>
      </w:r>
      <w:r>
        <w:rPr>
          <w:rFonts w:hint="default" w:ascii="Times New Roman" w:hAnsi="Times New Roman" w:eastAsia="仿宋_GB2312" w:cs="Times New Roman"/>
          <w:color w:val="auto"/>
          <w:sz w:val="32"/>
          <w:szCs w:val="32"/>
          <w:highlight w:val="none"/>
          <w:lang w:val="en-US" w:eastAsia="zh-CN"/>
        </w:rPr>
        <w:t>绩效目标管理</w:t>
      </w:r>
      <w:r>
        <w:rPr>
          <w:rFonts w:hint="default" w:ascii="Times New Roman" w:hAnsi="Times New Roman" w:eastAsia="仿宋_GB2312" w:cs="Times New Roman"/>
          <w:color w:val="auto"/>
          <w:sz w:val="32"/>
          <w:szCs w:val="32"/>
          <w:highlight w:val="none"/>
          <w:lang w:eastAsia="zh-CN"/>
        </w:rPr>
        <w:t>基础上，突出核心指标，深化、完善绩效指标体系，根据部门工作的具体情况和实际需求，按照明确性、可衡量性、可实现性、相关性、时限性等原则科学、合理的设置</w:t>
      </w:r>
      <w:r>
        <w:rPr>
          <w:rFonts w:hint="default" w:ascii="Times New Roman" w:hAnsi="Times New Roman" w:eastAsia="仿宋_GB2312" w:cs="Times New Roman"/>
          <w:color w:val="auto"/>
          <w:sz w:val="32"/>
          <w:szCs w:val="32"/>
          <w:highlight w:val="none"/>
          <w:lang w:val="en-US" w:eastAsia="zh-CN"/>
        </w:rPr>
        <w:t>绩效目标</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二是充分</w:t>
      </w:r>
      <w:r>
        <w:rPr>
          <w:rFonts w:hint="default" w:ascii="Times New Roman" w:hAnsi="Times New Roman" w:eastAsia="仿宋_GB2312" w:cs="Times New Roman"/>
          <w:color w:val="auto"/>
          <w:sz w:val="32"/>
          <w:szCs w:val="32"/>
          <w:highlight w:val="none"/>
          <w:lang w:eastAsia="zh-CN"/>
        </w:rPr>
        <w:t>落实</w:t>
      </w:r>
      <w:r>
        <w:rPr>
          <w:rFonts w:hint="default" w:ascii="Times New Roman" w:hAnsi="Times New Roman" w:eastAsia="仿宋_GB2312" w:cs="Times New Roman"/>
          <w:color w:val="auto"/>
          <w:sz w:val="32"/>
          <w:szCs w:val="32"/>
          <w:highlight w:val="none"/>
          <w:lang w:val="en-US" w:eastAsia="zh-CN"/>
        </w:rPr>
        <w:t>和应用</w:t>
      </w:r>
      <w:r>
        <w:rPr>
          <w:rFonts w:hint="default" w:ascii="Times New Roman" w:hAnsi="Times New Roman" w:eastAsia="仿宋_GB2312" w:cs="Times New Roman"/>
          <w:color w:val="auto"/>
          <w:sz w:val="32"/>
          <w:szCs w:val="32"/>
          <w:highlight w:val="none"/>
          <w:lang w:eastAsia="zh-CN"/>
        </w:rPr>
        <w:t>预算执行分析机制，</w:t>
      </w:r>
      <w:r>
        <w:rPr>
          <w:rFonts w:hint="default" w:ascii="Times New Roman" w:hAnsi="Times New Roman" w:eastAsia="仿宋_GB2312" w:cs="Times New Roman"/>
          <w:color w:val="auto"/>
          <w:sz w:val="32"/>
          <w:szCs w:val="32"/>
          <w:highlight w:val="none"/>
          <w:lang w:val="en-US" w:eastAsia="zh-CN"/>
        </w:rPr>
        <w:t>加强对</w:t>
      </w:r>
      <w:r>
        <w:rPr>
          <w:rFonts w:hint="default" w:ascii="Times New Roman" w:hAnsi="Times New Roman" w:eastAsia="仿宋_GB2312" w:cs="Times New Roman"/>
          <w:color w:val="auto"/>
          <w:sz w:val="32"/>
          <w:szCs w:val="32"/>
          <w:highlight w:val="none"/>
          <w:lang w:eastAsia="zh-CN"/>
        </w:rPr>
        <w:t>预算执行情况</w:t>
      </w:r>
      <w:r>
        <w:rPr>
          <w:rFonts w:hint="default" w:ascii="Times New Roman" w:hAnsi="Times New Roman" w:eastAsia="仿宋_GB2312" w:cs="Times New Roman"/>
          <w:color w:val="auto"/>
          <w:sz w:val="32"/>
          <w:szCs w:val="32"/>
          <w:highlight w:val="none"/>
          <w:lang w:val="en-US" w:eastAsia="zh-CN"/>
        </w:rPr>
        <w:t>监督</w:t>
      </w:r>
      <w:r>
        <w:rPr>
          <w:rFonts w:hint="default" w:ascii="Times New Roman" w:hAnsi="Times New Roman" w:eastAsia="仿宋_GB2312" w:cs="Times New Roman"/>
          <w:color w:val="auto"/>
          <w:sz w:val="32"/>
          <w:szCs w:val="32"/>
          <w:highlight w:val="none"/>
          <w:lang w:eastAsia="zh-CN"/>
        </w:rPr>
        <w:t>，注重分析预算执行中存在的问题，积极采取应对措施，提高预算执行的效率；三是</w:t>
      </w:r>
      <w:r>
        <w:rPr>
          <w:rFonts w:hint="default" w:ascii="Times New Roman" w:hAnsi="Times New Roman" w:eastAsia="仿宋_GB2312" w:cs="Times New Roman"/>
          <w:color w:val="auto"/>
          <w:sz w:val="32"/>
          <w:szCs w:val="32"/>
          <w:highlight w:val="none"/>
          <w:lang w:val="en-US" w:eastAsia="zh-CN"/>
        </w:rPr>
        <w:t>加强日常</w:t>
      </w:r>
      <w:r>
        <w:rPr>
          <w:rFonts w:hint="default" w:ascii="Times New Roman" w:hAnsi="Times New Roman" w:eastAsia="仿宋_GB2312" w:cs="Times New Roman"/>
          <w:color w:val="auto"/>
          <w:sz w:val="32"/>
          <w:szCs w:val="32"/>
          <w:highlight w:val="none"/>
          <w:lang w:eastAsia="zh-CN"/>
        </w:rPr>
        <w:t>预算绩效</w:t>
      </w:r>
      <w:r>
        <w:rPr>
          <w:rFonts w:hint="default" w:ascii="Times New Roman" w:hAnsi="Times New Roman" w:eastAsia="仿宋_GB2312" w:cs="Times New Roman"/>
          <w:color w:val="auto"/>
          <w:sz w:val="32"/>
          <w:szCs w:val="32"/>
          <w:highlight w:val="none"/>
          <w:lang w:val="en-US" w:eastAsia="zh-CN"/>
        </w:rPr>
        <w:t>管理的政策宣贯和业务</w:t>
      </w:r>
      <w:r>
        <w:rPr>
          <w:rFonts w:hint="default" w:ascii="Times New Roman" w:hAnsi="Times New Roman" w:eastAsia="仿宋_GB2312" w:cs="Times New Roman"/>
          <w:color w:val="auto"/>
          <w:sz w:val="32"/>
          <w:szCs w:val="32"/>
          <w:highlight w:val="none"/>
          <w:lang w:eastAsia="zh-CN"/>
        </w:rPr>
        <w:t>培训，牢固树立绩效理念，提高部门项目人员和财务人员的业务水平和能力，提升预算管理精细化、科学化水平。具体</w:t>
      </w:r>
      <w:r>
        <w:rPr>
          <w:rFonts w:hint="default" w:ascii="Times New Roman" w:hAnsi="Times New Roman" w:eastAsia="仿宋_GB2312" w:cs="Times New Roman"/>
          <w:color w:val="auto"/>
          <w:sz w:val="32"/>
          <w:szCs w:val="32"/>
          <w:highlight w:val="none"/>
        </w:rPr>
        <w:t>项目自评情况附绩效自评表</w:t>
      </w:r>
      <w:r>
        <w:rPr>
          <w:rFonts w:hint="default" w:ascii="Times New Roman" w:hAnsi="Times New Roman" w:eastAsia="仿宋_GB2312" w:cs="Times New Roman"/>
          <w:color w:val="auto"/>
          <w:sz w:val="32"/>
          <w:szCs w:val="32"/>
          <w:highlight w:val="none"/>
          <w:lang w:val="en-US" w:eastAsia="zh-CN"/>
        </w:rPr>
        <w:t>及自评报告</w:t>
      </w:r>
      <w:r>
        <w:rPr>
          <w:rFonts w:hint="default" w:ascii="Times New Roman" w:hAnsi="Times New Roman" w:eastAsia="仿宋_GB2312" w:cs="Times New Roman"/>
          <w:color w:val="auto"/>
          <w:sz w:val="32"/>
          <w:szCs w:val="32"/>
          <w:highlight w:val="none"/>
        </w:rPr>
        <w:t>。</w:t>
      </w:r>
    </w:p>
    <w:p w14:paraId="230B391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14:paraId="7A275F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default" w:ascii="Times New Roman" w:hAnsi="Times New Roman" w:eastAsia="仿宋_GB2312" w:cs="Times New Roman"/>
          <w:color w:val="auto"/>
          <w:sz w:val="32"/>
          <w:szCs w:val="32"/>
          <w:highlight w:val="none"/>
          <w:lang w:val="en-US" w:eastAsia="zh-CN"/>
        </w:rPr>
      </w:pPr>
      <w:bookmarkStart w:id="30" w:name="_Toc24143"/>
      <w:bookmarkStart w:id="31" w:name="_Toc3250"/>
      <w:r>
        <w:rPr>
          <w:rFonts w:hint="default" w:ascii="Times New Roman" w:hAnsi="Times New Roman" w:eastAsia="仿宋_GB2312" w:cs="Times New Roman"/>
          <w:color w:val="auto"/>
          <w:sz w:val="32"/>
          <w:szCs w:val="32"/>
          <w:highlight w:val="none"/>
          <w:lang w:val="en-US" w:eastAsia="zh-CN"/>
        </w:rPr>
        <w:t>2023年度本部门安排sm项目4个，预算金额4,873.99万元，其中：</w:t>
      </w:r>
      <w:r>
        <w:rPr>
          <w:rFonts w:hint="default" w:ascii="Times New Roman" w:hAnsi="Times New Roman" w:eastAsia="仿宋_GB2312" w:cs="Times New Roman"/>
          <w:color w:val="auto"/>
          <w:sz w:val="32"/>
          <w:szCs w:val="32"/>
          <w:highlight w:val="none"/>
          <w:lang w:val="en-US" w:eastAsia="zh-CN"/>
        </w:rPr>
        <w:t>财政拨款资金安排</w:t>
      </w:r>
      <w:r>
        <w:rPr>
          <w:rFonts w:hint="default" w:ascii="Times New Roman" w:hAnsi="Times New Roman" w:eastAsia="仿宋_GB2312" w:cs="Times New Roman"/>
          <w:color w:val="auto"/>
          <w:sz w:val="32"/>
          <w:szCs w:val="32"/>
          <w:highlight w:val="none"/>
          <w:lang w:val="en" w:eastAsia="zh-CN"/>
        </w:rPr>
        <w:t>１</w:t>
      </w:r>
      <w:r>
        <w:rPr>
          <w:rFonts w:hint="default" w:ascii="Times New Roman" w:hAnsi="Times New Roman" w:eastAsia="仿宋_GB2312" w:cs="Times New Roman"/>
          <w:color w:val="auto"/>
          <w:sz w:val="32"/>
          <w:szCs w:val="32"/>
          <w:highlight w:val="none"/>
          <w:lang w:val="en-US" w:eastAsia="zh-CN"/>
        </w:rPr>
        <w:t>个</w:t>
      </w:r>
      <w:r>
        <w:rPr>
          <w:rFonts w:hint="default" w:ascii="Times New Roman" w:hAnsi="Times New Roman" w:eastAsia="仿宋_GB2312" w:cs="Times New Roman"/>
          <w:color w:val="auto"/>
          <w:sz w:val="32"/>
          <w:szCs w:val="32"/>
          <w:highlight w:val="none"/>
          <w:lang w:val="en-US" w:eastAsia="zh-CN"/>
        </w:rPr>
        <w:t>sm</w:t>
      </w:r>
      <w:r>
        <w:rPr>
          <w:rFonts w:hint="default" w:ascii="Times New Roman" w:hAnsi="Times New Roman" w:eastAsia="仿宋_GB2312" w:cs="Times New Roman"/>
          <w:color w:val="auto"/>
          <w:sz w:val="32"/>
          <w:szCs w:val="32"/>
          <w:highlight w:val="none"/>
          <w:lang w:val="en-US" w:eastAsia="zh-CN"/>
        </w:rPr>
        <w:t>项目，涉及金额 4,8</w:t>
      </w:r>
      <w:r>
        <w:rPr>
          <w:rFonts w:hint="default" w:ascii="Times New Roman" w:hAnsi="Times New Roman" w:eastAsia="仿宋_GB2312" w:cs="Times New Roman"/>
          <w:color w:val="auto"/>
          <w:sz w:val="32"/>
          <w:szCs w:val="32"/>
          <w:highlight w:val="none"/>
          <w:lang w:val="en" w:eastAsia="zh-CN"/>
        </w:rPr>
        <w:t>0</w:t>
      </w:r>
      <w:r>
        <w:rPr>
          <w:rFonts w:hint="default" w:ascii="Times New Roman" w:hAnsi="Times New Roman" w:eastAsia="仿宋_GB2312" w:cs="Times New Roman"/>
          <w:color w:val="auto"/>
          <w:sz w:val="32"/>
          <w:szCs w:val="32"/>
          <w:highlight w:val="none"/>
          <w:lang w:val="en-US" w:eastAsia="zh-CN"/>
        </w:rPr>
        <w:t>0.00 万元</w:t>
      </w:r>
      <w:r>
        <w:rPr>
          <w:rFonts w:hint="default" w:ascii="Times New Roman" w:hAnsi="Times New Roman" w:eastAsia="仿宋_GB2312" w:cs="Times New Roman"/>
          <w:color w:val="auto"/>
          <w:sz w:val="32"/>
          <w:szCs w:val="32"/>
          <w:highlight w:val="none"/>
          <w:lang w:val="en" w:eastAsia="zh-CN"/>
        </w:rPr>
        <w:t>;非</w:t>
      </w:r>
      <w:r>
        <w:rPr>
          <w:rFonts w:hint="default" w:ascii="Times New Roman" w:hAnsi="Times New Roman" w:eastAsia="仿宋_GB2312" w:cs="Times New Roman"/>
          <w:color w:val="auto"/>
          <w:sz w:val="32"/>
          <w:szCs w:val="32"/>
          <w:highlight w:val="none"/>
          <w:lang w:val="en-US" w:eastAsia="zh-CN"/>
        </w:rPr>
        <w:t>财政拨款资金安排</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个</w:t>
      </w:r>
      <w:r>
        <w:rPr>
          <w:rFonts w:hint="default" w:ascii="Times New Roman" w:hAnsi="Times New Roman" w:eastAsia="仿宋_GB2312" w:cs="Times New Roman"/>
          <w:color w:val="auto"/>
          <w:sz w:val="32"/>
          <w:szCs w:val="32"/>
          <w:highlight w:val="none"/>
          <w:lang w:val="en-US" w:eastAsia="zh-CN"/>
        </w:rPr>
        <w:t>sm</w:t>
      </w:r>
      <w:r>
        <w:rPr>
          <w:rFonts w:hint="default" w:ascii="Times New Roman" w:hAnsi="Times New Roman" w:eastAsia="仿宋_GB2312" w:cs="Times New Roman"/>
          <w:color w:val="auto"/>
          <w:sz w:val="32"/>
          <w:szCs w:val="32"/>
          <w:highlight w:val="none"/>
          <w:lang w:val="en-US" w:eastAsia="zh-CN"/>
        </w:rPr>
        <w:t xml:space="preserve">项目，涉及金额 </w:t>
      </w:r>
      <w:r>
        <w:rPr>
          <w:rFonts w:hint="default" w:ascii="Times New Roman" w:hAnsi="Times New Roman" w:eastAsia="仿宋_GB2312" w:cs="Times New Roman"/>
          <w:color w:val="auto"/>
          <w:sz w:val="32"/>
          <w:szCs w:val="32"/>
          <w:highlight w:val="none"/>
          <w:lang w:val="en-US" w:eastAsia="zh-CN"/>
        </w:rPr>
        <w:t>73</w:t>
      </w:r>
      <w:r>
        <w:rPr>
          <w:rFonts w:hint="default" w:ascii="Times New Roman" w:hAnsi="Times New Roman" w:eastAsia="仿宋_GB2312" w:cs="Times New Roman"/>
          <w:color w:val="auto"/>
          <w:sz w:val="32"/>
          <w:szCs w:val="32"/>
          <w:highlight w:val="none"/>
          <w:lang w:val="en" w:eastAsia="zh-CN"/>
        </w:rPr>
        <w:t>.</w:t>
      </w:r>
      <w:r>
        <w:rPr>
          <w:rFonts w:hint="default" w:ascii="Times New Roman" w:hAnsi="Times New Roman" w:eastAsia="仿宋_GB2312" w:cs="Times New Roman"/>
          <w:color w:val="auto"/>
          <w:sz w:val="32"/>
          <w:szCs w:val="32"/>
          <w:highlight w:val="none"/>
          <w:lang w:val="en-US" w:eastAsia="zh-CN"/>
        </w:rPr>
        <w:t>99</w:t>
      </w:r>
      <w:r>
        <w:rPr>
          <w:rFonts w:hint="default"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en-US" w:eastAsia="zh-CN"/>
        </w:rPr>
        <w:t>。</w:t>
      </w:r>
    </w:p>
    <w:p w14:paraId="71A1F4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仿宋_GB2312" w:cs="Times New Roman"/>
          <w:color w:val="auto"/>
          <w:sz w:val="32"/>
          <w:szCs w:val="32"/>
          <w:highlight w:val="none"/>
          <w:lang w:val="en-US" w:eastAsia="zh-CN"/>
        </w:rPr>
      </w:pPr>
    </w:p>
    <w:p w14:paraId="60A03B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仿宋_GB2312" w:cs="Times New Roman"/>
          <w:color w:val="auto"/>
          <w:sz w:val="32"/>
          <w:szCs w:val="32"/>
          <w:highlight w:val="none"/>
          <w:lang w:val="en-US" w:eastAsia="zh-CN"/>
        </w:rPr>
      </w:pPr>
    </w:p>
    <w:p w14:paraId="1F3BED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14:paraId="749FFDE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14:paraId="6B19543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14:paraId="435BD4B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14:paraId="4DBD7D5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14:paraId="2A1EECA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14:paraId="649186C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14:paraId="4CF381C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C86005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277D5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14:paraId="3C4A96B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14:paraId="282CA8B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14:paraId="56C46DC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14:paraId="410BBF9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14:paraId="74AB53EF">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14:paraId="2B5FCF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14:paraId="6C6460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6062"/>
      <w:bookmarkStart w:id="33" w:name="_Toc2183"/>
      <w:r>
        <w:rPr>
          <w:rFonts w:hint="default" w:ascii="Times New Roman" w:hAnsi="Times New Roman" w:eastAsia="仿宋_GB2312" w:cs="Times New Roman"/>
          <w:bCs/>
          <w:color w:val="auto"/>
          <w:kern w:val="0"/>
          <w:sz w:val="32"/>
          <w:szCs w:val="32"/>
          <w:highlight w:val="none"/>
        </w:rPr>
        <w:t>一、《收入支出决算总表》</w:t>
      </w:r>
      <w:bookmarkEnd w:id="32"/>
      <w:bookmarkEnd w:id="33"/>
    </w:p>
    <w:p w14:paraId="68A9A3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24532"/>
      <w:bookmarkStart w:id="35" w:name="_Toc30364"/>
      <w:r>
        <w:rPr>
          <w:rFonts w:hint="default" w:ascii="Times New Roman" w:hAnsi="Times New Roman" w:eastAsia="仿宋_GB2312" w:cs="Times New Roman"/>
          <w:bCs/>
          <w:color w:val="auto"/>
          <w:kern w:val="0"/>
          <w:sz w:val="32"/>
          <w:szCs w:val="32"/>
          <w:highlight w:val="none"/>
        </w:rPr>
        <w:t>二、《收入决算表》</w:t>
      </w:r>
      <w:bookmarkEnd w:id="34"/>
      <w:bookmarkEnd w:id="35"/>
    </w:p>
    <w:p w14:paraId="74424D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21304"/>
      <w:bookmarkStart w:id="37" w:name="_Toc32434"/>
      <w:r>
        <w:rPr>
          <w:rFonts w:hint="default" w:ascii="Times New Roman" w:hAnsi="Times New Roman" w:eastAsia="仿宋_GB2312" w:cs="Times New Roman"/>
          <w:bCs/>
          <w:color w:val="auto"/>
          <w:kern w:val="0"/>
          <w:sz w:val="32"/>
          <w:szCs w:val="32"/>
          <w:highlight w:val="none"/>
        </w:rPr>
        <w:t>三、《支出决算表》</w:t>
      </w:r>
      <w:bookmarkEnd w:id="36"/>
      <w:bookmarkEnd w:id="37"/>
    </w:p>
    <w:p w14:paraId="6A0A42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28786"/>
      <w:bookmarkStart w:id="39" w:name="_Toc14238"/>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14:paraId="525C7C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4869"/>
      <w:bookmarkStart w:id="41" w:name="_Toc10347"/>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14:paraId="52B355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8884"/>
      <w:bookmarkStart w:id="43" w:name="_Toc5626"/>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14:paraId="599349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29106"/>
      <w:bookmarkStart w:id="45" w:name="_Toc32663"/>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14:paraId="19D5A9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5453"/>
      <w:bookmarkStart w:id="47" w:name="_Toc764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14:paraId="57AEAF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14:paraId="02C1277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color w:val="auto"/>
          <w:sz w:val="32"/>
          <w:szCs w:val="32"/>
          <w:highlight w:val="none"/>
        </w:rPr>
      </w:pPr>
    </w:p>
    <w:p w14:paraId="3073BB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CD04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1C2AF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71C2AF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 w:name="KSO_WPS_MARK_KEY" w:val="41ee2a61-2d54-4f93-83be-afdb9a40d732"/>
  </w:docVars>
  <w:rsids>
    <w:rsidRoot w:val="00000000"/>
    <w:rsid w:val="00213C59"/>
    <w:rsid w:val="003210CE"/>
    <w:rsid w:val="0063019D"/>
    <w:rsid w:val="00755DF0"/>
    <w:rsid w:val="00A85812"/>
    <w:rsid w:val="00B70D59"/>
    <w:rsid w:val="00CD3F6E"/>
    <w:rsid w:val="00F52A8D"/>
    <w:rsid w:val="012A18EE"/>
    <w:rsid w:val="01637049"/>
    <w:rsid w:val="019404F8"/>
    <w:rsid w:val="026305F6"/>
    <w:rsid w:val="02BD3108"/>
    <w:rsid w:val="02F73D26"/>
    <w:rsid w:val="034D4FEF"/>
    <w:rsid w:val="035D1785"/>
    <w:rsid w:val="039F47CE"/>
    <w:rsid w:val="03E05CE8"/>
    <w:rsid w:val="03F31C90"/>
    <w:rsid w:val="03F973EE"/>
    <w:rsid w:val="043E5B56"/>
    <w:rsid w:val="0475566A"/>
    <w:rsid w:val="04C04386"/>
    <w:rsid w:val="04F03C97"/>
    <w:rsid w:val="04FA68C4"/>
    <w:rsid w:val="051319AE"/>
    <w:rsid w:val="053F5AE6"/>
    <w:rsid w:val="057C0B0F"/>
    <w:rsid w:val="05AB7A0E"/>
    <w:rsid w:val="05EF4B48"/>
    <w:rsid w:val="05F76ECA"/>
    <w:rsid w:val="06385560"/>
    <w:rsid w:val="063F7898"/>
    <w:rsid w:val="06654211"/>
    <w:rsid w:val="06792773"/>
    <w:rsid w:val="06B828F4"/>
    <w:rsid w:val="07093795"/>
    <w:rsid w:val="0752459D"/>
    <w:rsid w:val="07713E14"/>
    <w:rsid w:val="07804730"/>
    <w:rsid w:val="079052BE"/>
    <w:rsid w:val="07C04DD5"/>
    <w:rsid w:val="07E37715"/>
    <w:rsid w:val="08145C21"/>
    <w:rsid w:val="08422688"/>
    <w:rsid w:val="085854ED"/>
    <w:rsid w:val="0865674A"/>
    <w:rsid w:val="0879188F"/>
    <w:rsid w:val="089808CE"/>
    <w:rsid w:val="08A0354D"/>
    <w:rsid w:val="08CD4C49"/>
    <w:rsid w:val="08E27D9B"/>
    <w:rsid w:val="09114954"/>
    <w:rsid w:val="093700E7"/>
    <w:rsid w:val="094932B5"/>
    <w:rsid w:val="095A5B83"/>
    <w:rsid w:val="096466E3"/>
    <w:rsid w:val="0968304D"/>
    <w:rsid w:val="09964291"/>
    <w:rsid w:val="09AF3D17"/>
    <w:rsid w:val="0A5B0143"/>
    <w:rsid w:val="0A7809B7"/>
    <w:rsid w:val="0A7B4867"/>
    <w:rsid w:val="0A840954"/>
    <w:rsid w:val="0A90500C"/>
    <w:rsid w:val="0A9928ED"/>
    <w:rsid w:val="0AB15C77"/>
    <w:rsid w:val="0AB27730"/>
    <w:rsid w:val="0AF142C5"/>
    <w:rsid w:val="0B61769D"/>
    <w:rsid w:val="0B8C3ECC"/>
    <w:rsid w:val="0B9C639D"/>
    <w:rsid w:val="0BB052B2"/>
    <w:rsid w:val="0BC67500"/>
    <w:rsid w:val="0BD33FFC"/>
    <w:rsid w:val="0BE97AC1"/>
    <w:rsid w:val="0C0A7D34"/>
    <w:rsid w:val="0C1C4780"/>
    <w:rsid w:val="0C3613A3"/>
    <w:rsid w:val="0C5E519C"/>
    <w:rsid w:val="0C7227A7"/>
    <w:rsid w:val="0CA52EE8"/>
    <w:rsid w:val="0CBD6988"/>
    <w:rsid w:val="0CD208AC"/>
    <w:rsid w:val="0CE0138D"/>
    <w:rsid w:val="0D0504FC"/>
    <w:rsid w:val="0D4903E8"/>
    <w:rsid w:val="0D7A4A46"/>
    <w:rsid w:val="0DCA557B"/>
    <w:rsid w:val="0E640559"/>
    <w:rsid w:val="0E6F32E8"/>
    <w:rsid w:val="0E7C659C"/>
    <w:rsid w:val="0F1113DA"/>
    <w:rsid w:val="0F710206"/>
    <w:rsid w:val="0F78534A"/>
    <w:rsid w:val="0F7B0A21"/>
    <w:rsid w:val="0F89358A"/>
    <w:rsid w:val="0F8C6D51"/>
    <w:rsid w:val="105B0B5E"/>
    <w:rsid w:val="109220A6"/>
    <w:rsid w:val="10C31A48"/>
    <w:rsid w:val="110E3E23"/>
    <w:rsid w:val="112E58D0"/>
    <w:rsid w:val="11731CAC"/>
    <w:rsid w:val="119500A0"/>
    <w:rsid w:val="11C0733B"/>
    <w:rsid w:val="11D50D17"/>
    <w:rsid w:val="120E0809"/>
    <w:rsid w:val="12573221"/>
    <w:rsid w:val="127F665A"/>
    <w:rsid w:val="12F7068C"/>
    <w:rsid w:val="13916645"/>
    <w:rsid w:val="13B72691"/>
    <w:rsid w:val="14076B7D"/>
    <w:rsid w:val="14207DC0"/>
    <w:rsid w:val="148F036A"/>
    <w:rsid w:val="14B932DA"/>
    <w:rsid w:val="14D42C8D"/>
    <w:rsid w:val="14ED38A7"/>
    <w:rsid w:val="14FE41AE"/>
    <w:rsid w:val="150A66AF"/>
    <w:rsid w:val="154A2F50"/>
    <w:rsid w:val="154C1139"/>
    <w:rsid w:val="15671D54"/>
    <w:rsid w:val="158C5B77"/>
    <w:rsid w:val="160D1149"/>
    <w:rsid w:val="160D6B52"/>
    <w:rsid w:val="162675BD"/>
    <w:rsid w:val="163563C0"/>
    <w:rsid w:val="164315EF"/>
    <w:rsid w:val="16557DFE"/>
    <w:rsid w:val="167268FB"/>
    <w:rsid w:val="16810BF3"/>
    <w:rsid w:val="169D353F"/>
    <w:rsid w:val="16C04945"/>
    <w:rsid w:val="16D50C50"/>
    <w:rsid w:val="16E120E1"/>
    <w:rsid w:val="17173305"/>
    <w:rsid w:val="17385A05"/>
    <w:rsid w:val="173B3901"/>
    <w:rsid w:val="176747F9"/>
    <w:rsid w:val="17954A6E"/>
    <w:rsid w:val="17A047E6"/>
    <w:rsid w:val="17B11C3F"/>
    <w:rsid w:val="17E83159"/>
    <w:rsid w:val="180059E9"/>
    <w:rsid w:val="18247D45"/>
    <w:rsid w:val="183B1F21"/>
    <w:rsid w:val="184510FD"/>
    <w:rsid w:val="18B3658A"/>
    <w:rsid w:val="18B66E85"/>
    <w:rsid w:val="190648B0"/>
    <w:rsid w:val="19071D6C"/>
    <w:rsid w:val="19190C89"/>
    <w:rsid w:val="19D223FB"/>
    <w:rsid w:val="19D26CD4"/>
    <w:rsid w:val="19D61256"/>
    <w:rsid w:val="19E60D19"/>
    <w:rsid w:val="19F16090"/>
    <w:rsid w:val="1A25500E"/>
    <w:rsid w:val="1A2740F1"/>
    <w:rsid w:val="1A396430"/>
    <w:rsid w:val="1A3E3450"/>
    <w:rsid w:val="1A7A6085"/>
    <w:rsid w:val="1AD807E5"/>
    <w:rsid w:val="1ADA6B24"/>
    <w:rsid w:val="1B39345B"/>
    <w:rsid w:val="1B9B5C5D"/>
    <w:rsid w:val="1BFB2A1F"/>
    <w:rsid w:val="1C015D4A"/>
    <w:rsid w:val="1C290ED5"/>
    <w:rsid w:val="1C317E4F"/>
    <w:rsid w:val="1C472464"/>
    <w:rsid w:val="1C5A1420"/>
    <w:rsid w:val="1CB75B57"/>
    <w:rsid w:val="1D22799A"/>
    <w:rsid w:val="1D5C1A72"/>
    <w:rsid w:val="1DAF458D"/>
    <w:rsid w:val="1DD160E6"/>
    <w:rsid w:val="1DFFEF9C"/>
    <w:rsid w:val="1E086ACE"/>
    <w:rsid w:val="1E62130A"/>
    <w:rsid w:val="1E97358B"/>
    <w:rsid w:val="1EAA4A5F"/>
    <w:rsid w:val="1EE869A7"/>
    <w:rsid w:val="1FA15E62"/>
    <w:rsid w:val="1FED69B6"/>
    <w:rsid w:val="20377A33"/>
    <w:rsid w:val="2064678E"/>
    <w:rsid w:val="209D0D1F"/>
    <w:rsid w:val="20C00E61"/>
    <w:rsid w:val="20DC1AB9"/>
    <w:rsid w:val="20DD6197"/>
    <w:rsid w:val="212631E0"/>
    <w:rsid w:val="21A53757"/>
    <w:rsid w:val="21F64CC8"/>
    <w:rsid w:val="221236C6"/>
    <w:rsid w:val="22AA3ABC"/>
    <w:rsid w:val="22D7662C"/>
    <w:rsid w:val="23326B7F"/>
    <w:rsid w:val="2380045B"/>
    <w:rsid w:val="23BC04D2"/>
    <w:rsid w:val="23EF1892"/>
    <w:rsid w:val="24632F75"/>
    <w:rsid w:val="247E72A7"/>
    <w:rsid w:val="2483647E"/>
    <w:rsid w:val="24A32D55"/>
    <w:rsid w:val="24CE594B"/>
    <w:rsid w:val="24F37160"/>
    <w:rsid w:val="25292727"/>
    <w:rsid w:val="252E5CA9"/>
    <w:rsid w:val="256F7692"/>
    <w:rsid w:val="257F1221"/>
    <w:rsid w:val="259E4ADE"/>
    <w:rsid w:val="25AC2053"/>
    <w:rsid w:val="25BA2154"/>
    <w:rsid w:val="25BF7042"/>
    <w:rsid w:val="25C8773F"/>
    <w:rsid w:val="25D32AED"/>
    <w:rsid w:val="25DB6044"/>
    <w:rsid w:val="25EE5B79"/>
    <w:rsid w:val="26205263"/>
    <w:rsid w:val="264A7253"/>
    <w:rsid w:val="26680055"/>
    <w:rsid w:val="26A91D71"/>
    <w:rsid w:val="26B82F63"/>
    <w:rsid w:val="26B87C0C"/>
    <w:rsid w:val="26F0170C"/>
    <w:rsid w:val="27201D62"/>
    <w:rsid w:val="27286E73"/>
    <w:rsid w:val="27676D4C"/>
    <w:rsid w:val="278923A5"/>
    <w:rsid w:val="27C52FE9"/>
    <w:rsid w:val="27CF2642"/>
    <w:rsid w:val="27E777F5"/>
    <w:rsid w:val="27EA1D4C"/>
    <w:rsid w:val="27EA2E41"/>
    <w:rsid w:val="282459E2"/>
    <w:rsid w:val="283A7FE5"/>
    <w:rsid w:val="285F51FF"/>
    <w:rsid w:val="28DF2665"/>
    <w:rsid w:val="29072599"/>
    <w:rsid w:val="291029F3"/>
    <w:rsid w:val="29CB58F0"/>
    <w:rsid w:val="2A004193"/>
    <w:rsid w:val="2A053397"/>
    <w:rsid w:val="2A145E96"/>
    <w:rsid w:val="2A1D07DB"/>
    <w:rsid w:val="2AE15CAC"/>
    <w:rsid w:val="2AF5378F"/>
    <w:rsid w:val="2AF93DB9"/>
    <w:rsid w:val="2B116280"/>
    <w:rsid w:val="2B333274"/>
    <w:rsid w:val="2B9744F3"/>
    <w:rsid w:val="2BB94DBF"/>
    <w:rsid w:val="2BDA2015"/>
    <w:rsid w:val="2C155C0E"/>
    <w:rsid w:val="2C5A7AC4"/>
    <w:rsid w:val="2C6F314E"/>
    <w:rsid w:val="2CC206BE"/>
    <w:rsid w:val="2D1136DF"/>
    <w:rsid w:val="2D20606D"/>
    <w:rsid w:val="2D642AC1"/>
    <w:rsid w:val="2D9066DA"/>
    <w:rsid w:val="2DB87198"/>
    <w:rsid w:val="2DB93C54"/>
    <w:rsid w:val="2DEF46D7"/>
    <w:rsid w:val="2E3D144C"/>
    <w:rsid w:val="2E682ADF"/>
    <w:rsid w:val="2E831F7C"/>
    <w:rsid w:val="2E891204"/>
    <w:rsid w:val="2F3F0A28"/>
    <w:rsid w:val="2F590507"/>
    <w:rsid w:val="2F8017C8"/>
    <w:rsid w:val="2FBF7029"/>
    <w:rsid w:val="2FD0187F"/>
    <w:rsid w:val="2FD27414"/>
    <w:rsid w:val="2FFE4BB0"/>
    <w:rsid w:val="300E7B60"/>
    <w:rsid w:val="300F6E18"/>
    <w:rsid w:val="304C7931"/>
    <w:rsid w:val="30804A82"/>
    <w:rsid w:val="30862F5F"/>
    <w:rsid w:val="30965E8B"/>
    <w:rsid w:val="30B71989"/>
    <w:rsid w:val="314029C9"/>
    <w:rsid w:val="314B0324"/>
    <w:rsid w:val="31C63837"/>
    <w:rsid w:val="31C82E39"/>
    <w:rsid w:val="31DE6AA2"/>
    <w:rsid w:val="32601BAD"/>
    <w:rsid w:val="329F6389"/>
    <w:rsid w:val="337A1FCA"/>
    <w:rsid w:val="3389023A"/>
    <w:rsid w:val="33CB74FA"/>
    <w:rsid w:val="340D7B12"/>
    <w:rsid w:val="343642F2"/>
    <w:rsid w:val="343F3010"/>
    <w:rsid w:val="34480FDA"/>
    <w:rsid w:val="345D0A00"/>
    <w:rsid w:val="34713BFD"/>
    <w:rsid w:val="34C13589"/>
    <w:rsid w:val="34EE16F2"/>
    <w:rsid w:val="353369E3"/>
    <w:rsid w:val="35E00D72"/>
    <w:rsid w:val="36664979"/>
    <w:rsid w:val="36965B9D"/>
    <w:rsid w:val="36A50CCC"/>
    <w:rsid w:val="36C549FD"/>
    <w:rsid w:val="37411FAD"/>
    <w:rsid w:val="37A755DD"/>
    <w:rsid w:val="37F94FA0"/>
    <w:rsid w:val="37F963E3"/>
    <w:rsid w:val="380D3381"/>
    <w:rsid w:val="3810197F"/>
    <w:rsid w:val="38115B1F"/>
    <w:rsid w:val="385E3AC3"/>
    <w:rsid w:val="386D67E7"/>
    <w:rsid w:val="387D6B9E"/>
    <w:rsid w:val="38B75FF0"/>
    <w:rsid w:val="38D26C2C"/>
    <w:rsid w:val="38D45016"/>
    <w:rsid w:val="38D90432"/>
    <w:rsid w:val="3914510A"/>
    <w:rsid w:val="3926770B"/>
    <w:rsid w:val="39747AC4"/>
    <w:rsid w:val="398D3668"/>
    <w:rsid w:val="39DA0497"/>
    <w:rsid w:val="3A4B6C9E"/>
    <w:rsid w:val="3A5711FB"/>
    <w:rsid w:val="3A893816"/>
    <w:rsid w:val="3A893B6D"/>
    <w:rsid w:val="3AD1763A"/>
    <w:rsid w:val="3B0F4170"/>
    <w:rsid w:val="3B3B2CE0"/>
    <w:rsid w:val="3B6716E3"/>
    <w:rsid w:val="3B6C6B2D"/>
    <w:rsid w:val="3C242659"/>
    <w:rsid w:val="3C4E0CC8"/>
    <w:rsid w:val="3C96719C"/>
    <w:rsid w:val="3CA72BE8"/>
    <w:rsid w:val="3CF37F8C"/>
    <w:rsid w:val="3D137554"/>
    <w:rsid w:val="3D5275AC"/>
    <w:rsid w:val="3D9B618F"/>
    <w:rsid w:val="3DCC2473"/>
    <w:rsid w:val="3DDDC921"/>
    <w:rsid w:val="3DEB0883"/>
    <w:rsid w:val="3E2527BF"/>
    <w:rsid w:val="3E731662"/>
    <w:rsid w:val="3E8168DD"/>
    <w:rsid w:val="3EA7725F"/>
    <w:rsid w:val="3EB03713"/>
    <w:rsid w:val="3EB516B7"/>
    <w:rsid w:val="3EBF1A11"/>
    <w:rsid w:val="3EC52607"/>
    <w:rsid w:val="3ECF7E9E"/>
    <w:rsid w:val="3EEC6CEF"/>
    <w:rsid w:val="3F183429"/>
    <w:rsid w:val="3F5A15E8"/>
    <w:rsid w:val="3FB77A1D"/>
    <w:rsid w:val="3FDC3674"/>
    <w:rsid w:val="3FED7F8A"/>
    <w:rsid w:val="3FFB966A"/>
    <w:rsid w:val="40094AEF"/>
    <w:rsid w:val="401A1C83"/>
    <w:rsid w:val="40273D0A"/>
    <w:rsid w:val="40301E48"/>
    <w:rsid w:val="405470BD"/>
    <w:rsid w:val="40794A29"/>
    <w:rsid w:val="40834692"/>
    <w:rsid w:val="40845630"/>
    <w:rsid w:val="40D55514"/>
    <w:rsid w:val="41431AD5"/>
    <w:rsid w:val="414B3C0F"/>
    <w:rsid w:val="414E5FB0"/>
    <w:rsid w:val="417C1CE7"/>
    <w:rsid w:val="41900018"/>
    <w:rsid w:val="41944406"/>
    <w:rsid w:val="419E72B9"/>
    <w:rsid w:val="41CA7043"/>
    <w:rsid w:val="41CE128F"/>
    <w:rsid w:val="41DA6F12"/>
    <w:rsid w:val="41E40104"/>
    <w:rsid w:val="42171FB1"/>
    <w:rsid w:val="42632B6D"/>
    <w:rsid w:val="428F56B7"/>
    <w:rsid w:val="434E6957"/>
    <w:rsid w:val="435B2648"/>
    <w:rsid w:val="43BA0E31"/>
    <w:rsid w:val="43C15147"/>
    <w:rsid w:val="43E14DD2"/>
    <w:rsid w:val="43F800E9"/>
    <w:rsid w:val="443A7E4B"/>
    <w:rsid w:val="44543751"/>
    <w:rsid w:val="44A0258B"/>
    <w:rsid w:val="44BA6EFA"/>
    <w:rsid w:val="4503040D"/>
    <w:rsid w:val="452F5B3A"/>
    <w:rsid w:val="454E7FD2"/>
    <w:rsid w:val="455D6667"/>
    <w:rsid w:val="45EA380F"/>
    <w:rsid w:val="46061BDC"/>
    <w:rsid w:val="461404F8"/>
    <w:rsid w:val="46413018"/>
    <w:rsid w:val="464B7E04"/>
    <w:rsid w:val="468041AA"/>
    <w:rsid w:val="468123C6"/>
    <w:rsid w:val="46901EEE"/>
    <w:rsid w:val="469C74D2"/>
    <w:rsid w:val="46E26BDC"/>
    <w:rsid w:val="46FA5CD4"/>
    <w:rsid w:val="47445515"/>
    <w:rsid w:val="474B4782"/>
    <w:rsid w:val="47532130"/>
    <w:rsid w:val="47777325"/>
    <w:rsid w:val="47D90D14"/>
    <w:rsid w:val="48166B3E"/>
    <w:rsid w:val="4832149E"/>
    <w:rsid w:val="48387FB0"/>
    <w:rsid w:val="483A6114"/>
    <w:rsid w:val="488727DB"/>
    <w:rsid w:val="48B82268"/>
    <w:rsid w:val="48C354B3"/>
    <w:rsid w:val="493D58B5"/>
    <w:rsid w:val="494A7A04"/>
    <w:rsid w:val="496E4757"/>
    <w:rsid w:val="49845D29"/>
    <w:rsid w:val="49AD0434"/>
    <w:rsid w:val="4A080BEF"/>
    <w:rsid w:val="4A0A26D2"/>
    <w:rsid w:val="4A2019A5"/>
    <w:rsid w:val="4A241A0B"/>
    <w:rsid w:val="4A4060F4"/>
    <w:rsid w:val="4A6E5F6C"/>
    <w:rsid w:val="4A7B2875"/>
    <w:rsid w:val="4A934476"/>
    <w:rsid w:val="4AAA220A"/>
    <w:rsid w:val="4AE12E67"/>
    <w:rsid w:val="4B4C0111"/>
    <w:rsid w:val="4B8553A9"/>
    <w:rsid w:val="4BC114B6"/>
    <w:rsid w:val="4BDB3730"/>
    <w:rsid w:val="4C200F7A"/>
    <w:rsid w:val="4CC423E0"/>
    <w:rsid w:val="4CEE3180"/>
    <w:rsid w:val="4D0F4AF6"/>
    <w:rsid w:val="4D1A4990"/>
    <w:rsid w:val="4D341814"/>
    <w:rsid w:val="4DF94F37"/>
    <w:rsid w:val="4E0A1DD5"/>
    <w:rsid w:val="4E1E20CB"/>
    <w:rsid w:val="4E3160E5"/>
    <w:rsid w:val="4E4D37AF"/>
    <w:rsid w:val="4E593C28"/>
    <w:rsid w:val="4E8C6496"/>
    <w:rsid w:val="4EE51174"/>
    <w:rsid w:val="4EEE7008"/>
    <w:rsid w:val="4EFD18DE"/>
    <w:rsid w:val="4F144236"/>
    <w:rsid w:val="4F1A4D2D"/>
    <w:rsid w:val="4F663C87"/>
    <w:rsid w:val="4F6C3639"/>
    <w:rsid w:val="4F7E29A8"/>
    <w:rsid w:val="4F9E1FFC"/>
    <w:rsid w:val="50447CC2"/>
    <w:rsid w:val="504A0B1F"/>
    <w:rsid w:val="507765E7"/>
    <w:rsid w:val="50874A7C"/>
    <w:rsid w:val="50895EE7"/>
    <w:rsid w:val="50921B9D"/>
    <w:rsid w:val="50D16158"/>
    <w:rsid w:val="50DB5F45"/>
    <w:rsid w:val="50F0006D"/>
    <w:rsid w:val="51025EB1"/>
    <w:rsid w:val="51141503"/>
    <w:rsid w:val="513C6455"/>
    <w:rsid w:val="51615E9D"/>
    <w:rsid w:val="51713037"/>
    <w:rsid w:val="518D0ED5"/>
    <w:rsid w:val="519B4F75"/>
    <w:rsid w:val="524D13AE"/>
    <w:rsid w:val="525C687F"/>
    <w:rsid w:val="5275569E"/>
    <w:rsid w:val="52C064D1"/>
    <w:rsid w:val="52C11D9C"/>
    <w:rsid w:val="52F647F7"/>
    <w:rsid w:val="52F92565"/>
    <w:rsid w:val="53915C12"/>
    <w:rsid w:val="53D03877"/>
    <w:rsid w:val="540E53FD"/>
    <w:rsid w:val="542F73CA"/>
    <w:rsid w:val="5430786D"/>
    <w:rsid w:val="54C811C0"/>
    <w:rsid w:val="54DF6509"/>
    <w:rsid w:val="54E9433E"/>
    <w:rsid w:val="5557771D"/>
    <w:rsid w:val="556A442D"/>
    <w:rsid w:val="55911EF9"/>
    <w:rsid w:val="55A224AA"/>
    <w:rsid w:val="55DA564E"/>
    <w:rsid w:val="55DD513F"/>
    <w:rsid w:val="5604127D"/>
    <w:rsid w:val="56166703"/>
    <w:rsid w:val="56510474"/>
    <w:rsid w:val="56861525"/>
    <w:rsid w:val="56A93273"/>
    <w:rsid w:val="56B40247"/>
    <w:rsid w:val="56BC2FA6"/>
    <w:rsid w:val="56BD550C"/>
    <w:rsid w:val="56E07045"/>
    <w:rsid w:val="56EB79F3"/>
    <w:rsid w:val="56FF28AF"/>
    <w:rsid w:val="57540E7D"/>
    <w:rsid w:val="577B4878"/>
    <w:rsid w:val="57926973"/>
    <w:rsid w:val="57EA4F51"/>
    <w:rsid w:val="580762A9"/>
    <w:rsid w:val="58175352"/>
    <w:rsid w:val="581F2200"/>
    <w:rsid w:val="583059FA"/>
    <w:rsid w:val="584A0929"/>
    <w:rsid w:val="587E3492"/>
    <w:rsid w:val="58CD2491"/>
    <w:rsid w:val="591B41B2"/>
    <w:rsid w:val="59254A26"/>
    <w:rsid w:val="59326325"/>
    <w:rsid w:val="595C505B"/>
    <w:rsid w:val="595E55C3"/>
    <w:rsid w:val="596D08E8"/>
    <w:rsid w:val="596E7E20"/>
    <w:rsid w:val="5A60780B"/>
    <w:rsid w:val="5A8B6F17"/>
    <w:rsid w:val="5AB34579"/>
    <w:rsid w:val="5AFC6609"/>
    <w:rsid w:val="5B113480"/>
    <w:rsid w:val="5B345801"/>
    <w:rsid w:val="5BD456CE"/>
    <w:rsid w:val="5C0D1F49"/>
    <w:rsid w:val="5CBB0CE2"/>
    <w:rsid w:val="5CC17177"/>
    <w:rsid w:val="5CF306BC"/>
    <w:rsid w:val="5D3F3D64"/>
    <w:rsid w:val="5D833043"/>
    <w:rsid w:val="5D8B15F1"/>
    <w:rsid w:val="5DD92690"/>
    <w:rsid w:val="5DDB1CFD"/>
    <w:rsid w:val="5E0A5841"/>
    <w:rsid w:val="5E7E6D93"/>
    <w:rsid w:val="5EA06D09"/>
    <w:rsid w:val="5ED44800"/>
    <w:rsid w:val="5F136663"/>
    <w:rsid w:val="5F350BDE"/>
    <w:rsid w:val="5F3B7D22"/>
    <w:rsid w:val="5F61632C"/>
    <w:rsid w:val="5FA17648"/>
    <w:rsid w:val="5FE705CB"/>
    <w:rsid w:val="60121E89"/>
    <w:rsid w:val="60211D27"/>
    <w:rsid w:val="603D5080"/>
    <w:rsid w:val="60472213"/>
    <w:rsid w:val="60CC2038"/>
    <w:rsid w:val="60D0261B"/>
    <w:rsid w:val="60E44F0D"/>
    <w:rsid w:val="61250321"/>
    <w:rsid w:val="618E3791"/>
    <w:rsid w:val="61947DCA"/>
    <w:rsid w:val="61A46A97"/>
    <w:rsid w:val="61D1382F"/>
    <w:rsid w:val="61E95CDA"/>
    <w:rsid w:val="61F114A2"/>
    <w:rsid w:val="62512BB4"/>
    <w:rsid w:val="625D7D1A"/>
    <w:rsid w:val="62DD7D21"/>
    <w:rsid w:val="63312626"/>
    <w:rsid w:val="63721222"/>
    <w:rsid w:val="637D586B"/>
    <w:rsid w:val="63A5560B"/>
    <w:rsid w:val="63E9091F"/>
    <w:rsid w:val="64322AF9"/>
    <w:rsid w:val="64744C54"/>
    <w:rsid w:val="64D6010D"/>
    <w:rsid w:val="64D82665"/>
    <w:rsid w:val="64E47C96"/>
    <w:rsid w:val="64EC2CA8"/>
    <w:rsid w:val="651E5741"/>
    <w:rsid w:val="65705DA7"/>
    <w:rsid w:val="658A4877"/>
    <w:rsid w:val="65921AA2"/>
    <w:rsid w:val="65A00902"/>
    <w:rsid w:val="65AC6EDD"/>
    <w:rsid w:val="65C94D98"/>
    <w:rsid w:val="65D97752"/>
    <w:rsid w:val="66085536"/>
    <w:rsid w:val="66100C18"/>
    <w:rsid w:val="66105BF7"/>
    <w:rsid w:val="66150023"/>
    <w:rsid w:val="6628010D"/>
    <w:rsid w:val="66873C95"/>
    <w:rsid w:val="669B4528"/>
    <w:rsid w:val="66CC12D7"/>
    <w:rsid w:val="67134CEF"/>
    <w:rsid w:val="671F1ABD"/>
    <w:rsid w:val="67521A59"/>
    <w:rsid w:val="67C304AB"/>
    <w:rsid w:val="67EA38CB"/>
    <w:rsid w:val="683F0658"/>
    <w:rsid w:val="689C6793"/>
    <w:rsid w:val="68DB0208"/>
    <w:rsid w:val="68FB170C"/>
    <w:rsid w:val="691B3D98"/>
    <w:rsid w:val="693748F0"/>
    <w:rsid w:val="69545DE0"/>
    <w:rsid w:val="69846A0E"/>
    <w:rsid w:val="698F31A1"/>
    <w:rsid w:val="69AD798C"/>
    <w:rsid w:val="69B145C8"/>
    <w:rsid w:val="69D005C0"/>
    <w:rsid w:val="69D80B96"/>
    <w:rsid w:val="6B68175F"/>
    <w:rsid w:val="6B88508E"/>
    <w:rsid w:val="6BEF01AC"/>
    <w:rsid w:val="6BFD799F"/>
    <w:rsid w:val="6C1E49F4"/>
    <w:rsid w:val="6C33740F"/>
    <w:rsid w:val="6C4A2E5A"/>
    <w:rsid w:val="6C7F7B8C"/>
    <w:rsid w:val="6C8138D0"/>
    <w:rsid w:val="6C83239A"/>
    <w:rsid w:val="6C9414A2"/>
    <w:rsid w:val="6CBE3974"/>
    <w:rsid w:val="6CEF0725"/>
    <w:rsid w:val="6D4B2604"/>
    <w:rsid w:val="6D65175A"/>
    <w:rsid w:val="6D7221B9"/>
    <w:rsid w:val="6D8030E4"/>
    <w:rsid w:val="6D8D696E"/>
    <w:rsid w:val="6DB427D1"/>
    <w:rsid w:val="6DB65B52"/>
    <w:rsid w:val="6E0E35C4"/>
    <w:rsid w:val="6E0F7A08"/>
    <w:rsid w:val="6E3947F5"/>
    <w:rsid w:val="6E5D0773"/>
    <w:rsid w:val="6E9C74ED"/>
    <w:rsid w:val="6EB66220"/>
    <w:rsid w:val="6EF72976"/>
    <w:rsid w:val="6F795A80"/>
    <w:rsid w:val="6F7C1D2E"/>
    <w:rsid w:val="6F8E0407"/>
    <w:rsid w:val="6FDD069F"/>
    <w:rsid w:val="70184645"/>
    <w:rsid w:val="702B4D16"/>
    <w:rsid w:val="702F4777"/>
    <w:rsid w:val="70AA6621"/>
    <w:rsid w:val="70BF3967"/>
    <w:rsid w:val="7111480F"/>
    <w:rsid w:val="71261F49"/>
    <w:rsid w:val="712E6956"/>
    <w:rsid w:val="71375938"/>
    <w:rsid w:val="71473612"/>
    <w:rsid w:val="71484B21"/>
    <w:rsid w:val="714D1327"/>
    <w:rsid w:val="71504F32"/>
    <w:rsid w:val="7152309F"/>
    <w:rsid w:val="718F7F65"/>
    <w:rsid w:val="72050D05"/>
    <w:rsid w:val="72402885"/>
    <w:rsid w:val="727B234E"/>
    <w:rsid w:val="72D068C7"/>
    <w:rsid w:val="72E42ED8"/>
    <w:rsid w:val="73410663"/>
    <w:rsid w:val="735F4CB9"/>
    <w:rsid w:val="73674C62"/>
    <w:rsid w:val="7379604F"/>
    <w:rsid w:val="737A3B75"/>
    <w:rsid w:val="73845865"/>
    <w:rsid w:val="739B6D9E"/>
    <w:rsid w:val="73BC1D76"/>
    <w:rsid w:val="73E373A4"/>
    <w:rsid w:val="73FB6630"/>
    <w:rsid w:val="742B732B"/>
    <w:rsid w:val="74332956"/>
    <w:rsid w:val="7476433D"/>
    <w:rsid w:val="748D790E"/>
    <w:rsid w:val="749820CC"/>
    <w:rsid w:val="74CE04EC"/>
    <w:rsid w:val="74E76DCD"/>
    <w:rsid w:val="74F51705"/>
    <w:rsid w:val="751D7C0A"/>
    <w:rsid w:val="753E629A"/>
    <w:rsid w:val="75722D56"/>
    <w:rsid w:val="75943E8D"/>
    <w:rsid w:val="75B10E83"/>
    <w:rsid w:val="75DB5477"/>
    <w:rsid w:val="75FC6AC3"/>
    <w:rsid w:val="7616619B"/>
    <w:rsid w:val="763359AD"/>
    <w:rsid w:val="764249F3"/>
    <w:rsid w:val="76660D7C"/>
    <w:rsid w:val="766C5968"/>
    <w:rsid w:val="769C356A"/>
    <w:rsid w:val="76BE0C8F"/>
    <w:rsid w:val="76CD53B2"/>
    <w:rsid w:val="76D53DC3"/>
    <w:rsid w:val="76DC68D8"/>
    <w:rsid w:val="770719AC"/>
    <w:rsid w:val="770F49B5"/>
    <w:rsid w:val="776526CC"/>
    <w:rsid w:val="77974891"/>
    <w:rsid w:val="77A262E1"/>
    <w:rsid w:val="77B13C33"/>
    <w:rsid w:val="77ED6F44"/>
    <w:rsid w:val="77F45548"/>
    <w:rsid w:val="784E7CA6"/>
    <w:rsid w:val="78574801"/>
    <w:rsid w:val="7873527F"/>
    <w:rsid w:val="78BD078C"/>
    <w:rsid w:val="78C57641"/>
    <w:rsid w:val="78E91BD6"/>
    <w:rsid w:val="790A6425"/>
    <w:rsid w:val="790E2D96"/>
    <w:rsid w:val="791B54B2"/>
    <w:rsid w:val="795A0A34"/>
    <w:rsid w:val="796970C9"/>
    <w:rsid w:val="797339C3"/>
    <w:rsid w:val="79D57D57"/>
    <w:rsid w:val="79F00650"/>
    <w:rsid w:val="7A3965FB"/>
    <w:rsid w:val="7A6242BF"/>
    <w:rsid w:val="7A6A603E"/>
    <w:rsid w:val="7A794513"/>
    <w:rsid w:val="7AE952D2"/>
    <w:rsid w:val="7B2A348E"/>
    <w:rsid w:val="7B3143A8"/>
    <w:rsid w:val="7B456B13"/>
    <w:rsid w:val="7BCECACE"/>
    <w:rsid w:val="7BD007D6"/>
    <w:rsid w:val="7C976D69"/>
    <w:rsid w:val="7CB11A32"/>
    <w:rsid w:val="7CD752DA"/>
    <w:rsid w:val="7CDE40AB"/>
    <w:rsid w:val="7CF057E2"/>
    <w:rsid w:val="7D1548B5"/>
    <w:rsid w:val="7DF84014"/>
    <w:rsid w:val="7E047FF9"/>
    <w:rsid w:val="7E207949"/>
    <w:rsid w:val="7E5C0A47"/>
    <w:rsid w:val="7E670C75"/>
    <w:rsid w:val="7E9A331D"/>
    <w:rsid w:val="7E9A5C29"/>
    <w:rsid w:val="7EAA7A04"/>
    <w:rsid w:val="7EE24272"/>
    <w:rsid w:val="7EEA6053"/>
    <w:rsid w:val="7F345B01"/>
    <w:rsid w:val="7F487C04"/>
    <w:rsid w:val="7F724F10"/>
    <w:rsid w:val="7FB45F21"/>
    <w:rsid w:val="7FDDA119"/>
    <w:rsid w:val="7FE57088"/>
    <w:rsid w:val="7FE8BEA5"/>
    <w:rsid w:val="7FF37FA3"/>
    <w:rsid w:val="87DF4964"/>
    <w:rsid w:val="9FFF3E80"/>
    <w:rsid w:val="BBFCBABD"/>
    <w:rsid w:val="DADAD6A4"/>
    <w:rsid w:val="DDBD49A8"/>
    <w:rsid w:val="EBBA6853"/>
    <w:rsid w:val="F7F22A18"/>
    <w:rsid w:val="FADD380E"/>
    <w:rsid w:val="FDFEA13C"/>
    <w:rsid w:val="FDFF6B7D"/>
    <w:rsid w:val="FFB7162E"/>
    <w:rsid w:val="FFCFC32D"/>
    <w:rsid w:val="FFFEC3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11891</Words>
  <Characters>13361</Characters>
  <Lines>0</Lines>
  <Paragraphs>0</Paragraphs>
  <TotalTime>9</TotalTime>
  <ScaleCrop>false</ScaleCrop>
  <LinksUpToDate>false</LinksUpToDate>
  <CharactersWithSpaces>13405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GXR</dc:creator>
  <cp:lastModifiedBy>岁月无痕</cp:lastModifiedBy>
  <dcterms:modified xsi:type="dcterms:W3CDTF">2024-08-30T11:59:18Z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D624B15633CD43C8BF9435464A96BF70</vt:lpwstr>
  </property>
</Properties>
</file>