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405B1">
      <w:pPr>
        <w:keepNext w:val="0"/>
        <w:keepLines w:val="0"/>
        <w:pageBreakBefore w:val="0"/>
        <w:widowControl w:val="0"/>
        <w:kinsoku/>
        <w:wordWrap/>
        <w:overflowPunct/>
        <w:topLinePunct w:val="0"/>
        <w:bidi w:val="0"/>
        <w:adjustRightInd/>
        <w:snapToGrid/>
        <w:spacing w:line="240" w:lineRule="auto"/>
        <w:textAlignment w:val="auto"/>
        <w:rPr>
          <w:rFonts w:ascii="Times New Roman" w:hAnsi="Times New Roman" w:eastAsia="黑体"/>
          <w:color w:val="auto"/>
          <w:sz w:val="32"/>
          <w:szCs w:val="32"/>
          <w:highlight w:val="none"/>
        </w:rPr>
      </w:pPr>
    </w:p>
    <w:p w14:paraId="1587555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Times New Roman" w:hAnsi="Times New Roman" w:eastAsia="方正小标宋_GBK"/>
          <w:color w:val="auto"/>
          <w:sz w:val="44"/>
          <w:szCs w:val="44"/>
          <w:highlight w:val="none"/>
        </w:rPr>
      </w:pPr>
    </w:p>
    <w:p w14:paraId="01AF3BA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Times New Roman" w:hAnsi="Times New Roman" w:eastAsia="方正小标宋_GBK"/>
          <w:color w:val="auto"/>
          <w:sz w:val="44"/>
          <w:szCs w:val="44"/>
          <w:highlight w:val="none"/>
          <w:lang w:val="en-US" w:eastAsia="zh-CN"/>
        </w:rPr>
      </w:pPr>
      <w:r>
        <w:rPr>
          <w:rFonts w:hint="eastAsia" w:ascii="Times New Roman" w:hAnsi="Times New Roman" w:eastAsia="方正小标宋_GBK"/>
          <w:color w:val="auto"/>
          <w:sz w:val="44"/>
          <w:szCs w:val="44"/>
          <w:highlight w:val="none"/>
          <w:lang w:val="en-US" w:eastAsia="zh-CN"/>
        </w:rPr>
        <w:t>新疆警察学院</w:t>
      </w:r>
    </w:p>
    <w:p w14:paraId="284C71C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Times New Roman" w:hAnsi="Times New Roman" w:eastAsia="方正小标宋_GBK"/>
          <w:color w:val="auto"/>
          <w:sz w:val="44"/>
          <w:szCs w:val="44"/>
          <w:highlight w:val="none"/>
        </w:rPr>
      </w:pPr>
      <w:r>
        <w:rPr>
          <w:rFonts w:hint="eastAsia" w:ascii="Times New Roman" w:hAnsi="Times New Roman" w:eastAsia="方正小标宋_GBK"/>
          <w:color w:val="auto"/>
          <w:sz w:val="44"/>
          <w:szCs w:val="44"/>
          <w:highlight w:val="none"/>
          <w:lang w:eastAsia="zh-CN"/>
        </w:rPr>
        <w:t xml:space="preserve"> 2023年度</w:t>
      </w:r>
      <w:r>
        <w:rPr>
          <w:rFonts w:hint="eastAsia" w:ascii="Times New Roman" w:hAnsi="Times New Roman" w:eastAsia="方正小标宋_GBK"/>
          <w:color w:val="auto"/>
          <w:sz w:val="44"/>
          <w:szCs w:val="44"/>
          <w:highlight w:val="none"/>
        </w:rPr>
        <w:t>部门决算公开说明</w:t>
      </w:r>
    </w:p>
    <w:p w14:paraId="7016F1BE">
      <w:pPr>
        <w:rPr>
          <w:rFonts w:hint="eastAsia" w:ascii="Times New Roman" w:hAnsi="Times New Roman" w:eastAsia="方正小标宋_GBK"/>
          <w:color w:val="auto"/>
          <w:sz w:val="44"/>
          <w:szCs w:val="44"/>
          <w:highlight w:val="none"/>
        </w:rPr>
      </w:pPr>
      <w:r>
        <w:rPr>
          <w:rFonts w:hint="eastAsia" w:ascii="Times New Roman" w:hAnsi="Times New Roman" w:eastAsia="方正小标宋_GBK"/>
          <w:color w:val="auto"/>
          <w:sz w:val="44"/>
          <w:szCs w:val="44"/>
          <w:highlight w:val="none"/>
        </w:rPr>
        <w:br w:type="page"/>
      </w:r>
    </w:p>
    <w:p w14:paraId="3C51BB6E">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Times New Roman" w:hAnsi="Times New Roman" w:eastAsia="仿宋_GB2312" w:cs="仿宋_GB2312"/>
          <w:b w:val="0"/>
          <w:bCs/>
          <w:color w:val="auto"/>
          <w:kern w:val="0"/>
          <w:sz w:val="32"/>
          <w:szCs w:val="32"/>
          <w:highlight w:val="none"/>
        </w:rPr>
      </w:pPr>
      <w:r>
        <w:rPr>
          <w:rFonts w:hint="eastAsia" w:ascii="Times New Roman" w:hAnsi="Times New Roman" w:eastAsia="仿宋_GB2312" w:cs="仿宋_GB2312"/>
          <w:b/>
          <w:bCs w:val="0"/>
          <w:color w:val="auto"/>
          <w:kern w:val="0"/>
          <w:sz w:val="36"/>
          <w:szCs w:val="36"/>
          <w:highlight w:val="none"/>
        </w:rPr>
        <w:t>目  录</w:t>
      </w:r>
    </w:p>
    <w:p w14:paraId="1C25F065">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TOC \o "1-3" \n  \h \u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
          <w:bCs/>
          <w:color w:val="auto"/>
          <w:sz w:val="32"/>
          <w:szCs w:val="32"/>
          <w:highlight w:val="none"/>
        </w:rPr>
        <w:fldChar w:fldCharType="begin"/>
      </w:r>
      <w:r>
        <w:rPr>
          <w:rFonts w:hint="eastAsia" w:ascii="Times New Roman" w:hAnsi="Times New Roman" w:eastAsia="仿宋_GB2312" w:cs="仿宋_GB2312"/>
          <w:b/>
          <w:bCs/>
          <w:color w:val="auto"/>
          <w:sz w:val="32"/>
          <w:szCs w:val="32"/>
          <w:highlight w:val="none"/>
        </w:rPr>
        <w:instrText xml:space="preserve"> HYPERLINK \l _Toc32314 </w:instrText>
      </w:r>
      <w:r>
        <w:rPr>
          <w:rFonts w:hint="eastAsia" w:ascii="Times New Roman" w:hAnsi="Times New Roman" w:eastAsia="仿宋_GB2312" w:cs="仿宋_GB2312"/>
          <w:b/>
          <w:bCs/>
          <w:color w:val="auto"/>
          <w:sz w:val="32"/>
          <w:szCs w:val="32"/>
          <w:highlight w:val="none"/>
        </w:rPr>
        <w:fldChar w:fldCharType="separate"/>
      </w:r>
      <w:r>
        <w:rPr>
          <w:rFonts w:hint="eastAsia" w:ascii="Times New Roman" w:hAnsi="Times New Roman" w:eastAsia="仿宋_GB2312" w:cs="仿宋_GB2312"/>
          <w:b/>
          <w:bCs/>
          <w:color w:val="auto"/>
          <w:sz w:val="32"/>
          <w:szCs w:val="32"/>
          <w:highlight w:val="none"/>
        </w:rPr>
        <w:t xml:space="preserve">第一部分 </w:t>
      </w:r>
      <w:r>
        <w:rPr>
          <w:rFonts w:hint="eastAsia" w:ascii="Times New Roman" w:hAnsi="Times New Roman" w:eastAsia="仿宋_GB2312" w:cs="仿宋_GB2312"/>
          <w:b/>
          <w:bCs/>
          <w:color w:val="auto"/>
          <w:sz w:val="32"/>
          <w:szCs w:val="32"/>
          <w:highlight w:val="none"/>
          <w:lang w:eastAsia="zh-CN"/>
        </w:rPr>
        <w:t>部门</w:t>
      </w:r>
      <w:r>
        <w:rPr>
          <w:rFonts w:hint="eastAsia" w:ascii="Times New Roman" w:hAnsi="Times New Roman" w:eastAsia="仿宋_GB2312" w:cs="仿宋_GB2312"/>
          <w:b/>
          <w:bCs/>
          <w:color w:val="auto"/>
          <w:sz w:val="32"/>
          <w:szCs w:val="32"/>
          <w:highlight w:val="none"/>
        </w:rPr>
        <w:t>概况</w:t>
      </w:r>
      <w:r>
        <w:rPr>
          <w:rFonts w:hint="eastAsia" w:ascii="Times New Roman" w:hAnsi="Times New Roman" w:eastAsia="仿宋_GB2312" w:cs="仿宋_GB2312"/>
          <w:b/>
          <w:bCs/>
          <w:color w:val="auto"/>
          <w:sz w:val="32"/>
          <w:szCs w:val="32"/>
          <w:highlight w:val="none"/>
        </w:rPr>
        <w:fldChar w:fldCharType="end"/>
      </w:r>
    </w:p>
    <w:p w14:paraId="5D40C8B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_Toc30567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一、主要职能</w:t>
      </w:r>
      <w:r>
        <w:rPr>
          <w:rFonts w:hint="eastAsia" w:ascii="Times New Roman" w:hAnsi="Times New Roman" w:eastAsia="仿宋_GB2312" w:cs="仿宋_GB2312"/>
          <w:color w:val="auto"/>
          <w:sz w:val="32"/>
          <w:szCs w:val="32"/>
          <w:highlight w:val="none"/>
        </w:rPr>
        <w:fldChar w:fldCharType="end"/>
      </w:r>
    </w:p>
    <w:p w14:paraId="1643DCA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_Toc2151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二、机构设置</w:t>
      </w:r>
      <w:r>
        <w:rPr>
          <w:rFonts w:hint="eastAsia" w:ascii="Times New Roman" w:hAnsi="Times New Roman" w:eastAsia="仿宋_GB2312" w:cs="仿宋_GB2312"/>
          <w:bCs/>
          <w:color w:val="auto"/>
          <w:kern w:val="0"/>
          <w:sz w:val="32"/>
          <w:szCs w:val="32"/>
          <w:highlight w:val="none"/>
          <w:lang w:eastAsia="zh-CN"/>
        </w:rPr>
        <w:t>及人员</w:t>
      </w:r>
      <w:r>
        <w:rPr>
          <w:rFonts w:hint="eastAsia" w:ascii="Times New Roman" w:hAnsi="Times New Roman" w:eastAsia="仿宋_GB2312" w:cs="仿宋_GB2312"/>
          <w:bCs/>
          <w:color w:val="auto"/>
          <w:kern w:val="0"/>
          <w:sz w:val="32"/>
          <w:szCs w:val="32"/>
          <w:highlight w:val="none"/>
        </w:rPr>
        <w:t>情况</w:t>
      </w:r>
      <w:r>
        <w:rPr>
          <w:rFonts w:hint="eastAsia" w:ascii="Times New Roman" w:hAnsi="Times New Roman" w:eastAsia="仿宋_GB2312" w:cs="仿宋_GB2312"/>
          <w:color w:val="auto"/>
          <w:sz w:val="32"/>
          <w:szCs w:val="32"/>
          <w:highlight w:val="none"/>
        </w:rPr>
        <w:fldChar w:fldCharType="end"/>
      </w:r>
    </w:p>
    <w:p w14:paraId="3B418F93">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b/>
          <w:bCs/>
          <w:color w:val="auto"/>
          <w:sz w:val="32"/>
          <w:szCs w:val="32"/>
          <w:highlight w:val="none"/>
        </w:rPr>
        <w:fldChar w:fldCharType="begin"/>
      </w:r>
      <w:r>
        <w:rPr>
          <w:rFonts w:hint="eastAsia" w:ascii="Times New Roman" w:hAnsi="Times New Roman" w:eastAsia="仿宋_GB2312" w:cs="仿宋_GB2312"/>
          <w:b/>
          <w:bCs/>
          <w:color w:val="auto"/>
          <w:sz w:val="32"/>
          <w:szCs w:val="32"/>
          <w:highlight w:val="none"/>
        </w:rPr>
        <w:instrText xml:space="preserve"> HYPERLINK \l _Toc29374 </w:instrText>
      </w:r>
      <w:r>
        <w:rPr>
          <w:rFonts w:hint="eastAsia" w:ascii="Times New Roman" w:hAnsi="Times New Roman" w:eastAsia="仿宋_GB2312" w:cs="仿宋_GB2312"/>
          <w:b/>
          <w:bCs/>
          <w:color w:val="auto"/>
          <w:sz w:val="32"/>
          <w:szCs w:val="32"/>
          <w:highlight w:val="none"/>
        </w:rPr>
        <w:fldChar w:fldCharType="separate"/>
      </w:r>
      <w:r>
        <w:rPr>
          <w:rFonts w:hint="eastAsia" w:ascii="Times New Roman" w:hAnsi="Times New Roman" w:eastAsia="仿宋_GB2312" w:cs="仿宋_GB2312"/>
          <w:b/>
          <w:bCs/>
          <w:color w:val="auto"/>
          <w:sz w:val="32"/>
          <w:szCs w:val="32"/>
          <w:highlight w:val="none"/>
        </w:rPr>
        <w:t>第二部分 部门决算情况说明</w:t>
      </w:r>
      <w:r>
        <w:rPr>
          <w:rFonts w:hint="eastAsia" w:ascii="Times New Roman" w:hAnsi="Times New Roman" w:eastAsia="仿宋_GB2312" w:cs="仿宋_GB2312"/>
          <w:b/>
          <w:bCs/>
          <w:color w:val="auto"/>
          <w:sz w:val="32"/>
          <w:szCs w:val="32"/>
          <w:highlight w:val="none"/>
        </w:rPr>
        <w:fldChar w:fldCharType="end"/>
      </w:r>
    </w:p>
    <w:p w14:paraId="14A907E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_Toc25314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一、收入支出决算总体情况说明</w:t>
      </w:r>
      <w:r>
        <w:rPr>
          <w:rFonts w:hint="eastAsia" w:ascii="Times New Roman" w:hAnsi="Times New Roman" w:eastAsia="仿宋_GB2312" w:cs="仿宋_GB2312"/>
          <w:color w:val="auto"/>
          <w:sz w:val="32"/>
          <w:szCs w:val="32"/>
          <w:highlight w:val="none"/>
        </w:rPr>
        <w:fldChar w:fldCharType="end"/>
      </w:r>
    </w:p>
    <w:p w14:paraId="28F3C0C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_Toc12142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二、</w:t>
      </w:r>
      <w:r>
        <w:rPr>
          <w:rFonts w:hint="eastAsia" w:ascii="Times New Roman" w:hAnsi="Times New Roman" w:eastAsia="仿宋_GB2312" w:cs="仿宋_GB2312"/>
          <w:bCs/>
          <w:color w:val="auto"/>
          <w:kern w:val="0"/>
          <w:sz w:val="32"/>
          <w:szCs w:val="32"/>
          <w:highlight w:val="none"/>
        </w:rPr>
        <w:t>收入</w:t>
      </w:r>
      <w:r>
        <w:rPr>
          <w:rFonts w:hint="eastAsia" w:ascii="Times New Roman" w:hAnsi="Times New Roman" w:eastAsia="仿宋_GB2312" w:cs="仿宋_GB2312"/>
          <w:bCs/>
          <w:color w:val="auto"/>
          <w:kern w:val="0"/>
          <w:sz w:val="32"/>
          <w:szCs w:val="32"/>
          <w:highlight w:val="none"/>
          <w:lang w:eastAsia="zh-CN"/>
        </w:rPr>
        <w:t>决算</w:t>
      </w:r>
      <w:r>
        <w:rPr>
          <w:rFonts w:hint="eastAsia" w:ascii="Times New Roman" w:hAnsi="Times New Roman" w:eastAsia="仿宋_GB2312" w:cs="仿宋_GB2312"/>
          <w:bCs/>
          <w:color w:val="auto"/>
          <w:kern w:val="0"/>
          <w:sz w:val="32"/>
          <w:szCs w:val="32"/>
          <w:highlight w:val="none"/>
        </w:rPr>
        <w:t>情况说明</w:t>
      </w:r>
      <w:r>
        <w:rPr>
          <w:rFonts w:hint="eastAsia" w:ascii="Times New Roman" w:hAnsi="Times New Roman" w:eastAsia="仿宋_GB2312" w:cs="仿宋_GB2312"/>
          <w:color w:val="auto"/>
          <w:sz w:val="32"/>
          <w:szCs w:val="32"/>
          <w:highlight w:val="none"/>
        </w:rPr>
        <w:fldChar w:fldCharType="end"/>
      </w:r>
    </w:p>
    <w:p w14:paraId="5246634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_Toc13201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三、支出决算情况说明</w:t>
      </w:r>
      <w:r>
        <w:rPr>
          <w:rFonts w:hint="eastAsia" w:ascii="Times New Roman" w:hAnsi="Times New Roman" w:eastAsia="仿宋_GB2312" w:cs="仿宋_GB2312"/>
          <w:color w:val="auto"/>
          <w:sz w:val="32"/>
          <w:szCs w:val="32"/>
          <w:highlight w:val="none"/>
        </w:rPr>
        <w:fldChar w:fldCharType="end"/>
      </w:r>
    </w:p>
    <w:p w14:paraId="4046817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_Toc26564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四、财政拨款收入支出决算总体情况说明</w:t>
      </w:r>
      <w:r>
        <w:rPr>
          <w:rFonts w:hint="eastAsia" w:ascii="Times New Roman" w:hAnsi="Times New Roman" w:eastAsia="仿宋_GB2312" w:cs="仿宋_GB2312"/>
          <w:color w:val="auto"/>
          <w:sz w:val="32"/>
          <w:szCs w:val="32"/>
          <w:highlight w:val="none"/>
        </w:rPr>
        <w:fldChar w:fldCharType="end"/>
      </w:r>
    </w:p>
    <w:p w14:paraId="7CC6EC0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_Toc20360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五、一般公共预算财政拨款支出决算情况说明</w:t>
      </w:r>
      <w:r>
        <w:rPr>
          <w:rFonts w:hint="eastAsia" w:ascii="Times New Roman" w:hAnsi="Times New Roman" w:eastAsia="仿宋_GB2312" w:cs="仿宋_GB2312"/>
          <w:color w:val="auto"/>
          <w:sz w:val="32"/>
          <w:szCs w:val="32"/>
          <w:highlight w:val="none"/>
        </w:rPr>
        <w:fldChar w:fldCharType="end"/>
      </w:r>
    </w:p>
    <w:p w14:paraId="5DCE456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_Toc30870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六、一般公共预算财政拨款基本支出决算情况说明</w:t>
      </w:r>
      <w:r>
        <w:rPr>
          <w:rFonts w:hint="eastAsia" w:ascii="Times New Roman" w:hAnsi="Times New Roman" w:eastAsia="仿宋_GB2312" w:cs="仿宋_GB2312"/>
          <w:color w:val="auto"/>
          <w:sz w:val="32"/>
          <w:szCs w:val="32"/>
          <w:highlight w:val="none"/>
        </w:rPr>
        <w:fldChar w:fldCharType="end"/>
      </w:r>
    </w:p>
    <w:p w14:paraId="65C51B1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_Toc21518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七</w:t>
      </w:r>
      <w:r>
        <w:rPr>
          <w:rFonts w:hint="eastAsia" w:ascii="Times New Roman" w:hAnsi="Times New Roman" w:eastAsia="仿宋_GB2312" w:cs="仿宋_GB2312"/>
          <w:bCs/>
          <w:color w:val="auto"/>
          <w:kern w:val="0"/>
          <w:sz w:val="32"/>
          <w:szCs w:val="32"/>
          <w:highlight w:val="none"/>
        </w:rPr>
        <w:t>、</w:t>
      </w:r>
      <w:r>
        <w:rPr>
          <w:rFonts w:hint="eastAsia" w:ascii="Times New Roman" w:hAnsi="Times New Roman" w:eastAsia="仿宋_GB2312" w:cs="仿宋_GB2312"/>
          <w:bCs/>
          <w:color w:val="auto"/>
          <w:kern w:val="0"/>
          <w:sz w:val="32"/>
          <w:szCs w:val="32"/>
          <w:highlight w:val="none"/>
          <w:lang w:eastAsia="zh-CN"/>
        </w:rPr>
        <w:t>财政拨款</w:t>
      </w:r>
      <w:r>
        <w:rPr>
          <w:rFonts w:hint="eastAsia" w:ascii="Times New Roman" w:hAnsi="Times New Roman" w:eastAsia="仿宋_GB2312" w:cs="仿宋_GB2312"/>
          <w:bCs/>
          <w:color w:val="auto"/>
          <w:kern w:val="0"/>
          <w:sz w:val="32"/>
          <w:szCs w:val="32"/>
          <w:highlight w:val="none"/>
        </w:rPr>
        <w:t>“三公”经费支出</w:t>
      </w:r>
      <w:r>
        <w:rPr>
          <w:rFonts w:hint="eastAsia" w:ascii="Times New Roman" w:hAnsi="Times New Roman" w:eastAsia="仿宋_GB2312" w:cs="仿宋_GB2312"/>
          <w:bCs/>
          <w:color w:val="auto"/>
          <w:kern w:val="0"/>
          <w:sz w:val="32"/>
          <w:szCs w:val="32"/>
          <w:highlight w:val="none"/>
          <w:lang w:eastAsia="zh-CN"/>
        </w:rPr>
        <w:t>决算</w:t>
      </w:r>
      <w:r>
        <w:rPr>
          <w:rFonts w:hint="eastAsia" w:ascii="Times New Roman" w:hAnsi="Times New Roman" w:eastAsia="仿宋_GB2312" w:cs="仿宋_GB2312"/>
          <w:bCs/>
          <w:color w:val="auto"/>
          <w:kern w:val="0"/>
          <w:sz w:val="32"/>
          <w:szCs w:val="32"/>
          <w:highlight w:val="none"/>
        </w:rPr>
        <w:t>情况</w:t>
      </w:r>
      <w:r>
        <w:rPr>
          <w:rFonts w:hint="eastAsia" w:ascii="Times New Roman" w:hAnsi="Times New Roman" w:eastAsia="仿宋_GB2312" w:cs="仿宋_GB2312"/>
          <w:bCs/>
          <w:color w:val="auto"/>
          <w:kern w:val="0"/>
          <w:sz w:val="32"/>
          <w:szCs w:val="32"/>
          <w:highlight w:val="none"/>
          <w:lang w:eastAsia="zh-CN"/>
        </w:rPr>
        <w:t>说明</w:t>
      </w:r>
      <w:r>
        <w:rPr>
          <w:rFonts w:hint="eastAsia" w:ascii="Times New Roman" w:hAnsi="Times New Roman" w:eastAsia="仿宋_GB2312" w:cs="仿宋_GB2312"/>
          <w:color w:val="auto"/>
          <w:sz w:val="32"/>
          <w:szCs w:val="32"/>
          <w:highlight w:val="none"/>
        </w:rPr>
        <w:fldChar w:fldCharType="end"/>
      </w:r>
    </w:p>
    <w:p w14:paraId="6D12E92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_Toc5810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val="en-US" w:eastAsia="zh-CN"/>
        </w:rPr>
        <w:t>八、</w:t>
      </w:r>
      <w:r>
        <w:rPr>
          <w:rFonts w:hint="eastAsia" w:ascii="Times New Roman" w:hAnsi="Times New Roman" w:eastAsia="仿宋_GB2312" w:cs="仿宋_GB2312"/>
          <w:bCs/>
          <w:color w:val="auto"/>
          <w:kern w:val="0"/>
          <w:sz w:val="32"/>
          <w:szCs w:val="32"/>
          <w:highlight w:val="none"/>
          <w:lang w:eastAsia="zh-CN"/>
        </w:rPr>
        <w:t>政府性基金预算财政拨款收入支出决算情况说明</w:t>
      </w:r>
      <w:r>
        <w:rPr>
          <w:rFonts w:hint="eastAsia" w:ascii="Times New Roman" w:hAnsi="Times New Roman" w:eastAsia="仿宋_GB2312" w:cs="仿宋_GB2312"/>
          <w:color w:val="auto"/>
          <w:sz w:val="32"/>
          <w:szCs w:val="32"/>
          <w:highlight w:val="none"/>
        </w:rPr>
        <w:fldChar w:fldCharType="end"/>
      </w:r>
    </w:p>
    <w:p w14:paraId="12940B7E">
      <w:pPr>
        <w:rPr>
          <w:rFonts w:hint="eastAsia" w:ascii="Times New Roman" w:hAnsi="Times New Roman"/>
          <w:color w:val="auto"/>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_Toc5810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val="en-US" w:eastAsia="zh-CN"/>
        </w:rPr>
        <w:t>九</w:t>
      </w:r>
      <w:r>
        <w:rPr>
          <w:rFonts w:hint="eastAsia" w:ascii="Times New Roman" w:hAnsi="Times New Roman" w:eastAsia="仿宋_GB2312" w:cs="仿宋_GB2312"/>
          <w:bCs/>
          <w:color w:val="auto"/>
          <w:kern w:val="0"/>
          <w:sz w:val="32"/>
          <w:szCs w:val="32"/>
          <w:highlight w:val="none"/>
          <w:lang w:eastAsia="zh-CN"/>
        </w:rPr>
        <w:t>、国有资本经营预算财政拨款收入支出决算情况说明</w:t>
      </w:r>
      <w:r>
        <w:rPr>
          <w:rFonts w:hint="eastAsia" w:ascii="Times New Roman" w:hAnsi="Times New Roman" w:eastAsia="仿宋_GB2312" w:cs="仿宋_GB2312"/>
          <w:color w:val="auto"/>
          <w:sz w:val="32"/>
          <w:szCs w:val="32"/>
          <w:highlight w:val="none"/>
        </w:rPr>
        <w:fldChar w:fldCharType="end"/>
      </w:r>
    </w:p>
    <w:p w14:paraId="2A5FBC8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_Toc1235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lang w:eastAsia="zh-CN"/>
        </w:rPr>
        <w:t>十</w:t>
      </w:r>
      <w:r>
        <w:rPr>
          <w:rFonts w:hint="eastAsia" w:ascii="Times New Roman" w:hAnsi="Times New Roman" w:eastAsia="仿宋_GB2312" w:cs="仿宋_GB2312"/>
          <w:bCs/>
          <w:color w:val="auto"/>
          <w:kern w:val="0"/>
          <w:sz w:val="32"/>
          <w:szCs w:val="32"/>
          <w:highlight w:val="none"/>
        </w:rPr>
        <w:t>、其他重要事项的情况</w:t>
      </w:r>
      <w:r>
        <w:rPr>
          <w:rFonts w:hint="eastAsia" w:ascii="Times New Roman" w:hAnsi="Times New Roman" w:eastAsia="仿宋_GB2312" w:cs="仿宋_GB2312"/>
          <w:bCs/>
          <w:color w:val="auto"/>
          <w:kern w:val="0"/>
          <w:sz w:val="32"/>
          <w:szCs w:val="32"/>
          <w:highlight w:val="none"/>
          <w:lang w:eastAsia="zh-CN"/>
        </w:rPr>
        <w:t>说明</w:t>
      </w:r>
      <w:r>
        <w:rPr>
          <w:rFonts w:hint="eastAsia" w:ascii="Times New Roman" w:hAnsi="Times New Roman" w:eastAsia="仿宋_GB2312" w:cs="仿宋_GB2312"/>
          <w:color w:val="auto"/>
          <w:sz w:val="32"/>
          <w:szCs w:val="32"/>
          <w:highlight w:val="none"/>
        </w:rPr>
        <w:fldChar w:fldCharType="end"/>
      </w:r>
    </w:p>
    <w:p w14:paraId="58ED88C0">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_Toc14519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lang w:eastAsia="zh-CN"/>
        </w:rPr>
        <w:t>（一）</w:t>
      </w:r>
      <w:r>
        <w:rPr>
          <w:rFonts w:hint="eastAsia" w:ascii="Times New Roman" w:hAnsi="Times New Roman" w:eastAsia="仿宋_GB2312" w:cs="仿宋_GB2312"/>
          <w:color w:val="auto"/>
          <w:sz w:val="32"/>
          <w:szCs w:val="32"/>
          <w:highlight w:val="none"/>
        </w:rPr>
        <w:t>机关运行经费支出情况</w:t>
      </w:r>
      <w:r>
        <w:rPr>
          <w:rFonts w:hint="eastAsia" w:ascii="Times New Roman" w:hAnsi="Times New Roman" w:eastAsia="仿宋_GB2312" w:cs="仿宋_GB2312"/>
          <w:color w:val="auto"/>
          <w:sz w:val="32"/>
          <w:szCs w:val="32"/>
          <w:highlight w:val="none"/>
        </w:rPr>
        <w:fldChar w:fldCharType="end"/>
      </w:r>
    </w:p>
    <w:p w14:paraId="6413ACC9">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_Toc227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lang w:eastAsia="zh-CN"/>
        </w:rPr>
        <w:t>（二）政府采购情况</w:t>
      </w:r>
      <w:r>
        <w:rPr>
          <w:rFonts w:hint="eastAsia" w:ascii="Times New Roman" w:hAnsi="Times New Roman" w:eastAsia="仿宋_GB2312" w:cs="仿宋_GB2312"/>
          <w:color w:val="auto"/>
          <w:sz w:val="32"/>
          <w:szCs w:val="32"/>
          <w:highlight w:val="none"/>
        </w:rPr>
        <w:fldChar w:fldCharType="end"/>
      </w:r>
    </w:p>
    <w:p w14:paraId="5913D012">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_Toc8391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lang w:eastAsia="zh-CN"/>
        </w:rPr>
        <w:t>（三）国有资产占用情况说明</w:t>
      </w:r>
      <w:r>
        <w:rPr>
          <w:rFonts w:hint="eastAsia" w:ascii="Times New Roman" w:hAnsi="Times New Roman" w:eastAsia="仿宋_GB2312" w:cs="仿宋_GB2312"/>
          <w:color w:val="auto"/>
          <w:sz w:val="32"/>
          <w:szCs w:val="32"/>
          <w:highlight w:val="none"/>
        </w:rPr>
        <w:fldChar w:fldCharType="end"/>
      </w:r>
    </w:p>
    <w:p w14:paraId="2B98691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_Toc11283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十</w:t>
      </w:r>
      <w:r>
        <w:rPr>
          <w:rFonts w:hint="eastAsia" w:ascii="Times New Roman" w:hAnsi="Times New Roman" w:eastAsia="仿宋_GB2312" w:cs="仿宋_GB2312"/>
          <w:bCs/>
          <w:color w:val="auto"/>
          <w:kern w:val="0"/>
          <w:sz w:val="32"/>
          <w:szCs w:val="32"/>
          <w:highlight w:val="none"/>
          <w:lang w:val="en-US" w:eastAsia="zh-CN"/>
        </w:rPr>
        <w:t>一</w:t>
      </w:r>
      <w:r>
        <w:rPr>
          <w:rFonts w:hint="eastAsia" w:ascii="Times New Roman" w:hAnsi="Times New Roman" w:eastAsia="仿宋_GB2312" w:cs="仿宋_GB2312"/>
          <w:bCs/>
          <w:color w:val="auto"/>
          <w:kern w:val="0"/>
          <w:sz w:val="32"/>
          <w:szCs w:val="32"/>
          <w:highlight w:val="none"/>
          <w:lang w:eastAsia="zh-CN"/>
        </w:rPr>
        <w:t>、预算绩效的情况说明</w:t>
      </w:r>
      <w:r>
        <w:rPr>
          <w:rFonts w:hint="eastAsia" w:ascii="Times New Roman" w:hAnsi="Times New Roman" w:eastAsia="仿宋_GB2312" w:cs="仿宋_GB2312"/>
          <w:color w:val="auto"/>
          <w:sz w:val="32"/>
          <w:szCs w:val="32"/>
          <w:highlight w:val="none"/>
        </w:rPr>
        <w:fldChar w:fldCharType="end"/>
      </w:r>
    </w:p>
    <w:p w14:paraId="4BB8370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十二、其他需说明的事项</w:t>
      </w:r>
    </w:p>
    <w:p w14:paraId="3EDFA12E">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b/>
          <w:bCs/>
          <w:color w:val="auto"/>
          <w:sz w:val="32"/>
          <w:szCs w:val="32"/>
          <w:highlight w:val="none"/>
        </w:rPr>
        <w:fldChar w:fldCharType="begin"/>
      </w:r>
      <w:r>
        <w:rPr>
          <w:rFonts w:hint="eastAsia" w:ascii="Times New Roman" w:hAnsi="Times New Roman" w:eastAsia="仿宋_GB2312" w:cs="仿宋_GB2312"/>
          <w:b/>
          <w:bCs/>
          <w:color w:val="auto"/>
          <w:sz w:val="32"/>
          <w:szCs w:val="32"/>
          <w:highlight w:val="none"/>
        </w:rPr>
        <w:instrText xml:space="preserve"> HYPERLINK \l _Toc3250 </w:instrText>
      </w:r>
      <w:r>
        <w:rPr>
          <w:rFonts w:hint="eastAsia" w:ascii="Times New Roman" w:hAnsi="Times New Roman" w:eastAsia="仿宋_GB2312" w:cs="仿宋_GB2312"/>
          <w:b/>
          <w:bCs/>
          <w:color w:val="auto"/>
          <w:sz w:val="32"/>
          <w:szCs w:val="32"/>
          <w:highlight w:val="none"/>
        </w:rPr>
        <w:fldChar w:fldCharType="separate"/>
      </w:r>
      <w:r>
        <w:rPr>
          <w:rFonts w:hint="eastAsia" w:ascii="Times New Roman" w:hAnsi="Times New Roman" w:eastAsia="仿宋_GB2312" w:cs="仿宋_GB2312"/>
          <w:b/>
          <w:bCs/>
          <w:color w:val="auto"/>
          <w:sz w:val="32"/>
          <w:szCs w:val="32"/>
          <w:highlight w:val="none"/>
        </w:rPr>
        <w:t>第三部分 专业名词解释</w:t>
      </w:r>
      <w:r>
        <w:rPr>
          <w:rFonts w:hint="eastAsia" w:ascii="Times New Roman" w:hAnsi="Times New Roman" w:eastAsia="仿宋_GB2312" w:cs="仿宋_GB2312"/>
          <w:b/>
          <w:bCs/>
          <w:color w:val="auto"/>
          <w:sz w:val="32"/>
          <w:szCs w:val="32"/>
          <w:highlight w:val="none"/>
        </w:rPr>
        <w:fldChar w:fldCharType="end"/>
      </w:r>
    </w:p>
    <w:p w14:paraId="213C6AB7">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b/>
          <w:bCs/>
          <w:color w:val="auto"/>
          <w:sz w:val="32"/>
          <w:szCs w:val="32"/>
          <w:highlight w:val="none"/>
        </w:rPr>
        <w:fldChar w:fldCharType="begin"/>
      </w:r>
      <w:r>
        <w:rPr>
          <w:rFonts w:hint="eastAsia" w:ascii="Times New Roman" w:hAnsi="Times New Roman" w:eastAsia="仿宋_GB2312" w:cs="仿宋_GB2312"/>
          <w:b/>
          <w:bCs/>
          <w:color w:val="auto"/>
          <w:sz w:val="32"/>
          <w:szCs w:val="32"/>
          <w:highlight w:val="none"/>
        </w:rPr>
        <w:instrText xml:space="preserve"> HYPERLINK \l _Toc22784 </w:instrText>
      </w:r>
      <w:r>
        <w:rPr>
          <w:rFonts w:hint="eastAsia" w:ascii="Times New Roman" w:hAnsi="Times New Roman" w:eastAsia="仿宋_GB2312" w:cs="仿宋_GB2312"/>
          <w:b/>
          <w:bCs/>
          <w:color w:val="auto"/>
          <w:sz w:val="32"/>
          <w:szCs w:val="32"/>
          <w:highlight w:val="none"/>
        </w:rPr>
        <w:fldChar w:fldCharType="separate"/>
      </w:r>
      <w:r>
        <w:rPr>
          <w:rFonts w:hint="eastAsia" w:ascii="Times New Roman" w:hAnsi="Times New Roman" w:eastAsia="仿宋_GB2312" w:cs="仿宋_GB2312"/>
          <w:b/>
          <w:bCs/>
          <w:color w:val="auto"/>
          <w:sz w:val="32"/>
          <w:szCs w:val="32"/>
          <w:highlight w:val="none"/>
        </w:rPr>
        <w:t>第四部分 部门决算报表（见附表）</w:t>
      </w:r>
      <w:r>
        <w:rPr>
          <w:rFonts w:hint="eastAsia" w:ascii="Times New Roman" w:hAnsi="Times New Roman" w:eastAsia="仿宋_GB2312" w:cs="仿宋_GB2312"/>
          <w:b/>
          <w:bCs/>
          <w:color w:val="auto"/>
          <w:sz w:val="32"/>
          <w:szCs w:val="32"/>
          <w:highlight w:val="none"/>
        </w:rPr>
        <w:fldChar w:fldCharType="end"/>
      </w:r>
    </w:p>
    <w:p w14:paraId="1C88117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_Toc2183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一、《收入支出决算总表》</w:t>
      </w:r>
      <w:r>
        <w:rPr>
          <w:rFonts w:hint="eastAsia" w:ascii="Times New Roman" w:hAnsi="Times New Roman" w:eastAsia="仿宋_GB2312" w:cs="仿宋_GB2312"/>
          <w:color w:val="auto"/>
          <w:sz w:val="32"/>
          <w:szCs w:val="32"/>
          <w:highlight w:val="none"/>
        </w:rPr>
        <w:fldChar w:fldCharType="end"/>
      </w:r>
    </w:p>
    <w:p w14:paraId="412F9C1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_Toc24532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二、《收入决算表》</w:t>
      </w:r>
      <w:r>
        <w:rPr>
          <w:rFonts w:hint="eastAsia" w:ascii="Times New Roman" w:hAnsi="Times New Roman" w:eastAsia="仿宋_GB2312" w:cs="仿宋_GB2312"/>
          <w:color w:val="auto"/>
          <w:sz w:val="32"/>
          <w:szCs w:val="32"/>
          <w:highlight w:val="none"/>
        </w:rPr>
        <w:fldChar w:fldCharType="end"/>
      </w:r>
    </w:p>
    <w:p w14:paraId="6BEF9A7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_Toc32434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三、《支出决算表》</w:t>
      </w:r>
      <w:r>
        <w:rPr>
          <w:rFonts w:hint="eastAsia" w:ascii="Times New Roman" w:hAnsi="Times New Roman" w:eastAsia="仿宋_GB2312" w:cs="仿宋_GB2312"/>
          <w:color w:val="auto"/>
          <w:sz w:val="32"/>
          <w:szCs w:val="32"/>
          <w:highlight w:val="none"/>
        </w:rPr>
        <w:fldChar w:fldCharType="end"/>
      </w:r>
    </w:p>
    <w:p w14:paraId="52B003D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_Toc28786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四、《财政拨款收入支出决算总表》</w:t>
      </w:r>
      <w:r>
        <w:rPr>
          <w:rFonts w:hint="eastAsia" w:ascii="Times New Roman" w:hAnsi="Times New Roman" w:eastAsia="仿宋_GB2312" w:cs="仿宋_GB2312"/>
          <w:color w:val="auto"/>
          <w:sz w:val="32"/>
          <w:szCs w:val="32"/>
          <w:highlight w:val="none"/>
        </w:rPr>
        <w:fldChar w:fldCharType="end"/>
      </w:r>
    </w:p>
    <w:p w14:paraId="2DB19A3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_Toc14869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五、《一般公共预算财政拨款支出决算表》</w:t>
      </w:r>
      <w:r>
        <w:rPr>
          <w:rFonts w:hint="eastAsia" w:ascii="Times New Roman" w:hAnsi="Times New Roman" w:eastAsia="仿宋_GB2312" w:cs="仿宋_GB2312"/>
          <w:color w:val="auto"/>
          <w:sz w:val="32"/>
          <w:szCs w:val="32"/>
          <w:highlight w:val="none"/>
        </w:rPr>
        <w:fldChar w:fldCharType="end"/>
      </w:r>
    </w:p>
    <w:p w14:paraId="72BF380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_Toc8884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六、《一般公共预算财政拨款基本支出决算表》</w:t>
      </w:r>
      <w:r>
        <w:rPr>
          <w:rFonts w:hint="eastAsia" w:ascii="Times New Roman" w:hAnsi="Times New Roman" w:eastAsia="仿宋_GB2312" w:cs="仿宋_GB2312"/>
          <w:color w:val="auto"/>
          <w:sz w:val="32"/>
          <w:szCs w:val="32"/>
          <w:highlight w:val="none"/>
        </w:rPr>
        <w:fldChar w:fldCharType="end"/>
      </w:r>
    </w:p>
    <w:p w14:paraId="6C926C2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_Toc29106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七、《财政拨款“三公”经费支出决算表》</w:t>
      </w:r>
      <w:r>
        <w:rPr>
          <w:rFonts w:hint="eastAsia" w:ascii="Times New Roman" w:hAnsi="Times New Roman" w:eastAsia="仿宋_GB2312" w:cs="仿宋_GB2312"/>
          <w:color w:val="auto"/>
          <w:sz w:val="32"/>
          <w:szCs w:val="32"/>
          <w:highlight w:val="none"/>
        </w:rPr>
        <w:fldChar w:fldCharType="end"/>
      </w:r>
    </w:p>
    <w:p w14:paraId="2086B49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bCs/>
          <w:color w:val="auto"/>
          <w:kern w:val="0"/>
          <w:sz w:val="32"/>
          <w:szCs w:val="32"/>
          <w:highlight w:val="none"/>
        </w:rPr>
      </w:pPr>
      <w:r>
        <w:rPr>
          <w:rFonts w:hint="eastAsia" w:ascii="Times New Roman" w:hAnsi="Times New Roman" w:eastAsia="仿宋_GB2312" w:cs="仿宋_GB2312"/>
          <w:bCs/>
          <w:color w:val="auto"/>
          <w:kern w:val="0"/>
          <w:sz w:val="32"/>
          <w:szCs w:val="32"/>
          <w:highlight w:val="none"/>
        </w:rPr>
        <w:fldChar w:fldCharType="begin"/>
      </w:r>
      <w:r>
        <w:rPr>
          <w:rFonts w:hint="eastAsia" w:ascii="Times New Roman" w:hAnsi="Times New Roman" w:eastAsia="仿宋_GB2312" w:cs="仿宋_GB2312"/>
          <w:bCs/>
          <w:color w:val="auto"/>
          <w:kern w:val="0"/>
          <w:sz w:val="32"/>
          <w:szCs w:val="32"/>
          <w:highlight w:val="none"/>
        </w:rPr>
        <w:instrText xml:space="preserve"> HYPERLINK \l _Toc7643 </w:instrText>
      </w:r>
      <w:r>
        <w:rPr>
          <w:rFonts w:hint="eastAsia" w:ascii="Times New Roman" w:hAnsi="Times New Roman" w:eastAsia="仿宋_GB2312" w:cs="仿宋_GB2312"/>
          <w:bCs/>
          <w:color w:val="auto"/>
          <w:kern w:val="0"/>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val="en-US" w:eastAsia="zh-CN"/>
        </w:rPr>
        <w:t>八、</w:t>
      </w:r>
      <w:r>
        <w:rPr>
          <w:rFonts w:hint="eastAsia" w:ascii="Times New Roman" w:hAnsi="Times New Roman" w:eastAsia="仿宋_GB2312" w:cs="仿宋_GB2312"/>
          <w:bCs/>
          <w:color w:val="auto"/>
          <w:kern w:val="0"/>
          <w:sz w:val="32"/>
          <w:szCs w:val="32"/>
          <w:highlight w:val="none"/>
        </w:rPr>
        <w:t>《政府性基金预算财政拨款收入支出决算表》</w:t>
      </w:r>
      <w:r>
        <w:rPr>
          <w:rFonts w:hint="eastAsia" w:ascii="Times New Roman" w:hAnsi="Times New Roman" w:eastAsia="仿宋_GB2312" w:cs="仿宋_GB2312"/>
          <w:bCs/>
          <w:color w:val="auto"/>
          <w:kern w:val="0"/>
          <w:sz w:val="32"/>
          <w:szCs w:val="32"/>
          <w:highlight w:val="none"/>
        </w:rPr>
        <w:fldChar w:fldCharType="end"/>
      </w:r>
    </w:p>
    <w:p w14:paraId="389AFA8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bCs/>
          <w:color w:val="auto"/>
          <w:kern w:val="0"/>
          <w:sz w:val="32"/>
          <w:szCs w:val="32"/>
          <w:highlight w:val="none"/>
          <w:lang w:eastAsia="zh-CN"/>
        </w:rPr>
      </w:pPr>
      <w:r>
        <w:rPr>
          <w:rFonts w:hint="eastAsia" w:ascii="Times New Roman" w:hAnsi="Times New Roman" w:eastAsia="仿宋_GB2312" w:cs="仿宋_GB2312"/>
          <w:bCs/>
          <w:color w:val="auto"/>
          <w:kern w:val="0"/>
          <w:sz w:val="32"/>
          <w:szCs w:val="32"/>
          <w:highlight w:val="none"/>
          <w:lang w:val="en-US" w:eastAsia="zh-CN"/>
        </w:rPr>
        <w:t>九</w:t>
      </w:r>
      <w:r>
        <w:rPr>
          <w:rFonts w:hint="eastAsia" w:ascii="Times New Roman" w:hAnsi="Times New Roman" w:eastAsia="仿宋_GB2312" w:cs="仿宋_GB2312"/>
          <w:bCs/>
          <w:color w:val="auto"/>
          <w:kern w:val="0"/>
          <w:sz w:val="32"/>
          <w:szCs w:val="32"/>
          <w:highlight w:val="none"/>
          <w:lang w:eastAsia="zh-CN"/>
        </w:rPr>
        <w:t>、《国有资本经营</w:t>
      </w:r>
      <w:r>
        <w:rPr>
          <w:rFonts w:hint="eastAsia" w:ascii="Times New Roman" w:hAnsi="Times New Roman" w:eastAsia="仿宋_GB2312" w:cs="仿宋_GB2312"/>
          <w:bCs/>
          <w:color w:val="auto"/>
          <w:kern w:val="0"/>
          <w:sz w:val="32"/>
          <w:szCs w:val="32"/>
          <w:highlight w:val="none"/>
        </w:rPr>
        <w:t>预算财政拨款收入支出决算表</w:t>
      </w:r>
      <w:r>
        <w:rPr>
          <w:rFonts w:hint="eastAsia" w:ascii="Times New Roman" w:hAnsi="Times New Roman" w:eastAsia="仿宋_GB2312" w:cs="仿宋_GB2312"/>
          <w:bCs/>
          <w:color w:val="auto"/>
          <w:kern w:val="0"/>
          <w:sz w:val="32"/>
          <w:szCs w:val="32"/>
          <w:highlight w:val="none"/>
          <w:lang w:eastAsia="zh-CN"/>
        </w:rPr>
        <w:t>》</w:t>
      </w:r>
    </w:p>
    <w:p w14:paraId="51BCBC10">
      <w:pPr>
        <w:keepNext w:val="0"/>
        <w:keepLines w:val="0"/>
        <w:pageBreakBefore w:val="0"/>
        <w:widowControl w:val="0"/>
        <w:kinsoku/>
        <w:wordWrap/>
        <w:overflowPunct/>
        <w:topLinePunct w:val="0"/>
        <w:autoSpaceDE/>
        <w:autoSpaceDN/>
        <w:bidi w:val="0"/>
        <w:adjustRightInd/>
        <w:snapToGrid/>
        <w:ind w:left="0" w:leftChars="0"/>
        <w:jc w:val="both"/>
        <w:textAlignment w:val="auto"/>
        <w:rPr>
          <w:rFonts w:ascii="Times New Roman" w:hAnsi="Times New Roman"/>
          <w:color w:val="auto"/>
          <w:highlight w:val="none"/>
        </w:rPr>
      </w:pPr>
      <w:r>
        <w:rPr>
          <w:rFonts w:hint="eastAsia" w:ascii="Times New Roman" w:hAnsi="Times New Roman" w:eastAsia="仿宋_GB2312" w:cs="仿宋_GB2312"/>
          <w:color w:val="auto"/>
          <w:sz w:val="32"/>
          <w:szCs w:val="32"/>
          <w:highlight w:val="none"/>
        </w:rPr>
        <w:fldChar w:fldCharType="end"/>
      </w:r>
    </w:p>
    <w:p w14:paraId="3D1D7F6A">
      <w:pPr>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br w:type="page"/>
      </w:r>
    </w:p>
    <w:p w14:paraId="035AA7D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Times New Roman" w:hAnsi="Times New Roman" w:eastAsia="黑体"/>
          <w:color w:val="auto"/>
          <w:sz w:val="32"/>
          <w:szCs w:val="32"/>
          <w:highlight w:val="none"/>
        </w:rPr>
      </w:pPr>
      <w:bookmarkStart w:id="0" w:name="_Toc32314"/>
      <w:bookmarkStart w:id="1" w:name="_Toc24028"/>
      <w:r>
        <w:rPr>
          <w:rFonts w:hint="eastAsia" w:ascii="Times New Roman" w:hAnsi="Times New Roman" w:eastAsia="黑体"/>
          <w:color w:val="auto"/>
          <w:sz w:val="32"/>
          <w:szCs w:val="32"/>
          <w:highlight w:val="none"/>
        </w:rPr>
        <w:t xml:space="preserve">第一部分 </w:t>
      </w:r>
      <w:r>
        <w:rPr>
          <w:rFonts w:hint="eastAsia" w:ascii="Times New Roman" w:hAnsi="Times New Roman" w:eastAsia="黑体"/>
          <w:color w:val="auto"/>
          <w:sz w:val="32"/>
          <w:szCs w:val="32"/>
          <w:highlight w:val="none"/>
          <w:lang w:eastAsia="zh-CN"/>
        </w:rPr>
        <w:t>部门</w:t>
      </w:r>
      <w:r>
        <w:rPr>
          <w:rFonts w:hint="eastAsia" w:ascii="Times New Roman" w:hAnsi="Times New Roman" w:eastAsia="黑体"/>
          <w:color w:val="auto"/>
          <w:sz w:val="32"/>
          <w:szCs w:val="32"/>
          <w:highlight w:val="none"/>
        </w:rPr>
        <w:t>概况</w:t>
      </w:r>
      <w:bookmarkEnd w:id="0"/>
      <w:bookmarkEnd w:id="1"/>
    </w:p>
    <w:p w14:paraId="510B278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Times New Roman" w:hAnsi="Times New Roman" w:eastAsia="黑体" w:cs="宋体"/>
          <w:bCs/>
          <w:color w:val="auto"/>
          <w:kern w:val="0"/>
          <w:sz w:val="32"/>
          <w:szCs w:val="32"/>
          <w:highlight w:val="none"/>
        </w:rPr>
      </w:pPr>
      <w:bookmarkStart w:id="2" w:name="_Toc30738"/>
      <w:bookmarkStart w:id="3" w:name="_Toc30567"/>
      <w:r>
        <w:rPr>
          <w:rFonts w:hint="eastAsia" w:ascii="Times New Roman" w:hAnsi="Times New Roman" w:eastAsia="黑体" w:cs="宋体"/>
          <w:bCs/>
          <w:color w:val="auto"/>
          <w:kern w:val="0"/>
          <w:sz w:val="32"/>
          <w:szCs w:val="32"/>
          <w:highlight w:val="none"/>
        </w:rPr>
        <w:t>一、主要职能</w:t>
      </w:r>
      <w:bookmarkEnd w:id="2"/>
      <w:bookmarkEnd w:id="3"/>
    </w:p>
    <w:p w14:paraId="306EE29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新疆警察学院（新疆公安警察培训基地）（以下简称学院）前身为1950年成立的新疆维吾尔自治区人民公安学校，1989年6月更名为新疆公安司法管理干部学院。2001年，经教育部批准，由新疆公安司法管理干部学院和新疆人民警察学校合并成立新疆警官高等专科学校。2006年6月，基于国家治安形势需要，公安部政</w:t>
      </w:r>
      <w:bookmarkStart w:id="48" w:name="_GoBack"/>
      <w:bookmarkEnd w:id="48"/>
      <w:r>
        <w:rPr>
          <w:rFonts w:hint="eastAsia" w:ascii="Times New Roman" w:hAnsi="Times New Roman" w:eastAsia="仿宋_GB2312"/>
          <w:color w:val="auto"/>
          <w:sz w:val="32"/>
          <w:szCs w:val="32"/>
          <w:highlight w:val="none"/>
        </w:rPr>
        <w:t>治部印发《关于新疆公安厅建立新疆公安警察培训基地有关问题的批复》，确定依托新疆警官高等专科学校建立新疆公安警察培训基地，承担新疆公安后备力量培养、在职民警培训等任务。学院发展根据新疆地域性和社会治安工作需要，着力打造新疆公安政法教育的特色，充分挖掘和发挥学院在提高新疆公安政法队伍素质，培养少数民族公安政法人才等方面具有的不可替代作用。学院是全日制教学型普通本科公安院校，以全日制普通本科教育为主，适度开展全日制普通专科教育，以及函授、自考助学等本科和专科的成人继续教育，适时开展研究生教育。我院是公务员管理的事业单位,依据公安部《关于新疆公安厅建立新疆公安警察培训基地有关问题的批复》（公政治〔2006〕399号）精神，开展在职公安民警培训工作。学院坚持高等学历教育与在职民警培训,科研课题研究和技术服务。</w:t>
      </w:r>
    </w:p>
    <w:p w14:paraId="45F7C7E8">
      <w:pPr>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br w:type="page"/>
      </w:r>
    </w:p>
    <w:p w14:paraId="6B2DB1D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黑体" w:cs="宋体"/>
          <w:bCs/>
          <w:color w:val="auto"/>
          <w:kern w:val="0"/>
          <w:sz w:val="32"/>
          <w:szCs w:val="32"/>
          <w:highlight w:val="none"/>
        </w:rPr>
      </w:pPr>
      <w:bookmarkStart w:id="4" w:name="_Toc31238"/>
      <w:bookmarkStart w:id="5" w:name="_Toc2151"/>
      <w:r>
        <w:rPr>
          <w:rFonts w:hint="eastAsia" w:ascii="Times New Roman" w:hAnsi="Times New Roman" w:eastAsia="黑体" w:cs="宋体"/>
          <w:bCs/>
          <w:color w:val="auto"/>
          <w:kern w:val="0"/>
          <w:sz w:val="32"/>
          <w:szCs w:val="32"/>
          <w:highlight w:val="none"/>
        </w:rPr>
        <w:t>二、机构设置</w:t>
      </w:r>
      <w:r>
        <w:rPr>
          <w:rFonts w:hint="eastAsia" w:ascii="Times New Roman" w:hAnsi="Times New Roman" w:eastAsia="黑体" w:cs="宋体"/>
          <w:bCs/>
          <w:color w:val="auto"/>
          <w:kern w:val="0"/>
          <w:sz w:val="32"/>
          <w:szCs w:val="32"/>
          <w:highlight w:val="none"/>
          <w:lang w:eastAsia="zh-CN"/>
        </w:rPr>
        <w:t>及</w:t>
      </w:r>
      <w:bookmarkEnd w:id="4"/>
      <w:r>
        <w:rPr>
          <w:rFonts w:hint="eastAsia" w:ascii="Times New Roman" w:hAnsi="Times New Roman" w:eastAsia="黑体" w:cs="宋体"/>
          <w:bCs/>
          <w:color w:val="auto"/>
          <w:kern w:val="0"/>
          <w:sz w:val="32"/>
          <w:szCs w:val="32"/>
          <w:highlight w:val="none"/>
          <w:lang w:eastAsia="zh-CN"/>
        </w:rPr>
        <w:t>人员</w:t>
      </w:r>
      <w:r>
        <w:rPr>
          <w:rFonts w:hint="eastAsia" w:ascii="Times New Roman" w:hAnsi="Times New Roman" w:eastAsia="黑体" w:cs="宋体"/>
          <w:bCs/>
          <w:color w:val="auto"/>
          <w:kern w:val="0"/>
          <w:sz w:val="32"/>
          <w:szCs w:val="32"/>
          <w:highlight w:val="none"/>
        </w:rPr>
        <w:t>情况</w:t>
      </w:r>
      <w:bookmarkEnd w:id="5"/>
    </w:p>
    <w:p w14:paraId="6140E9F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b/>
          <w:color w:val="auto"/>
          <w:sz w:val="32"/>
          <w:szCs w:val="32"/>
          <w:highlight w:val="none"/>
        </w:rPr>
      </w:pPr>
      <w:r>
        <w:rPr>
          <w:rFonts w:hint="eastAsia" w:ascii="Times New Roman" w:hAnsi="Times New Roman" w:eastAsia="仿宋_GB2312"/>
          <w:color w:val="auto"/>
          <w:sz w:val="32"/>
          <w:szCs w:val="32"/>
          <w:highlight w:val="none"/>
          <w:lang w:val="en-US" w:eastAsia="zh-CN"/>
        </w:rPr>
        <w:t>新疆警察学院</w:t>
      </w:r>
      <w:r>
        <w:rPr>
          <w:rFonts w:hint="eastAsia" w:ascii="Times New Roman" w:hAnsi="Times New Roman" w:eastAsia="仿宋_GB2312"/>
          <w:color w:val="auto"/>
          <w:sz w:val="32"/>
          <w:szCs w:val="32"/>
          <w:highlight w:val="none"/>
          <w:lang w:eastAsia="zh-CN"/>
        </w:rPr>
        <w:t>2023年度，</w:t>
      </w:r>
      <w:r>
        <w:rPr>
          <w:rFonts w:hint="eastAsia" w:ascii="Times New Roman" w:hAnsi="Times New Roman" w:eastAsia="仿宋_GB2312"/>
          <w:color w:val="auto"/>
          <w:sz w:val="32"/>
          <w:szCs w:val="32"/>
          <w:highlight w:val="none"/>
        </w:rPr>
        <w:t>实有人数</w:t>
      </w:r>
      <w:r>
        <w:rPr>
          <w:rFonts w:hint="eastAsia" w:ascii="Times New Roman" w:hAnsi="Times New Roman" w:eastAsia="仿宋_GB2312"/>
          <w:color w:val="auto"/>
          <w:sz w:val="32"/>
          <w:szCs w:val="32"/>
          <w:highlight w:val="none"/>
          <w:lang w:val="zh-CN" w:eastAsia="zh-CN"/>
        </w:rPr>
        <w:t>937</w:t>
      </w:r>
      <w:r>
        <w:rPr>
          <w:rFonts w:hint="eastAsia" w:ascii="Times New Roman" w:hAnsi="Times New Roman" w:eastAsia="仿宋_GB2312"/>
          <w:color w:val="auto"/>
          <w:sz w:val="32"/>
          <w:szCs w:val="32"/>
          <w:highlight w:val="none"/>
        </w:rPr>
        <w:t>人，其中：在职人员</w:t>
      </w:r>
      <w:r>
        <w:rPr>
          <w:rFonts w:hint="eastAsia" w:ascii="Times New Roman" w:hAnsi="Times New Roman" w:eastAsia="仿宋_GB2312"/>
          <w:color w:val="auto"/>
          <w:sz w:val="32"/>
          <w:szCs w:val="32"/>
          <w:highlight w:val="none"/>
          <w:lang w:val="zh-CN" w:eastAsia="zh-CN"/>
        </w:rPr>
        <w:t>489</w:t>
      </w:r>
      <w:r>
        <w:rPr>
          <w:rFonts w:hint="eastAsia" w:ascii="Times New Roman" w:hAnsi="Times New Roman" w:eastAsia="仿宋_GB2312"/>
          <w:color w:val="auto"/>
          <w:sz w:val="32"/>
          <w:szCs w:val="32"/>
          <w:highlight w:val="none"/>
        </w:rPr>
        <w:t>人</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离休人员</w:t>
      </w:r>
      <w:r>
        <w:rPr>
          <w:rFonts w:hint="eastAsia" w:ascii="Times New Roman" w:hAnsi="Times New Roman" w:eastAsia="仿宋_GB2312"/>
          <w:color w:val="auto"/>
          <w:sz w:val="32"/>
          <w:szCs w:val="32"/>
          <w:highlight w:val="none"/>
          <w:lang w:val="zh-CN" w:eastAsia="zh-CN"/>
        </w:rPr>
        <w:t>2</w:t>
      </w:r>
      <w:r>
        <w:rPr>
          <w:rFonts w:hint="eastAsia" w:ascii="Times New Roman" w:hAnsi="Times New Roman" w:eastAsia="仿宋_GB2312"/>
          <w:color w:val="auto"/>
          <w:sz w:val="32"/>
          <w:szCs w:val="32"/>
          <w:highlight w:val="none"/>
        </w:rPr>
        <w:t>人，退休人员</w:t>
      </w:r>
      <w:r>
        <w:rPr>
          <w:rFonts w:hint="eastAsia" w:ascii="Times New Roman" w:hAnsi="Times New Roman" w:eastAsia="仿宋_GB2312"/>
          <w:color w:val="auto"/>
          <w:sz w:val="32"/>
          <w:szCs w:val="32"/>
          <w:highlight w:val="none"/>
          <w:lang w:val="zh-CN" w:eastAsia="zh-CN"/>
        </w:rPr>
        <w:t>446</w:t>
      </w:r>
      <w:r>
        <w:rPr>
          <w:rFonts w:hint="eastAsia" w:ascii="Times New Roman" w:hAnsi="Times New Roman" w:eastAsia="仿宋_GB2312"/>
          <w:color w:val="auto"/>
          <w:sz w:val="32"/>
          <w:szCs w:val="32"/>
          <w:highlight w:val="none"/>
        </w:rPr>
        <w:t>人。</w:t>
      </w:r>
    </w:p>
    <w:p w14:paraId="115CDFA5">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从</w:t>
      </w:r>
      <w:r>
        <w:rPr>
          <w:rFonts w:hint="eastAsia" w:ascii="Times New Roman" w:hAnsi="Times New Roman" w:eastAsia="仿宋_GB2312"/>
          <w:color w:val="auto"/>
          <w:sz w:val="32"/>
          <w:szCs w:val="32"/>
          <w:highlight w:val="none"/>
          <w:lang w:eastAsia="zh-CN"/>
        </w:rPr>
        <w:t>部门</w:t>
      </w:r>
      <w:r>
        <w:rPr>
          <w:rFonts w:hint="eastAsia" w:ascii="Times New Roman" w:hAnsi="Times New Roman" w:eastAsia="仿宋_GB2312"/>
          <w:color w:val="auto"/>
          <w:sz w:val="32"/>
          <w:szCs w:val="32"/>
          <w:highlight w:val="none"/>
        </w:rPr>
        <w:t>决算单位构成看，新疆警察学院（新疆公安警察培训基地）部门决算包括：新疆警察学院（新疆公安警察培训基地）</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本级</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决算</w:t>
      </w:r>
      <w:r>
        <w:rPr>
          <w:rFonts w:hint="eastAsia" w:ascii="Times New Roman" w:hAnsi="Times New Roman" w:eastAsia="仿宋_GB2312"/>
          <w:color w:val="auto"/>
          <w:sz w:val="32"/>
          <w:szCs w:val="32"/>
          <w:highlight w:val="none"/>
          <w:lang w:eastAsia="zh-CN"/>
        </w:rPr>
        <w:t>及</w:t>
      </w:r>
      <w:r>
        <w:rPr>
          <w:rFonts w:hint="eastAsia" w:ascii="Times New Roman" w:hAnsi="Times New Roman" w:eastAsia="仿宋_GB2312"/>
          <w:color w:val="auto"/>
          <w:sz w:val="32"/>
          <w:szCs w:val="32"/>
          <w:highlight w:val="none"/>
        </w:rPr>
        <w:t>所属单位决算。</w:t>
      </w:r>
    </w:p>
    <w:p w14:paraId="51B8EB85">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新疆警察学院（新疆公安警察培训基地）</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本级</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s="宋体"/>
          <w:bCs/>
          <w:color w:val="auto"/>
          <w:kern w:val="0"/>
          <w:sz w:val="32"/>
          <w:szCs w:val="32"/>
          <w:highlight w:val="none"/>
        </w:rPr>
        <w:t>下设</w:t>
      </w:r>
      <w:r>
        <w:rPr>
          <w:rFonts w:hint="eastAsia" w:ascii="Times New Roman" w:hAnsi="Times New Roman" w:eastAsia="仿宋_GB2312"/>
          <w:color w:val="auto"/>
          <w:sz w:val="32"/>
          <w:szCs w:val="32"/>
          <w:highlight w:val="none"/>
          <w:lang w:val="en-US" w:eastAsia="zh-CN"/>
        </w:rPr>
        <w:t>33</w:t>
      </w:r>
      <w:r>
        <w:rPr>
          <w:rFonts w:hint="eastAsia" w:ascii="Times New Roman" w:hAnsi="Times New Roman" w:eastAsia="仿宋_GB2312" w:cs="宋体"/>
          <w:bCs/>
          <w:color w:val="auto"/>
          <w:kern w:val="0"/>
          <w:sz w:val="32"/>
          <w:szCs w:val="32"/>
          <w:highlight w:val="none"/>
        </w:rPr>
        <w:t>个处室，分别是：</w:t>
      </w:r>
      <w:r>
        <w:rPr>
          <w:rFonts w:hint="eastAsia" w:ascii="Times New Roman" w:hAnsi="Times New Roman" w:eastAsia="仿宋_GB2312" w:cs="宋体"/>
          <w:color w:val="auto"/>
          <w:kern w:val="0"/>
          <w:sz w:val="32"/>
          <w:szCs w:val="32"/>
          <w:highlight w:val="none"/>
        </w:rPr>
        <w:t>党委办公室、纪检委（监察室）、组织人事处、宣传教育处、离退休工作处、教务处、科研处、学生处、审计处、发展规划处、财务管理处、资产装备处、招生就业指导处、保卫处、团委、工会、侦查系、公安管理系、治安系、信息安全工程系、交通管理工程系、狱政管理系、刑事技术系、法律系、语言系、指挥战术系、警体教研部、马克思主义学院、基础部教研部、在职教育培训处、实验实训教学中心、非传统安全研究所、图书馆。</w:t>
      </w:r>
    </w:p>
    <w:p w14:paraId="3E22211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Times New Roman" w:hAnsi="Times New Roman" w:eastAsia="仿宋_GB2312"/>
          <w:color w:val="auto"/>
          <w:spacing w:val="0"/>
          <w:sz w:val="32"/>
          <w:szCs w:val="32"/>
          <w:highlight w:val="none"/>
          <w:lang w:eastAsia="zh-CN"/>
        </w:rPr>
      </w:pPr>
      <w:r>
        <w:rPr>
          <w:rFonts w:hint="default" w:ascii="Times New Roman" w:hAnsi="Times New Roman" w:eastAsia="仿宋_GB2312" w:cs="宋体"/>
          <w:color w:val="auto"/>
          <w:kern w:val="0"/>
          <w:sz w:val="32"/>
          <w:szCs w:val="32"/>
          <w:highlight w:val="none"/>
          <w:lang w:val="en-US" w:eastAsia="zh-CN"/>
        </w:rPr>
        <w:t>新疆警察学院（新疆公安警察培训基地）</w:t>
      </w:r>
      <w:r>
        <w:rPr>
          <w:rFonts w:hint="eastAsia" w:ascii="Times New Roman" w:hAnsi="Times New Roman" w:eastAsia="仿宋_GB2312"/>
          <w:color w:val="auto"/>
          <w:spacing w:val="0"/>
          <w:sz w:val="32"/>
          <w:szCs w:val="32"/>
          <w:highlight w:val="none"/>
          <w:lang w:eastAsia="zh-CN"/>
        </w:rPr>
        <w:t>2023年度</w:t>
      </w:r>
      <w:r>
        <w:rPr>
          <w:rFonts w:hint="eastAsia" w:ascii="Times New Roman" w:hAnsi="Times New Roman" w:eastAsia="仿宋_GB2312"/>
          <w:color w:val="auto"/>
          <w:spacing w:val="0"/>
          <w:sz w:val="32"/>
          <w:szCs w:val="32"/>
          <w:highlight w:val="none"/>
        </w:rPr>
        <w:t>部门决算编制范围的</w:t>
      </w:r>
      <w:r>
        <w:rPr>
          <w:rFonts w:hint="eastAsia" w:ascii="Times New Roman" w:hAnsi="Times New Roman" w:eastAsia="仿宋_GB2312"/>
          <w:color w:val="auto"/>
          <w:spacing w:val="0"/>
          <w:sz w:val="32"/>
          <w:szCs w:val="32"/>
          <w:highlight w:val="none"/>
          <w:lang w:val="en-US" w:eastAsia="zh-CN"/>
        </w:rPr>
        <w:t>下属预算</w:t>
      </w:r>
      <w:r>
        <w:rPr>
          <w:rFonts w:hint="eastAsia" w:ascii="Times New Roman" w:hAnsi="Times New Roman" w:eastAsia="仿宋_GB2312"/>
          <w:color w:val="auto"/>
          <w:spacing w:val="0"/>
          <w:sz w:val="32"/>
          <w:szCs w:val="32"/>
          <w:highlight w:val="none"/>
        </w:rPr>
        <w:t>单位</w:t>
      </w:r>
      <w:r>
        <w:rPr>
          <w:rFonts w:hint="eastAsia" w:ascii="Times New Roman" w:hAnsi="Times New Roman" w:eastAsia="仿宋_GB2312"/>
          <w:color w:val="auto"/>
          <w:spacing w:val="0"/>
          <w:sz w:val="32"/>
          <w:szCs w:val="32"/>
          <w:highlight w:val="none"/>
          <w:lang w:val="en-US" w:eastAsia="zh-CN"/>
        </w:rPr>
        <w:t>包括</w:t>
      </w:r>
      <w:r>
        <w:rPr>
          <w:rFonts w:hint="eastAsia" w:ascii="Times New Roman" w:hAnsi="Times New Roman" w:eastAsia="仿宋_GB2312"/>
          <w:color w:val="auto"/>
          <w:spacing w:val="0"/>
          <w:sz w:val="32"/>
          <w:szCs w:val="32"/>
          <w:highlight w:val="none"/>
          <w:lang w:eastAsia="zh-CN"/>
        </w:rPr>
        <w:t>：</w:t>
      </w:r>
    </w:p>
    <w:p w14:paraId="4FFAC343">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Times New Roman" w:hAnsi="Times New Roman" w:eastAsia="仿宋_GB2312" w:cs="宋体"/>
          <w:color w:val="auto"/>
          <w:kern w:val="0"/>
          <w:sz w:val="32"/>
          <w:szCs w:val="32"/>
          <w:highlight w:val="none"/>
          <w:lang w:val="en-US" w:eastAsia="zh-CN"/>
        </w:rPr>
      </w:pPr>
      <w:r>
        <w:rPr>
          <w:rFonts w:hint="default" w:ascii="Times New Roman" w:hAnsi="Times New Roman" w:eastAsia="仿宋_GB2312" w:cs="宋体"/>
          <w:color w:val="auto"/>
          <w:kern w:val="0"/>
          <w:sz w:val="32"/>
          <w:szCs w:val="32"/>
          <w:highlight w:val="none"/>
          <w:lang w:val="en-US" w:eastAsia="zh-CN"/>
        </w:rPr>
        <w:t>1.新疆警察学院（新疆公安警察培训基地）</w:t>
      </w:r>
      <w:r>
        <w:rPr>
          <w:rFonts w:hint="eastAsia" w:ascii="Times New Roman" w:hAnsi="Times New Roman" w:eastAsia="仿宋_GB2312" w:cs="宋体"/>
          <w:color w:val="auto"/>
          <w:kern w:val="0"/>
          <w:sz w:val="32"/>
          <w:szCs w:val="32"/>
          <w:highlight w:val="none"/>
          <w:lang w:val="en-US" w:eastAsia="zh-CN"/>
        </w:rPr>
        <w:t>（本级）</w:t>
      </w:r>
    </w:p>
    <w:p w14:paraId="0FF607E1">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Times New Roman" w:hAnsi="Times New Roman" w:eastAsia="仿宋_GB2312" w:cs="宋体"/>
          <w:color w:val="auto"/>
          <w:kern w:val="0"/>
          <w:sz w:val="32"/>
          <w:szCs w:val="32"/>
          <w:highlight w:val="none"/>
          <w:lang w:val="en-US" w:eastAsia="zh-CN"/>
        </w:rPr>
      </w:pPr>
      <w:r>
        <w:rPr>
          <w:rFonts w:hint="default" w:ascii="Times New Roman" w:hAnsi="Times New Roman" w:eastAsia="仿宋_GB2312" w:cs="宋体"/>
          <w:color w:val="auto"/>
          <w:kern w:val="0"/>
          <w:sz w:val="32"/>
          <w:szCs w:val="32"/>
          <w:highlight w:val="none"/>
          <w:lang w:val="en-US" w:eastAsia="zh-CN"/>
        </w:rPr>
        <w:t>2.新疆警察学院医院</w:t>
      </w:r>
    </w:p>
    <w:p w14:paraId="6B742D34">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Times New Roman" w:hAnsi="Times New Roman" w:eastAsia="仿宋_GB2312" w:cs="宋体"/>
          <w:color w:val="auto"/>
          <w:kern w:val="0"/>
          <w:sz w:val="32"/>
          <w:szCs w:val="32"/>
          <w:highlight w:val="none"/>
          <w:lang w:val="en-US" w:eastAsia="zh-CN"/>
        </w:rPr>
      </w:pPr>
      <w:r>
        <w:rPr>
          <w:rFonts w:hint="eastAsia" w:ascii="Times New Roman" w:hAnsi="Times New Roman" w:eastAsia="仿宋_GB2312" w:cs="宋体"/>
          <w:color w:val="auto"/>
          <w:kern w:val="0"/>
          <w:sz w:val="32"/>
          <w:szCs w:val="32"/>
          <w:highlight w:val="none"/>
          <w:lang w:val="en-US" w:eastAsia="zh-CN"/>
        </w:rPr>
        <w:t>3.新疆警察学院司法鉴定中心</w:t>
      </w:r>
    </w:p>
    <w:p w14:paraId="429809BA">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Times New Roman" w:hAnsi="Times New Roman" w:eastAsia="仿宋_GB2312" w:cs="宋体"/>
          <w:color w:val="auto"/>
          <w:kern w:val="0"/>
          <w:sz w:val="32"/>
          <w:szCs w:val="32"/>
          <w:highlight w:val="none"/>
          <w:lang w:val="en-US" w:eastAsia="zh-CN"/>
        </w:rPr>
      </w:pPr>
      <w:r>
        <w:rPr>
          <w:rFonts w:hint="eastAsia" w:ascii="Times New Roman" w:hAnsi="Times New Roman" w:eastAsia="仿宋_GB2312" w:cs="宋体"/>
          <w:color w:val="auto"/>
          <w:kern w:val="0"/>
          <w:sz w:val="32"/>
          <w:szCs w:val="32"/>
          <w:highlight w:val="none"/>
          <w:lang w:val="en-US" w:eastAsia="zh-CN"/>
        </w:rPr>
        <w:t>4.新疆警察学院后勤服务中心</w:t>
      </w:r>
    </w:p>
    <w:p w14:paraId="4FADBCFE">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Times New Roman" w:hAnsi="Times New Roman" w:eastAsia="仿宋_GB2312" w:cs="宋体"/>
          <w:color w:val="auto"/>
          <w:kern w:val="0"/>
          <w:sz w:val="32"/>
          <w:szCs w:val="32"/>
          <w:highlight w:val="none"/>
          <w:lang w:val="en-US" w:eastAsia="zh-CN"/>
        </w:rPr>
      </w:pPr>
      <w:r>
        <w:rPr>
          <w:rFonts w:hint="eastAsia" w:ascii="Times New Roman" w:hAnsi="Times New Roman" w:eastAsia="仿宋_GB2312" w:cs="宋体"/>
          <w:color w:val="auto"/>
          <w:kern w:val="0"/>
          <w:sz w:val="32"/>
          <w:szCs w:val="32"/>
          <w:highlight w:val="none"/>
          <w:lang w:val="en-US" w:eastAsia="zh-CN"/>
        </w:rPr>
        <w:t>5.新疆警察学院附属保安学校</w:t>
      </w:r>
    </w:p>
    <w:p w14:paraId="24E66D4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Times New Roman" w:hAnsi="Times New Roman" w:eastAsia="黑体"/>
          <w:color w:val="auto"/>
          <w:sz w:val="32"/>
          <w:szCs w:val="32"/>
          <w:highlight w:val="none"/>
        </w:rPr>
      </w:pPr>
      <w:bookmarkStart w:id="6" w:name="_Toc3092"/>
      <w:bookmarkStart w:id="7" w:name="_Toc29374"/>
      <w:r>
        <w:rPr>
          <w:rFonts w:hint="eastAsia" w:ascii="Times New Roman" w:hAnsi="Times New Roman" w:eastAsia="黑体"/>
          <w:color w:val="auto"/>
          <w:sz w:val="32"/>
          <w:szCs w:val="32"/>
          <w:highlight w:val="none"/>
        </w:rPr>
        <w:t>第</w:t>
      </w:r>
      <w:r>
        <w:rPr>
          <w:rFonts w:hint="eastAsia" w:ascii="Times New Roman" w:hAnsi="Times New Roman" w:eastAsia="黑体"/>
          <w:color w:val="auto"/>
          <w:sz w:val="32"/>
          <w:szCs w:val="32"/>
          <w:highlight w:val="none"/>
          <w:lang w:val="en-US" w:eastAsia="zh-CN"/>
        </w:rPr>
        <w:t>二</w:t>
      </w:r>
      <w:r>
        <w:rPr>
          <w:rFonts w:hint="eastAsia" w:ascii="Times New Roman" w:hAnsi="Times New Roman" w:eastAsia="黑体"/>
          <w:color w:val="auto"/>
          <w:sz w:val="32"/>
          <w:szCs w:val="32"/>
          <w:highlight w:val="none"/>
        </w:rPr>
        <w:t>部分 部门决算情况说明</w:t>
      </w:r>
      <w:bookmarkEnd w:id="6"/>
      <w:bookmarkEnd w:id="7"/>
    </w:p>
    <w:p w14:paraId="646E64E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黑体" w:cs="宋体"/>
          <w:bCs/>
          <w:color w:val="auto"/>
          <w:kern w:val="0"/>
          <w:sz w:val="32"/>
          <w:szCs w:val="32"/>
          <w:highlight w:val="none"/>
        </w:rPr>
      </w:pPr>
      <w:bookmarkStart w:id="8" w:name="_Toc25314"/>
      <w:bookmarkStart w:id="9" w:name="_Toc12566"/>
      <w:r>
        <w:rPr>
          <w:rFonts w:hint="eastAsia" w:ascii="Times New Roman" w:hAnsi="Times New Roman" w:eastAsia="黑体" w:cs="宋体"/>
          <w:bCs/>
          <w:color w:val="auto"/>
          <w:kern w:val="0"/>
          <w:sz w:val="32"/>
          <w:szCs w:val="32"/>
          <w:highlight w:val="none"/>
        </w:rPr>
        <w:t>一、收入支出决算总体情况说明</w:t>
      </w:r>
      <w:bookmarkEnd w:id="8"/>
      <w:bookmarkEnd w:id="9"/>
    </w:p>
    <w:p w14:paraId="571D717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pacing w:val="0"/>
          <w:sz w:val="32"/>
          <w:szCs w:val="32"/>
          <w:highlight w:val="none"/>
          <w:lang w:eastAsia="zh-CN"/>
        </w:rPr>
      </w:pPr>
      <w:r>
        <w:rPr>
          <w:rFonts w:hint="eastAsia" w:ascii="Times New Roman" w:hAnsi="Times New Roman" w:eastAsia="仿宋_GB2312"/>
          <w:color w:val="auto"/>
          <w:spacing w:val="0"/>
          <w:sz w:val="32"/>
          <w:szCs w:val="32"/>
          <w:highlight w:val="none"/>
          <w:lang w:eastAsia="zh-CN"/>
        </w:rPr>
        <w:t>2023年度</w:t>
      </w:r>
      <w:r>
        <w:rPr>
          <w:rFonts w:hint="eastAsia" w:ascii="Times New Roman" w:hAnsi="Times New Roman" w:eastAsia="仿宋_GB2312"/>
          <w:color w:val="auto"/>
          <w:spacing w:val="0"/>
          <w:sz w:val="32"/>
          <w:szCs w:val="32"/>
          <w:highlight w:val="none"/>
          <w:lang w:val="en-US" w:eastAsia="zh-CN"/>
        </w:rPr>
        <w:t>收入总计</w:t>
      </w:r>
      <w:r>
        <w:rPr>
          <w:rFonts w:hint="eastAsia" w:ascii="Times New Roman" w:hAnsi="Times New Roman" w:eastAsia="仿宋_GB2312"/>
          <w:color w:val="auto"/>
          <w:spacing w:val="0"/>
          <w:sz w:val="32"/>
          <w:szCs w:val="32"/>
          <w:highlight w:val="none"/>
          <w:lang w:eastAsia="zh-CN"/>
        </w:rPr>
        <w:t>25,648.79万元，</w:t>
      </w:r>
      <w:r>
        <w:rPr>
          <w:rFonts w:hint="eastAsia" w:ascii="Times New Roman" w:hAnsi="Times New Roman" w:eastAsia="仿宋_GB2312"/>
          <w:color w:val="auto"/>
          <w:spacing w:val="0"/>
          <w:sz w:val="32"/>
          <w:szCs w:val="32"/>
          <w:highlight w:val="none"/>
          <w:lang w:val="en-US" w:eastAsia="zh-CN"/>
        </w:rPr>
        <w:t>其中：本年收入合计</w:t>
      </w:r>
      <w:r>
        <w:rPr>
          <w:rFonts w:hint="eastAsia" w:ascii="Times New Roman" w:hAnsi="Times New Roman" w:eastAsia="仿宋_GB2312"/>
          <w:color w:val="auto"/>
          <w:spacing w:val="0"/>
          <w:sz w:val="32"/>
          <w:szCs w:val="32"/>
          <w:highlight w:val="none"/>
          <w:lang w:eastAsia="zh-CN"/>
        </w:rPr>
        <w:t>24,424.02万元，使用非财政拨款结余0.00万元，年初结转和结余1,224.77万元。</w:t>
      </w:r>
    </w:p>
    <w:p w14:paraId="79EF11A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pacing w:val="0"/>
          <w:sz w:val="32"/>
          <w:szCs w:val="32"/>
          <w:highlight w:val="none"/>
          <w:lang w:eastAsia="zh-CN"/>
        </w:rPr>
      </w:pPr>
      <w:r>
        <w:rPr>
          <w:rFonts w:hint="eastAsia" w:ascii="Times New Roman" w:hAnsi="Times New Roman" w:eastAsia="仿宋_GB2312"/>
          <w:color w:val="auto"/>
          <w:spacing w:val="0"/>
          <w:sz w:val="32"/>
          <w:szCs w:val="32"/>
          <w:highlight w:val="none"/>
          <w:lang w:val="en-US" w:eastAsia="zh-CN"/>
        </w:rPr>
        <w:t>2023</w:t>
      </w:r>
      <w:r>
        <w:rPr>
          <w:rFonts w:hint="eastAsia" w:ascii="Times New Roman" w:hAnsi="Times New Roman" w:eastAsia="仿宋_GB2312"/>
          <w:color w:val="auto"/>
          <w:spacing w:val="0"/>
          <w:sz w:val="32"/>
          <w:szCs w:val="32"/>
          <w:highlight w:val="none"/>
          <w:lang w:eastAsia="zh-CN"/>
        </w:rPr>
        <w:t>年</w:t>
      </w:r>
      <w:r>
        <w:rPr>
          <w:rFonts w:hint="eastAsia" w:ascii="Times New Roman" w:hAnsi="Times New Roman" w:eastAsia="仿宋_GB2312"/>
          <w:color w:val="auto"/>
          <w:spacing w:val="0"/>
          <w:sz w:val="32"/>
          <w:szCs w:val="32"/>
          <w:highlight w:val="none"/>
          <w:lang w:val="en-US" w:eastAsia="zh-CN"/>
        </w:rPr>
        <w:t>度</w:t>
      </w:r>
      <w:r>
        <w:rPr>
          <w:rFonts w:hint="eastAsia" w:ascii="Times New Roman" w:hAnsi="Times New Roman" w:eastAsia="仿宋_GB2312"/>
          <w:color w:val="auto"/>
          <w:spacing w:val="0"/>
          <w:sz w:val="32"/>
          <w:szCs w:val="32"/>
          <w:highlight w:val="none"/>
          <w:lang w:eastAsia="zh-CN"/>
        </w:rPr>
        <w:t>支出</w:t>
      </w:r>
      <w:r>
        <w:rPr>
          <w:rFonts w:hint="eastAsia" w:ascii="Times New Roman" w:hAnsi="Times New Roman" w:eastAsia="仿宋_GB2312"/>
          <w:color w:val="auto"/>
          <w:spacing w:val="0"/>
          <w:sz w:val="32"/>
          <w:szCs w:val="32"/>
          <w:highlight w:val="none"/>
          <w:lang w:val="en-US" w:eastAsia="zh-CN"/>
        </w:rPr>
        <w:t>总计</w:t>
      </w:r>
      <w:r>
        <w:rPr>
          <w:rFonts w:hint="eastAsia" w:ascii="Times New Roman" w:hAnsi="Times New Roman" w:eastAsia="仿宋_GB2312"/>
          <w:color w:val="auto"/>
          <w:spacing w:val="0"/>
          <w:sz w:val="32"/>
          <w:szCs w:val="32"/>
          <w:highlight w:val="none"/>
          <w:lang w:eastAsia="zh-CN"/>
        </w:rPr>
        <w:t>25,648.79万元，</w:t>
      </w:r>
      <w:r>
        <w:rPr>
          <w:rFonts w:hint="eastAsia" w:ascii="Times New Roman" w:hAnsi="Times New Roman" w:eastAsia="仿宋_GB2312"/>
          <w:color w:val="auto"/>
          <w:spacing w:val="0"/>
          <w:sz w:val="32"/>
          <w:szCs w:val="32"/>
          <w:highlight w:val="none"/>
          <w:lang w:val="en-US" w:eastAsia="zh-CN"/>
        </w:rPr>
        <w:t>其中：本年支出合计</w:t>
      </w:r>
      <w:r>
        <w:rPr>
          <w:rFonts w:hint="eastAsia" w:ascii="Times New Roman" w:hAnsi="Times New Roman" w:eastAsia="仿宋_GB2312"/>
          <w:color w:val="auto"/>
          <w:spacing w:val="0"/>
          <w:sz w:val="32"/>
          <w:szCs w:val="32"/>
          <w:highlight w:val="none"/>
          <w:lang w:eastAsia="zh-CN"/>
        </w:rPr>
        <w:t>24,876.28万元，</w:t>
      </w:r>
      <w:r>
        <w:rPr>
          <w:rFonts w:hint="eastAsia" w:ascii="Times New Roman" w:hAnsi="Times New Roman" w:eastAsia="仿宋_GB2312"/>
          <w:color w:val="auto"/>
          <w:spacing w:val="0"/>
          <w:sz w:val="32"/>
          <w:szCs w:val="32"/>
          <w:highlight w:val="none"/>
          <w:lang w:val="en-US" w:eastAsia="zh-CN"/>
        </w:rPr>
        <w:t>结余分配</w:t>
      </w:r>
      <w:r>
        <w:rPr>
          <w:rFonts w:hint="eastAsia" w:ascii="Times New Roman" w:hAnsi="Times New Roman" w:eastAsia="仿宋_GB2312"/>
          <w:color w:val="auto"/>
          <w:spacing w:val="0"/>
          <w:sz w:val="32"/>
          <w:szCs w:val="32"/>
          <w:highlight w:val="none"/>
          <w:lang w:eastAsia="zh-CN"/>
        </w:rPr>
        <w:t>9.48万元，年末结转和结余763.03万元。</w:t>
      </w:r>
    </w:p>
    <w:p w14:paraId="6EF3902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pacing w:val="0"/>
          <w:sz w:val="32"/>
          <w:szCs w:val="32"/>
          <w:highlight w:val="none"/>
          <w:lang w:eastAsia="zh-CN"/>
        </w:rPr>
      </w:pPr>
      <w:r>
        <w:rPr>
          <w:rFonts w:hint="eastAsia" w:ascii="Times New Roman" w:hAnsi="Times New Roman" w:eastAsia="仿宋_GB2312"/>
          <w:color w:val="auto"/>
          <w:spacing w:val="0"/>
          <w:sz w:val="32"/>
          <w:szCs w:val="32"/>
          <w:highlight w:val="none"/>
          <w:lang w:val="en-US" w:eastAsia="zh-CN"/>
        </w:rPr>
        <w:t>收入支出总体与上年相比</w:t>
      </w:r>
      <w:r>
        <w:rPr>
          <w:rFonts w:hint="eastAsia" w:ascii="Times New Roman" w:hAnsi="Times New Roman" w:eastAsia="仿宋_GB2312"/>
          <w:color w:val="auto"/>
          <w:spacing w:val="0"/>
          <w:sz w:val="32"/>
          <w:szCs w:val="32"/>
          <w:highlight w:val="none"/>
          <w:lang w:eastAsia="zh-CN"/>
        </w:rPr>
        <w:t>，</w:t>
      </w:r>
      <w:r>
        <w:rPr>
          <w:rFonts w:hint="eastAsia" w:ascii="Times New Roman" w:hAnsi="Times New Roman" w:eastAsia="仿宋_GB2312"/>
          <w:color w:val="auto"/>
          <w:spacing w:val="0"/>
          <w:sz w:val="32"/>
          <w:szCs w:val="32"/>
          <w:highlight w:val="none"/>
          <w:lang w:val="zh-CN" w:eastAsia="zh-CN"/>
        </w:rPr>
        <w:t>增加5,160.22万元</w:t>
      </w:r>
      <w:r>
        <w:rPr>
          <w:rFonts w:hint="eastAsia" w:ascii="Times New Roman" w:hAnsi="Times New Roman" w:eastAsia="仿宋_GB2312"/>
          <w:color w:val="auto"/>
          <w:spacing w:val="0"/>
          <w:sz w:val="32"/>
          <w:szCs w:val="32"/>
          <w:highlight w:val="none"/>
          <w:lang w:eastAsia="zh-CN"/>
        </w:rPr>
        <w:t>，增长25.19%，主要原因是：在职人员工资调增，社保及公积金缴费基数调增，</w:t>
      </w:r>
      <w:r>
        <w:rPr>
          <w:rFonts w:hint="eastAsia" w:ascii="Times New Roman" w:hAnsi="Times New Roman" w:eastAsia="仿宋_GB2312"/>
          <w:color w:val="auto"/>
          <w:spacing w:val="0"/>
          <w:sz w:val="32"/>
          <w:szCs w:val="32"/>
          <w:highlight w:val="none"/>
          <w:lang w:val="en-US" w:eastAsia="zh-CN"/>
        </w:rPr>
        <w:t>司法鉴定服务费增加，学生人数增加等</w:t>
      </w:r>
      <w:r>
        <w:rPr>
          <w:rFonts w:hint="eastAsia" w:ascii="Times New Roman" w:hAnsi="Times New Roman" w:eastAsia="仿宋_GB2312"/>
          <w:color w:val="auto"/>
          <w:spacing w:val="0"/>
          <w:sz w:val="32"/>
          <w:szCs w:val="32"/>
          <w:highlight w:val="none"/>
          <w:lang w:eastAsia="zh-CN"/>
        </w:rPr>
        <w:t>。</w:t>
      </w:r>
    </w:p>
    <w:p w14:paraId="2112DF8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rPr>
      </w:pPr>
      <w:bookmarkStart w:id="10" w:name="_Toc12142"/>
      <w:bookmarkStart w:id="11" w:name="_Toc1979"/>
      <w:r>
        <w:rPr>
          <w:rFonts w:hint="eastAsia" w:ascii="Times New Roman" w:hAnsi="Times New Roman" w:eastAsia="黑体" w:cs="宋体"/>
          <w:bCs/>
          <w:color w:val="auto"/>
          <w:kern w:val="0"/>
          <w:sz w:val="32"/>
          <w:szCs w:val="32"/>
          <w:highlight w:val="none"/>
          <w:lang w:eastAsia="zh-CN"/>
        </w:rPr>
        <w:t>二、</w:t>
      </w:r>
      <w:r>
        <w:rPr>
          <w:rFonts w:hint="eastAsia" w:ascii="Times New Roman" w:hAnsi="Times New Roman" w:eastAsia="黑体" w:cs="宋体"/>
          <w:bCs/>
          <w:color w:val="auto"/>
          <w:kern w:val="0"/>
          <w:sz w:val="32"/>
          <w:szCs w:val="32"/>
          <w:highlight w:val="none"/>
        </w:rPr>
        <w:t>收入</w:t>
      </w:r>
      <w:r>
        <w:rPr>
          <w:rFonts w:hint="eastAsia" w:ascii="Times New Roman" w:hAnsi="Times New Roman" w:eastAsia="黑体" w:cs="宋体"/>
          <w:bCs/>
          <w:color w:val="auto"/>
          <w:kern w:val="0"/>
          <w:sz w:val="32"/>
          <w:szCs w:val="32"/>
          <w:highlight w:val="none"/>
          <w:lang w:eastAsia="zh-CN"/>
        </w:rPr>
        <w:t>决算</w:t>
      </w:r>
      <w:r>
        <w:rPr>
          <w:rFonts w:hint="eastAsia" w:ascii="Times New Roman" w:hAnsi="Times New Roman" w:eastAsia="黑体" w:cs="宋体"/>
          <w:bCs/>
          <w:color w:val="auto"/>
          <w:kern w:val="0"/>
          <w:sz w:val="32"/>
          <w:szCs w:val="32"/>
          <w:highlight w:val="none"/>
        </w:rPr>
        <w:t>情况说明</w:t>
      </w:r>
      <w:bookmarkEnd w:id="10"/>
      <w:bookmarkEnd w:id="11"/>
    </w:p>
    <w:p w14:paraId="0BA5772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本年收入</w:t>
      </w:r>
      <w:r>
        <w:rPr>
          <w:rFonts w:hint="eastAsia" w:ascii="Times New Roman" w:hAnsi="Times New Roman" w:eastAsia="仿宋_GB2312"/>
          <w:color w:val="auto"/>
          <w:sz w:val="32"/>
          <w:szCs w:val="32"/>
          <w:highlight w:val="none"/>
          <w:lang w:eastAsia="zh-CN"/>
        </w:rPr>
        <w:t>24,424.02</w:t>
      </w:r>
      <w:r>
        <w:rPr>
          <w:rFonts w:hint="eastAsia" w:ascii="Times New Roman" w:hAnsi="Times New Roman" w:eastAsia="仿宋_GB2312"/>
          <w:color w:val="auto"/>
          <w:sz w:val="32"/>
          <w:szCs w:val="32"/>
          <w:highlight w:val="none"/>
        </w:rPr>
        <w:t>万元，其中：财政拨款收入</w:t>
      </w:r>
      <w:r>
        <w:rPr>
          <w:rFonts w:hint="eastAsia" w:ascii="Times New Roman" w:hAnsi="Times New Roman" w:eastAsia="仿宋_GB2312"/>
          <w:color w:val="auto"/>
          <w:sz w:val="32"/>
          <w:szCs w:val="32"/>
          <w:highlight w:val="none"/>
          <w:lang w:val="zh-CN"/>
        </w:rPr>
        <w:t>20,232.19</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82.84%</w:t>
      </w:r>
      <w:r>
        <w:rPr>
          <w:rFonts w:hint="eastAsia" w:ascii="Times New Roman" w:hAnsi="Times New Roman" w:eastAsia="仿宋_GB2312"/>
          <w:color w:val="auto"/>
          <w:sz w:val="32"/>
          <w:szCs w:val="32"/>
          <w:highlight w:val="none"/>
        </w:rPr>
        <w:t>；上级补助收入</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；事业收入</w:t>
      </w:r>
      <w:r>
        <w:rPr>
          <w:rFonts w:hint="eastAsia" w:ascii="Times New Roman" w:hAnsi="Times New Roman" w:eastAsia="仿宋_GB2312"/>
          <w:color w:val="auto"/>
          <w:sz w:val="32"/>
          <w:szCs w:val="32"/>
          <w:highlight w:val="none"/>
          <w:lang w:val="zh-CN"/>
        </w:rPr>
        <w:t>3,676.60</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15.05%</w:t>
      </w:r>
      <w:r>
        <w:rPr>
          <w:rFonts w:hint="eastAsia" w:ascii="Times New Roman" w:hAnsi="Times New Roman" w:eastAsia="仿宋_GB2312"/>
          <w:color w:val="auto"/>
          <w:sz w:val="32"/>
          <w:szCs w:val="32"/>
          <w:highlight w:val="none"/>
        </w:rPr>
        <w:t>；经营收入</w:t>
      </w:r>
      <w:r>
        <w:rPr>
          <w:rFonts w:hint="eastAsia" w:ascii="Times New Roman" w:hAnsi="Times New Roman" w:eastAsia="仿宋_GB2312"/>
          <w:color w:val="auto"/>
          <w:sz w:val="32"/>
          <w:szCs w:val="32"/>
          <w:highlight w:val="none"/>
          <w:lang w:val="zh-CN"/>
        </w:rPr>
        <w:t>112.97</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0.46%</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eastAsia="zh-CN"/>
        </w:rPr>
        <w:t>附属单位上缴收入</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；其他收入</w:t>
      </w:r>
      <w:r>
        <w:rPr>
          <w:rFonts w:hint="eastAsia" w:ascii="Times New Roman" w:hAnsi="Times New Roman" w:eastAsia="仿宋_GB2312"/>
          <w:color w:val="auto"/>
          <w:sz w:val="32"/>
          <w:szCs w:val="32"/>
          <w:highlight w:val="none"/>
          <w:lang w:val="zh-CN"/>
        </w:rPr>
        <w:t>402.25</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1.65%</w:t>
      </w:r>
      <w:r>
        <w:rPr>
          <w:rFonts w:hint="eastAsia" w:ascii="Times New Roman" w:hAnsi="Times New Roman" w:eastAsia="仿宋_GB2312"/>
          <w:color w:val="auto"/>
          <w:sz w:val="32"/>
          <w:szCs w:val="32"/>
          <w:highlight w:val="none"/>
        </w:rPr>
        <w:t>。</w:t>
      </w:r>
    </w:p>
    <w:p w14:paraId="6CA9F60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12" w:name="_Toc13201"/>
      <w:bookmarkStart w:id="13" w:name="_Toc27961"/>
      <w:r>
        <w:rPr>
          <w:rFonts w:hint="eastAsia" w:ascii="Times New Roman" w:hAnsi="Times New Roman" w:eastAsia="黑体" w:cs="宋体"/>
          <w:bCs/>
          <w:color w:val="auto"/>
          <w:kern w:val="0"/>
          <w:sz w:val="32"/>
          <w:szCs w:val="32"/>
          <w:highlight w:val="none"/>
          <w:lang w:eastAsia="zh-CN"/>
        </w:rPr>
        <w:t>三、支出决算情况说明</w:t>
      </w:r>
      <w:bookmarkEnd w:id="12"/>
      <w:bookmarkEnd w:id="13"/>
    </w:p>
    <w:p w14:paraId="6FC227D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2"/>
          <w:szCs w:val="32"/>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本年支出24,876.28万元，其中：基本支出16,642.87万元，占66.90%；项目支出8,129.91万元，占32.68%；上缴上级支出0.00万元，占0.00%；经营支出103.50万元，占0.42%；对附属单位补助支出0.00万元，占0.00%。</w:t>
      </w:r>
    </w:p>
    <w:p w14:paraId="3388D4C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14" w:name="_Toc26564"/>
      <w:bookmarkStart w:id="15" w:name="_Toc4393"/>
      <w:r>
        <w:rPr>
          <w:rFonts w:hint="eastAsia" w:ascii="Times New Roman" w:hAnsi="Times New Roman" w:eastAsia="黑体" w:cs="宋体"/>
          <w:bCs/>
          <w:color w:val="auto"/>
          <w:kern w:val="0"/>
          <w:sz w:val="32"/>
          <w:szCs w:val="32"/>
          <w:highlight w:val="none"/>
          <w:lang w:eastAsia="zh-CN"/>
        </w:rPr>
        <w:t>四、财政拨款收入支出决算总体情况说明</w:t>
      </w:r>
      <w:bookmarkEnd w:id="14"/>
      <w:bookmarkEnd w:id="15"/>
    </w:p>
    <w:p w14:paraId="57E7716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olor w:val="auto"/>
          <w:spacing w:val="0"/>
          <w:sz w:val="32"/>
          <w:szCs w:val="32"/>
          <w:highlight w:val="none"/>
          <w:lang w:eastAsia="zh-CN"/>
        </w:rPr>
      </w:pPr>
      <w:r>
        <w:rPr>
          <w:rFonts w:hint="eastAsia" w:ascii="Times New Roman" w:hAnsi="Times New Roman" w:eastAsia="仿宋_GB2312"/>
          <w:color w:val="auto"/>
          <w:spacing w:val="0"/>
          <w:sz w:val="32"/>
          <w:szCs w:val="32"/>
          <w:highlight w:val="none"/>
          <w:lang w:eastAsia="zh-CN"/>
        </w:rPr>
        <w:t>2023年度财政拨款收入</w:t>
      </w:r>
      <w:r>
        <w:rPr>
          <w:rFonts w:hint="eastAsia" w:ascii="Times New Roman" w:hAnsi="Times New Roman" w:eastAsia="仿宋_GB2312"/>
          <w:color w:val="auto"/>
          <w:spacing w:val="0"/>
          <w:sz w:val="32"/>
          <w:szCs w:val="32"/>
          <w:highlight w:val="none"/>
          <w:lang w:val="en-US" w:eastAsia="zh-CN"/>
        </w:rPr>
        <w:t>总计</w:t>
      </w:r>
      <w:r>
        <w:rPr>
          <w:rFonts w:hint="eastAsia" w:ascii="Times New Roman" w:hAnsi="Times New Roman" w:eastAsia="仿宋_GB2312"/>
          <w:color w:val="auto"/>
          <w:spacing w:val="0"/>
          <w:sz w:val="32"/>
          <w:szCs w:val="32"/>
          <w:highlight w:val="none"/>
          <w:lang w:val="zh-CN" w:eastAsia="zh-CN"/>
        </w:rPr>
        <w:t>21,456.97</w:t>
      </w:r>
      <w:r>
        <w:rPr>
          <w:rFonts w:hint="eastAsia" w:ascii="Times New Roman" w:hAnsi="Times New Roman" w:eastAsia="仿宋_GB2312"/>
          <w:color w:val="auto"/>
          <w:spacing w:val="0"/>
          <w:sz w:val="32"/>
          <w:szCs w:val="32"/>
          <w:highlight w:val="none"/>
          <w:lang w:eastAsia="zh-CN"/>
        </w:rPr>
        <w:t>万元，</w:t>
      </w:r>
      <w:r>
        <w:rPr>
          <w:rFonts w:hint="eastAsia" w:ascii="Times New Roman" w:hAnsi="Times New Roman" w:eastAsia="仿宋_GB2312"/>
          <w:color w:val="auto"/>
          <w:spacing w:val="0"/>
          <w:sz w:val="32"/>
          <w:szCs w:val="32"/>
          <w:highlight w:val="none"/>
          <w:lang w:val="en-US" w:eastAsia="zh-CN"/>
        </w:rPr>
        <w:t>其中：年初财政拨款结转和结余</w:t>
      </w:r>
      <w:r>
        <w:rPr>
          <w:rFonts w:hint="eastAsia" w:ascii="Times New Roman" w:hAnsi="Times New Roman" w:eastAsia="仿宋_GB2312"/>
          <w:color w:val="auto"/>
          <w:spacing w:val="0"/>
          <w:sz w:val="32"/>
          <w:szCs w:val="32"/>
          <w:highlight w:val="none"/>
          <w:lang w:val="zh-CN" w:eastAsia="zh-CN"/>
        </w:rPr>
        <w:t>1,224.77</w:t>
      </w:r>
      <w:r>
        <w:rPr>
          <w:rFonts w:hint="eastAsia" w:ascii="Times New Roman" w:hAnsi="Times New Roman" w:eastAsia="仿宋_GB2312"/>
          <w:color w:val="auto"/>
          <w:spacing w:val="0"/>
          <w:sz w:val="32"/>
          <w:szCs w:val="32"/>
          <w:highlight w:val="none"/>
          <w:lang w:eastAsia="zh-CN"/>
        </w:rPr>
        <w:t>万元，</w:t>
      </w:r>
      <w:r>
        <w:rPr>
          <w:rFonts w:hint="eastAsia" w:ascii="Times New Roman" w:hAnsi="Times New Roman" w:eastAsia="仿宋_GB2312"/>
          <w:color w:val="auto"/>
          <w:spacing w:val="0"/>
          <w:sz w:val="32"/>
          <w:szCs w:val="32"/>
          <w:highlight w:val="none"/>
          <w:lang w:val="en-US" w:eastAsia="zh-CN"/>
        </w:rPr>
        <w:t>本年财政拨款收入</w:t>
      </w:r>
      <w:r>
        <w:rPr>
          <w:rFonts w:hint="eastAsia" w:ascii="Times New Roman" w:hAnsi="Times New Roman" w:eastAsia="仿宋_GB2312"/>
          <w:color w:val="auto"/>
          <w:spacing w:val="0"/>
          <w:sz w:val="32"/>
          <w:szCs w:val="32"/>
          <w:highlight w:val="none"/>
          <w:lang w:val="zh-CN" w:eastAsia="zh-CN"/>
        </w:rPr>
        <w:t>20,232.19</w:t>
      </w:r>
      <w:r>
        <w:rPr>
          <w:rFonts w:hint="eastAsia" w:ascii="Times New Roman" w:hAnsi="Times New Roman" w:eastAsia="仿宋_GB2312"/>
          <w:color w:val="auto"/>
          <w:spacing w:val="0"/>
          <w:sz w:val="32"/>
          <w:szCs w:val="32"/>
          <w:highlight w:val="none"/>
          <w:lang w:eastAsia="zh-CN"/>
        </w:rPr>
        <w:t>万元。财政拨款支出</w:t>
      </w:r>
      <w:r>
        <w:rPr>
          <w:rFonts w:hint="eastAsia" w:ascii="Times New Roman" w:hAnsi="Times New Roman" w:eastAsia="仿宋_GB2312"/>
          <w:color w:val="auto"/>
          <w:spacing w:val="0"/>
          <w:sz w:val="32"/>
          <w:szCs w:val="32"/>
          <w:highlight w:val="none"/>
          <w:lang w:val="en-US" w:eastAsia="zh-CN"/>
        </w:rPr>
        <w:t>总计</w:t>
      </w:r>
      <w:r>
        <w:rPr>
          <w:rFonts w:hint="eastAsia" w:ascii="Times New Roman" w:hAnsi="Times New Roman" w:eastAsia="仿宋_GB2312"/>
          <w:color w:val="auto"/>
          <w:spacing w:val="0"/>
          <w:sz w:val="32"/>
          <w:szCs w:val="32"/>
          <w:highlight w:val="none"/>
          <w:lang w:val="zh-CN" w:eastAsia="zh-CN"/>
        </w:rPr>
        <w:t>21,456.97</w:t>
      </w:r>
      <w:r>
        <w:rPr>
          <w:rFonts w:hint="eastAsia" w:ascii="Times New Roman" w:hAnsi="Times New Roman" w:eastAsia="仿宋_GB2312"/>
          <w:color w:val="auto"/>
          <w:spacing w:val="0"/>
          <w:sz w:val="32"/>
          <w:szCs w:val="32"/>
          <w:highlight w:val="none"/>
          <w:lang w:eastAsia="zh-CN"/>
        </w:rPr>
        <w:t>万元，</w:t>
      </w:r>
      <w:r>
        <w:rPr>
          <w:rFonts w:hint="eastAsia" w:ascii="Times New Roman" w:hAnsi="Times New Roman" w:eastAsia="仿宋_GB2312"/>
          <w:color w:val="auto"/>
          <w:spacing w:val="0"/>
          <w:sz w:val="32"/>
          <w:szCs w:val="32"/>
          <w:highlight w:val="none"/>
          <w:lang w:val="en-US" w:eastAsia="zh-CN"/>
        </w:rPr>
        <w:t>其中：年末财政拨款结转和结余</w:t>
      </w:r>
      <w:r>
        <w:rPr>
          <w:rFonts w:hint="eastAsia" w:ascii="Times New Roman" w:hAnsi="Times New Roman" w:eastAsia="仿宋_GB2312"/>
          <w:color w:val="auto"/>
          <w:spacing w:val="0"/>
          <w:sz w:val="32"/>
          <w:szCs w:val="32"/>
          <w:highlight w:val="none"/>
          <w:lang w:val="zh-CN" w:eastAsia="zh-CN"/>
        </w:rPr>
        <w:t>360.91</w:t>
      </w:r>
      <w:r>
        <w:rPr>
          <w:rFonts w:hint="eastAsia" w:ascii="Times New Roman" w:hAnsi="Times New Roman" w:eastAsia="仿宋_GB2312"/>
          <w:color w:val="auto"/>
          <w:spacing w:val="0"/>
          <w:sz w:val="32"/>
          <w:szCs w:val="32"/>
          <w:highlight w:val="none"/>
          <w:lang w:eastAsia="zh-CN"/>
        </w:rPr>
        <w:t>万元，</w:t>
      </w:r>
      <w:r>
        <w:rPr>
          <w:rFonts w:hint="eastAsia" w:ascii="Times New Roman" w:hAnsi="Times New Roman" w:eastAsia="仿宋_GB2312"/>
          <w:color w:val="auto"/>
          <w:spacing w:val="0"/>
          <w:sz w:val="32"/>
          <w:szCs w:val="32"/>
          <w:highlight w:val="none"/>
          <w:lang w:val="en-US" w:eastAsia="zh-CN"/>
        </w:rPr>
        <w:t>本年财政拨款支出</w:t>
      </w:r>
      <w:r>
        <w:rPr>
          <w:rFonts w:hint="eastAsia" w:ascii="Times New Roman" w:hAnsi="Times New Roman" w:eastAsia="仿宋_GB2312"/>
          <w:color w:val="auto"/>
          <w:spacing w:val="0"/>
          <w:sz w:val="32"/>
          <w:szCs w:val="32"/>
          <w:highlight w:val="none"/>
          <w:lang w:val="zh-CN" w:eastAsia="zh-CN"/>
        </w:rPr>
        <w:t>21,096.05</w:t>
      </w:r>
      <w:r>
        <w:rPr>
          <w:rFonts w:hint="eastAsia" w:ascii="Times New Roman" w:hAnsi="Times New Roman" w:eastAsia="仿宋_GB2312"/>
          <w:color w:val="auto"/>
          <w:spacing w:val="0"/>
          <w:sz w:val="32"/>
          <w:szCs w:val="32"/>
          <w:highlight w:val="none"/>
          <w:lang w:eastAsia="zh-CN"/>
        </w:rPr>
        <w:t>万元。</w:t>
      </w:r>
    </w:p>
    <w:p w14:paraId="5BBFFE5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olor w:val="auto"/>
          <w:spacing w:val="0"/>
          <w:sz w:val="32"/>
          <w:szCs w:val="32"/>
          <w:highlight w:val="none"/>
          <w:lang w:val="en-US" w:eastAsia="zh-CN"/>
        </w:rPr>
      </w:pPr>
      <w:r>
        <w:rPr>
          <w:rFonts w:hint="eastAsia" w:ascii="Times New Roman" w:hAnsi="Times New Roman" w:eastAsia="仿宋_GB2312"/>
          <w:color w:val="auto"/>
          <w:spacing w:val="0"/>
          <w:sz w:val="32"/>
          <w:szCs w:val="32"/>
          <w:highlight w:val="none"/>
          <w:lang w:eastAsia="zh-CN"/>
        </w:rPr>
        <w:t>财政拨款收入支出总体与上年相比</w:t>
      </w:r>
      <w:r>
        <w:rPr>
          <w:rFonts w:hint="eastAsia" w:ascii="Times New Roman" w:hAnsi="Times New Roman" w:eastAsia="仿宋_GB2312"/>
          <w:color w:val="auto"/>
          <w:spacing w:val="0"/>
          <w:sz w:val="32"/>
          <w:szCs w:val="32"/>
          <w:highlight w:val="none"/>
          <w:lang w:val="en-US" w:eastAsia="zh-CN"/>
        </w:rPr>
        <w:t>,</w:t>
      </w:r>
      <w:r>
        <w:rPr>
          <w:rFonts w:hint="eastAsia" w:ascii="Times New Roman" w:hAnsi="Times New Roman" w:eastAsia="仿宋_GB2312"/>
          <w:color w:val="auto"/>
          <w:spacing w:val="0"/>
          <w:sz w:val="32"/>
          <w:szCs w:val="32"/>
          <w:highlight w:val="none"/>
          <w:lang w:val="zh-CN" w:eastAsia="zh-CN"/>
        </w:rPr>
        <w:t>增加2,921.66万元</w:t>
      </w:r>
      <w:r>
        <w:rPr>
          <w:rFonts w:hint="eastAsia" w:ascii="Times New Roman" w:hAnsi="Times New Roman" w:eastAsia="仿宋_GB2312"/>
          <w:color w:val="auto"/>
          <w:spacing w:val="0"/>
          <w:sz w:val="32"/>
          <w:szCs w:val="32"/>
          <w:highlight w:val="none"/>
          <w:lang w:eastAsia="zh-CN"/>
        </w:rPr>
        <w:t>，</w:t>
      </w:r>
      <w:r>
        <w:rPr>
          <w:rFonts w:hint="eastAsia" w:ascii="Times New Roman" w:hAnsi="Times New Roman" w:eastAsia="仿宋_GB2312"/>
          <w:color w:val="auto"/>
          <w:spacing w:val="0"/>
          <w:sz w:val="32"/>
          <w:szCs w:val="32"/>
          <w:highlight w:val="none"/>
          <w:lang w:val="en-US" w:eastAsia="zh-CN"/>
        </w:rPr>
        <w:t>增长15.76%,</w:t>
      </w:r>
      <w:r>
        <w:rPr>
          <w:rFonts w:hint="eastAsia" w:ascii="Times New Roman" w:hAnsi="Times New Roman" w:eastAsia="仿宋_GB2312"/>
          <w:color w:val="auto"/>
          <w:spacing w:val="0"/>
          <w:sz w:val="32"/>
          <w:szCs w:val="32"/>
          <w:highlight w:val="none"/>
          <w:lang w:eastAsia="zh-CN"/>
        </w:rPr>
        <w:t>主要原因是：在职人员工资调增，社保及公积金缴费基数调增，</w:t>
      </w:r>
      <w:r>
        <w:rPr>
          <w:rFonts w:hint="eastAsia" w:ascii="Times New Roman" w:hAnsi="Times New Roman" w:eastAsia="仿宋_GB2312"/>
          <w:color w:val="auto"/>
          <w:spacing w:val="0"/>
          <w:sz w:val="32"/>
          <w:szCs w:val="32"/>
          <w:highlight w:val="none"/>
          <w:lang w:val="en-US" w:eastAsia="zh-CN"/>
        </w:rPr>
        <w:t>司法鉴定服务费增加，学生人数增加等</w:t>
      </w:r>
      <w:r>
        <w:rPr>
          <w:rFonts w:hint="eastAsia" w:ascii="Times New Roman" w:hAnsi="Times New Roman" w:eastAsia="仿宋_GB2312"/>
          <w:color w:val="auto"/>
          <w:spacing w:val="0"/>
          <w:sz w:val="32"/>
          <w:szCs w:val="32"/>
          <w:highlight w:val="none"/>
          <w:lang w:eastAsia="zh-CN"/>
        </w:rPr>
        <w:t>。与年初预算相比，年初预算数</w:t>
      </w:r>
      <w:r>
        <w:rPr>
          <w:rFonts w:hint="eastAsia" w:ascii="Times New Roman" w:hAnsi="Times New Roman" w:eastAsia="仿宋_GB2312"/>
          <w:color w:val="auto"/>
          <w:spacing w:val="0"/>
          <w:sz w:val="32"/>
          <w:szCs w:val="32"/>
          <w:highlight w:val="none"/>
          <w:lang w:val="zh-CN" w:eastAsia="zh-CN"/>
        </w:rPr>
        <w:t>15,406.99</w:t>
      </w:r>
      <w:r>
        <w:rPr>
          <w:rFonts w:hint="eastAsia" w:ascii="Times New Roman" w:hAnsi="Times New Roman" w:eastAsia="仿宋_GB2312"/>
          <w:color w:val="auto"/>
          <w:spacing w:val="0"/>
          <w:sz w:val="32"/>
          <w:szCs w:val="32"/>
          <w:highlight w:val="none"/>
          <w:lang w:eastAsia="zh-CN"/>
        </w:rPr>
        <w:t>万元，决算数</w:t>
      </w:r>
      <w:r>
        <w:rPr>
          <w:rFonts w:hint="eastAsia" w:ascii="Times New Roman" w:hAnsi="Times New Roman" w:eastAsia="仿宋_GB2312"/>
          <w:color w:val="auto"/>
          <w:spacing w:val="0"/>
          <w:sz w:val="32"/>
          <w:szCs w:val="32"/>
          <w:highlight w:val="none"/>
          <w:lang w:val="zh-CN" w:eastAsia="zh-CN"/>
        </w:rPr>
        <w:t>21,456.97</w:t>
      </w:r>
      <w:r>
        <w:rPr>
          <w:rFonts w:hint="eastAsia" w:ascii="Times New Roman" w:hAnsi="Times New Roman" w:eastAsia="仿宋_GB2312"/>
          <w:color w:val="auto"/>
          <w:spacing w:val="0"/>
          <w:sz w:val="32"/>
          <w:szCs w:val="32"/>
          <w:highlight w:val="none"/>
          <w:lang w:eastAsia="zh-CN"/>
        </w:rPr>
        <w:t>万元，预决算差异率39.27%，主要原因是：在职人员工资调增，社保及公积金缴费基数调增，</w:t>
      </w:r>
      <w:r>
        <w:rPr>
          <w:rFonts w:hint="eastAsia" w:ascii="Times New Roman" w:hAnsi="Times New Roman" w:eastAsia="仿宋_GB2312"/>
          <w:color w:val="auto"/>
          <w:spacing w:val="0"/>
          <w:sz w:val="32"/>
          <w:szCs w:val="32"/>
          <w:highlight w:val="none"/>
          <w:lang w:val="en-US" w:eastAsia="zh-CN"/>
        </w:rPr>
        <w:t>司法鉴定服务费增加，学生人数增加等</w:t>
      </w:r>
      <w:r>
        <w:rPr>
          <w:rFonts w:hint="eastAsia" w:ascii="Times New Roman" w:hAnsi="Times New Roman" w:eastAsia="仿宋_GB2312"/>
          <w:color w:val="auto"/>
          <w:spacing w:val="0"/>
          <w:sz w:val="32"/>
          <w:szCs w:val="32"/>
          <w:highlight w:val="none"/>
          <w:lang w:eastAsia="zh-CN"/>
        </w:rPr>
        <w:t>。</w:t>
      </w:r>
    </w:p>
    <w:p w14:paraId="35F9403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16" w:name="_Toc13833"/>
      <w:bookmarkStart w:id="17" w:name="_Toc20360"/>
      <w:r>
        <w:rPr>
          <w:rFonts w:hint="eastAsia" w:ascii="Times New Roman" w:hAnsi="Times New Roman" w:eastAsia="黑体" w:cs="宋体"/>
          <w:bCs/>
          <w:color w:val="auto"/>
          <w:kern w:val="0"/>
          <w:sz w:val="32"/>
          <w:szCs w:val="32"/>
          <w:highlight w:val="none"/>
          <w:lang w:eastAsia="zh-CN"/>
        </w:rPr>
        <w:t>五、一般公共预算财政拨款支出决算情况说明</w:t>
      </w:r>
      <w:bookmarkEnd w:id="16"/>
      <w:bookmarkEnd w:id="17"/>
    </w:p>
    <w:p w14:paraId="7FB00E0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olor w:val="auto"/>
          <w:sz w:val="32"/>
          <w:szCs w:val="32"/>
          <w:highlight w:val="none"/>
          <w:lang w:eastAsia="zh-CN"/>
        </w:rPr>
      </w:pPr>
      <w:r>
        <w:rPr>
          <w:rFonts w:hint="eastAsia" w:ascii="Times New Roman" w:hAnsi="Times New Roman" w:eastAsia="黑体"/>
          <w:color w:val="auto"/>
          <w:sz w:val="32"/>
          <w:szCs w:val="32"/>
          <w:highlight w:val="none"/>
          <w:lang w:eastAsia="zh-CN"/>
        </w:rPr>
        <w:t>（一）一般公共预算财政拨款支出决算总体情况</w:t>
      </w:r>
    </w:p>
    <w:p w14:paraId="4EF7391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olor w:val="auto"/>
          <w:spacing w:val="0"/>
          <w:sz w:val="32"/>
          <w:szCs w:val="32"/>
          <w:highlight w:val="none"/>
          <w:lang w:val="en-US" w:eastAsia="zh-CN"/>
        </w:rPr>
      </w:pPr>
      <w:r>
        <w:rPr>
          <w:rFonts w:hint="eastAsia" w:ascii="Times New Roman" w:hAnsi="Times New Roman" w:eastAsia="仿宋_GB2312"/>
          <w:color w:val="auto"/>
          <w:spacing w:val="0"/>
          <w:sz w:val="32"/>
          <w:szCs w:val="32"/>
          <w:highlight w:val="none"/>
          <w:lang w:eastAsia="zh-CN"/>
        </w:rPr>
        <w:t>2023年度一般公共预算财政拨款支出21,096.05万元，占本年支出合计的</w:t>
      </w:r>
      <w:r>
        <w:rPr>
          <w:rFonts w:hint="eastAsia" w:ascii="Times New Roman" w:hAnsi="Times New Roman" w:eastAsia="仿宋_GB2312"/>
          <w:color w:val="auto"/>
          <w:spacing w:val="0"/>
          <w:sz w:val="32"/>
          <w:szCs w:val="32"/>
          <w:highlight w:val="none"/>
          <w:lang w:val="zh-CN" w:eastAsia="zh-CN"/>
        </w:rPr>
        <w:t>84.80%</w:t>
      </w:r>
      <w:r>
        <w:rPr>
          <w:rFonts w:hint="eastAsia" w:ascii="Times New Roman" w:hAnsi="Times New Roman" w:eastAsia="仿宋_GB2312"/>
          <w:color w:val="auto"/>
          <w:spacing w:val="0"/>
          <w:sz w:val="32"/>
          <w:szCs w:val="32"/>
          <w:highlight w:val="none"/>
          <w:lang w:eastAsia="zh-CN"/>
        </w:rPr>
        <w:t>。与上年相比，</w:t>
      </w:r>
      <w:r>
        <w:rPr>
          <w:rFonts w:hint="eastAsia" w:ascii="Times New Roman" w:hAnsi="Times New Roman" w:eastAsia="仿宋_GB2312"/>
          <w:color w:val="auto"/>
          <w:spacing w:val="0"/>
          <w:sz w:val="32"/>
          <w:szCs w:val="32"/>
          <w:highlight w:val="none"/>
          <w:lang w:val="zh-CN" w:eastAsia="zh-CN"/>
        </w:rPr>
        <w:t>增加3,785.51万元</w:t>
      </w:r>
      <w:r>
        <w:rPr>
          <w:rFonts w:hint="eastAsia" w:ascii="Times New Roman" w:hAnsi="Times New Roman" w:eastAsia="仿宋_GB2312"/>
          <w:color w:val="auto"/>
          <w:spacing w:val="0"/>
          <w:sz w:val="32"/>
          <w:szCs w:val="32"/>
          <w:highlight w:val="none"/>
          <w:lang w:eastAsia="zh-CN"/>
        </w:rPr>
        <w:t>，</w:t>
      </w:r>
      <w:r>
        <w:rPr>
          <w:rFonts w:hint="eastAsia" w:ascii="Times New Roman" w:hAnsi="Times New Roman" w:eastAsia="仿宋_GB2312"/>
          <w:color w:val="auto"/>
          <w:spacing w:val="0"/>
          <w:sz w:val="32"/>
          <w:szCs w:val="32"/>
          <w:highlight w:val="none"/>
          <w:lang w:val="en-US" w:eastAsia="zh-CN"/>
        </w:rPr>
        <w:t>增长21.87%,</w:t>
      </w:r>
      <w:r>
        <w:rPr>
          <w:rFonts w:hint="eastAsia" w:ascii="Times New Roman" w:hAnsi="Times New Roman" w:eastAsia="仿宋_GB2312"/>
          <w:color w:val="auto"/>
          <w:spacing w:val="0"/>
          <w:sz w:val="32"/>
          <w:szCs w:val="32"/>
          <w:highlight w:val="none"/>
          <w:lang w:eastAsia="zh-CN"/>
        </w:rPr>
        <w:t>主要原因是：在职人员工资调增，社保及公积金缴费基数调增，</w:t>
      </w:r>
      <w:r>
        <w:rPr>
          <w:rFonts w:hint="eastAsia" w:ascii="Times New Roman" w:hAnsi="Times New Roman" w:eastAsia="仿宋_GB2312"/>
          <w:color w:val="auto"/>
          <w:spacing w:val="0"/>
          <w:sz w:val="32"/>
          <w:szCs w:val="32"/>
          <w:highlight w:val="none"/>
          <w:lang w:val="en-US" w:eastAsia="zh-CN"/>
        </w:rPr>
        <w:t>司法鉴定服务费增加，学生人数增加</w:t>
      </w:r>
      <w:r>
        <w:rPr>
          <w:rFonts w:hint="eastAsia" w:ascii="Times New Roman" w:hAnsi="Times New Roman" w:eastAsia="仿宋_GB2312"/>
          <w:color w:val="auto"/>
          <w:spacing w:val="0"/>
          <w:sz w:val="32"/>
          <w:szCs w:val="32"/>
          <w:highlight w:val="none"/>
          <w:lang w:eastAsia="zh-CN"/>
        </w:rPr>
        <w:t>。与年初预算相比，年初预算数</w:t>
      </w:r>
      <w:r>
        <w:rPr>
          <w:rFonts w:hint="eastAsia" w:ascii="Times New Roman" w:hAnsi="Times New Roman" w:eastAsia="仿宋_GB2312"/>
          <w:color w:val="auto"/>
          <w:spacing w:val="0"/>
          <w:sz w:val="32"/>
          <w:szCs w:val="32"/>
          <w:highlight w:val="none"/>
          <w:lang w:val="zh-CN" w:eastAsia="zh-CN"/>
        </w:rPr>
        <w:t>15,406.99</w:t>
      </w:r>
      <w:r>
        <w:rPr>
          <w:rFonts w:hint="eastAsia" w:ascii="Times New Roman" w:hAnsi="Times New Roman" w:eastAsia="仿宋_GB2312"/>
          <w:color w:val="auto"/>
          <w:spacing w:val="0"/>
          <w:sz w:val="32"/>
          <w:szCs w:val="32"/>
          <w:highlight w:val="none"/>
          <w:lang w:eastAsia="zh-CN"/>
        </w:rPr>
        <w:t>万元，决算数</w:t>
      </w:r>
      <w:r>
        <w:rPr>
          <w:rFonts w:hint="eastAsia" w:ascii="Times New Roman" w:hAnsi="Times New Roman" w:eastAsia="仿宋_GB2312"/>
          <w:color w:val="auto"/>
          <w:spacing w:val="0"/>
          <w:sz w:val="32"/>
          <w:szCs w:val="32"/>
          <w:highlight w:val="none"/>
          <w:lang w:val="zh-CN" w:eastAsia="zh-CN"/>
        </w:rPr>
        <w:t>21,096.05</w:t>
      </w:r>
      <w:r>
        <w:rPr>
          <w:rFonts w:hint="eastAsia" w:ascii="Times New Roman" w:hAnsi="Times New Roman" w:eastAsia="仿宋_GB2312"/>
          <w:color w:val="auto"/>
          <w:spacing w:val="0"/>
          <w:sz w:val="32"/>
          <w:szCs w:val="32"/>
          <w:highlight w:val="none"/>
          <w:lang w:eastAsia="zh-CN"/>
        </w:rPr>
        <w:t>万元，预决算差异率</w:t>
      </w:r>
      <w:r>
        <w:rPr>
          <w:rFonts w:hint="eastAsia" w:ascii="Times New Roman" w:hAnsi="Times New Roman" w:eastAsia="仿宋_GB2312"/>
          <w:color w:val="auto"/>
          <w:spacing w:val="0"/>
          <w:sz w:val="32"/>
          <w:szCs w:val="32"/>
          <w:highlight w:val="none"/>
          <w:lang w:val="zh-CN" w:eastAsia="zh-CN"/>
        </w:rPr>
        <w:t>36.93%</w:t>
      </w:r>
      <w:r>
        <w:rPr>
          <w:rFonts w:hint="eastAsia" w:ascii="Times New Roman" w:hAnsi="Times New Roman" w:eastAsia="仿宋_GB2312"/>
          <w:color w:val="auto"/>
          <w:spacing w:val="0"/>
          <w:sz w:val="32"/>
          <w:szCs w:val="32"/>
          <w:highlight w:val="none"/>
          <w:lang w:eastAsia="zh-CN"/>
        </w:rPr>
        <w:t>，主要原因是：在职人员工资调增，社保及公积金缴费基数调增，</w:t>
      </w:r>
      <w:r>
        <w:rPr>
          <w:rFonts w:hint="eastAsia" w:ascii="Times New Roman" w:hAnsi="Times New Roman" w:eastAsia="仿宋_GB2312"/>
          <w:color w:val="auto"/>
          <w:spacing w:val="0"/>
          <w:sz w:val="32"/>
          <w:szCs w:val="32"/>
          <w:highlight w:val="none"/>
          <w:lang w:val="en-US" w:eastAsia="zh-CN"/>
        </w:rPr>
        <w:t>司法鉴定服务费增加，学生人数增加</w:t>
      </w:r>
      <w:r>
        <w:rPr>
          <w:rFonts w:hint="eastAsia" w:ascii="Times New Roman" w:hAnsi="Times New Roman" w:eastAsia="仿宋_GB2312"/>
          <w:color w:val="auto"/>
          <w:spacing w:val="0"/>
          <w:sz w:val="32"/>
          <w:szCs w:val="32"/>
          <w:highlight w:val="none"/>
          <w:lang w:eastAsia="zh-CN"/>
        </w:rPr>
        <w:t>。</w:t>
      </w:r>
    </w:p>
    <w:p w14:paraId="0910986F">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olor w:val="auto"/>
          <w:sz w:val="32"/>
          <w:szCs w:val="32"/>
          <w:highlight w:val="none"/>
          <w:lang w:eastAsia="zh-CN"/>
        </w:rPr>
      </w:pPr>
      <w:r>
        <w:rPr>
          <w:rFonts w:hint="eastAsia" w:ascii="Times New Roman" w:hAnsi="Times New Roman" w:eastAsia="黑体"/>
          <w:color w:val="auto"/>
          <w:sz w:val="32"/>
          <w:szCs w:val="32"/>
          <w:highlight w:val="none"/>
          <w:lang w:eastAsia="zh-CN"/>
        </w:rPr>
        <w:t>一般公共预算</w:t>
      </w:r>
      <w:r>
        <w:rPr>
          <w:rFonts w:hint="eastAsia" w:ascii="Times New Roman" w:hAnsi="Times New Roman" w:eastAsia="黑体"/>
          <w:color w:val="auto"/>
          <w:sz w:val="32"/>
          <w:szCs w:val="32"/>
          <w:highlight w:val="none"/>
          <w:lang w:val="en-US" w:eastAsia="zh-CN"/>
        </w:rPr>
        <w:t>财政拨款支出决算</w:t>
      </w:r>
      <w:r>
        <w:rPr>
          <w:rFonts w:hint="eastAsia" w:ascii="Times New Roman" w:hAnsi="Times New Roman" w:eastAsia="黑体"/>
          <w:color w:val="auto"/>
          <w:sz w:val="32"/>
          <w:szCs w:val="32"/>
          <w:highlight w:val="none"/>
          <w:lang w:eastAsia="zh-CN"/>
        </w:rPr>
        <w:t>结构情况</w:t>
      </w:r>
    </w:p>
    <w:p w14:paraId="04180421">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highlight w:val="none"/>
          <w:lang w:val="zh-CN" w:eastAsia="zh-CN" w:bidi="ar-SA"/>
        </w:rPr>
        <w:t>1.公共安全类支出（类）</w:t>
      </w:r>
      <w:r>
        <w:rPr>
          <w:rFonts w:hint="eastAsia" w:ascii="Times New Roman" w:hAnsi="Times New Roman" w:eastAsia="仿宋_GB2312" w:cs="Times New Roman"/>
          <w:color w:val="auto"/>
          <w:spacing w:val="0"/>
          <w:kern w:val="2"/>
          <w:sz w:val="32"/>
          <w:szCs w:val="32"/>
          <w:highlight w:val="none"/>
          <w:lang w:val="zh-CN" w:eastAsia="zh-CN" w:bidi="ar-SA"/>
        </w:rPr>
        <w:t>1,230.40</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spacing w:val="0"/>
          <w:kern w:val="2"/>
          <w:sz w:val="32"/>
          <w:szCs w:val="32"/>
          <w:highlight w:val="none"/>
          <w:lang w:val="zh-CN" w:eastAsia="zh-CN" w:bidi="ar-SA"/>
        </w:rPr>
        <w:t>5.83%</w:t>
      </w:r>
      <w:r>
        <w:rPr>
          <w:rFonts w:hint="default" w:ascii="Times New Roman" w:hAnsi="Times New Roman" w:eastAsia="仿宋_GB2312" w:cs="Times New Roman"/>
          <w:color w:val="auto"/>
          <w:spacing w:val="0"/>
          <w:kern w:val="2"/>
          <w:sz w:val="32"/>
          <w:szCs w:val="32"/>
          <w:highlight w:val="none"/>
          <w:lang w:val="zh-CN" w:eastAsia="zh-CN" w:bidi="ar-SA"/>
        </w:rPr>
        <w:t>；</w:t>
      </w:r>
    </w:p>
    <w:p w14:paraId="4723CEF2">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red"/>
          <w:lang w:val="zh-CN" w:eastAsia="zh-CN" w:bidi="ar-SA"/>
        </w:rPr>
      </w:pPr>
      <w:r>
        <w:rPr>
          <w:rFonts w:hint="eastAsia" w:ascii="Times New Roman" w:hAnsi="Times New Roman" w:eastAsia="仿宋_GB2312" w:cs="Times New Roman"/>
          <w:color w:val="auto"/>
          <w:spacing w:val="0"/>
          <w:kern w:val="2"/>
          <w:sz w:val="32"/>
          <w:szCs w:val="32"/>
          <w:highlight w:val="none"/>
          <w:lang w:val="en-US" w:eastAsia="zh-CN" w:bidi="ar-SA"/>
        </w:rPr>
        <w:t>2</w:t>
      </w:r>
      <w:r>
        <w:rPr>
          <w:rFonts w:hint="default" w:ascii="Times New Roman" w:hAnsi="Times New Roman" w:eastAsia="仿宋_GB2312" w:cs="Times New Roman"/>
          <w:color w:val="auto"/>
          <w:spacing w:val="0"/>
          <w:kern w:val="2"/>
          <w:sz w:val="32"/>
          <w:szCs w:val="32"/>
          <w:highlight w:val="none"/>
          <w:lang w:val="zh-CN" w:eastAsia="zh-CN" w:bidi="ar-SA"/>
        </w:rPr>
        <w:t>.教育支出（类）</w:t>
      </w:r>
      <w:r>
        <w:rPr>
          <w:rFonts w:hint="eastAsia" w:ascii="Times New Roman" w:hAnsi="Times New Roman" w:eastAsia="仿宋_GB2312" w:cs="Times New Roman"/>
          <w:color w:val="auto"/>
          <w:spacing w:val="0"/>
          <w:kern w:val="2"/>
          <w:sz w:val="32"/>
          <w:szCs w:val="32"/>
          <w:highlight w:val="none"/>
          <w:lang w:val="zh-CN" w:eastAsia="zh-CN" w:bidi="ar-SA"/>
        </w:rPr>
        <w:t>19,865.66</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spacing w:val="0"/>
          <w:kern w:val="2"/>
          <w:sz w:val="32"/>
          <w:szCs w:val="32"/>
          <w:highlight w:val="none"/>
          <w:lang w:val="zh-CN" w:eastAsia="zh-CN" w:bidi="ar-SA"/>
        </w:rPr>
        <w:t>94.17%。</w:t>
      </w:r>
    </w:p>
    <w:p w14:paraId="23A6DB3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olor w:val="auto"/>
          <w:sz w:val="32"/>
          <w:szCs w:val="32"/>
          <w:highlight w:val="none"/>
          <w:lang w:eastAsia="zh-CN"/>
        </w:rPr>
      </w:pPr>
      <w:r>
        <w:rPr>
          <w:rFonts w:hint="eastAsia" w:ascii="Times New Roman" w:hAnsi="Times New Roman" w:eastAsia="黑体"/>
          <w:color w:val="auto"/>
          <w:sz w:val="32"/>
          <w:szCs w:val="32"/>
          <w:highlight w:val="none"/>
          <w:lang w:eastAsia="zh-CN"/>
        </w:rPr>
        <w:t>（三）一般公共预算财政拨款支出决算具体情况</w:t>
      </w:r>
    </w:p>
    <w:p w14:paraId="631DCB1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1.公共安全支出（类）公安（款）其他公安支出（项）:支出决算数为1,230.40万元，比上年决算增加468.54万元，增长61.50%，主要原因是：</w:t>
      </w:r>
      <w:r>
        <w:rPr>
          <w:rFonts w:hint="eastAsia" w:ascii="Times New Roman" w:hAnsi="Times New Roman" w:eastAsia="仿宋_GB2312" w:cs="Times New Roman"/>
          <w:color w:val="auto"/>
          <w:kern w:val="2"/>
          <w:sz w:val="32"/>
          <w:szCs w:val="32"/>
          <w:highlight w:val="none"/>
          <w:lang w:val="zh-CN" w:eastAsia="zh-CN" w:bidi="ar-SA"/>
        </w:rPr>
        <w:t>公安政法转移专项资金</w:t>
      </w:r>
      <w:r>
        <w:rPr>
          <w:rFonts w:hint="eastAsia" w:ascii="Times New Roman" w:hAnsi="Times New Roman" w:eastAsia="仿宋_GB2312" w:cs="Times New Roman"/>
          <w:color w:val="auto"/>
          <w:kern w:val="2"/>
          <w:sz w:val="32"/>
          <w:szCs w:val="32"/>
          <w:highlight w:val="none"/>
          <w:lang w:val="en-US" w:eastAsia="zh-CN" w:bidi="ar-SA"/>
        </w:rPr>
        <w:t>增加</w:t>
      </w:r>
      <w:r>
        <w:rPr>
          <w:rFonts w:hint="eastAsia" w:ascii="Times New Roman" w:hAnsi="Times New Roman" w:eastAsia="仿宋_GB2312" w:cs="仿宋_GB2312"/>
          <w:color w:val="auto"/>
          <w:kern w:val="2"/>
          <w:sz w:val="32"/>
          <w:szCs w:val="32"/>
          <w:highlight w:val="none"/>
          <w:lang w:val="zh-CN" w:eastAsia="zh-CN" w:bidi="ar-SA"/>
        </w:rPr>
        <w:t>。</w:t>
      </w:r>
    </w:p>
    <w:p w14:paraId="44354A2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2.教育支出（类）职业教育（款）中等职业教育（项）:支出决算数为1,011.93万元，比上年决算增加230.16万元，增长29.44%，主要原因是：</w:t>
      </w:r>
      <w:r>
        <w:rPr>
          <w:rFonts w:hint="eastAsia" w:ascii="Times New Roman" w:hAnsi="Times New Roman" w:eastAsia="仿宋_GB2312" w:cs="Times New Roman"/>
          <w:color w:val="auto"/>
          <w:kern w:val="2"/>
          <w:sz w:val="32"/>
          <w:szCs w:val="32"/>
          <w:highlight w:val="none"/>
          <w:lang w:val="en-US" w:eastAsia="zh-CN" w:bidi="ar-SA"/>
        </w:rPr>
        <w:t>附属保安学校学生人数增加</w:t>
      </w:r>
      <w:r>
        <w:rPr>
          <w:rFonts w:hint="eastAsia" w:ascii="Times New Roman" w:hAnsi="Times New Roman" w:eastAsia="仿宋_GB2312" w:cs="仿宋_GB2312"/>
          <w:color w:val="auto"/>
          <w:kern w:val="2"/>
          <w:sz w:val="32"/>
          <w:szCs w:val="32"/>
          <w:highlight w:val="none"/>
          <w:lang w:val="zh-CN" w:eastAsia="zh-CN" w:bidi="ar-SA"/>
        </w:rPr>
        <w:t>。</w:t>
      </w:r>
    </w:p>
    <w:p w14:paraId="28C37AA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3.教育支出（类）普通教育（款）高等教育（项）:支出决算数为18,853.73万元，比上年决算增加3,086.82万元，增长19.58%，主要原因是：</w:t>
      </w:r>
      <w:r>
        <w:rPr>
          <w:rFonts w:hint="eastAsia" w:ascii="Times New Roman" w:hAnsi="Times New Roman" w:eastAsia="仿宋_GB2312" w:cs="Times New Roman"/>
          <w:color w:val="auto"/>
          <w:kern w:val="2"/>
          <w:sz w:val="32"/>
          <w:szCs w:val="32"/>
          <w:highlight w:val="none"/>
          <w:lang w:val="zh-CN" w:eastAsia="zh-CN" w:bidi="ar-SA"/>
        </w:rPr>
        <w:t>学生人数增加，地方高校专项经费增加</w:t>
      </w:r>
      <w:r>
        <w:rPr>
          <w:rFonts w:hint="eastAsia" w:ascii="Times New Roman" w:hAnsi="Times New Roman" w:eastAsia="仿宋_GB2312" w:cs="仿宋_GB2312"/>
          <w:color w:val="auto"/>
          <w:kern w:val="2"/>
          <w:sz w:val="32"/>
          <w:szCs w:val="32"/>
          <w:highlight w:val="none"/>
          <w:lang w:val="zh-CN" w:eastAsia="zh-CN" w:bidi="ar-SA"/>
        </w:rPr>
        <w:t>。</w:t>
      </w:r>
    </w:p>
    <w:p w14:paraId="3AA1608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r>
        <w:rPr>
          <w:rFonts w:hint="eastAsia" w:ascii="Times New Roman" w:hAnsi="Times New Roman" w:eastAsia="黑体" w:cs="宋体"/>
          <w:bCs/>
          <w:color w:val="auto"/>
          <w:kern w:val="0"/>
          <w:sz w:val="32"/>
          <w:szCs w:val="32"/>
          <w:highlight w:val="none"/>
          <w:lang w:eastAsia="zh-CN"/>
        </w:rPr>
        <w:t>六、一般公共预算财政拨款基本支出决算情况说明</w:t>
      </w:r>
    </w:p>
    <w:p w14:paraId="6399722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pacing w:val="0"/>
          <w:sz w:val="32"/>
          <w:szCs w:val="32"/>
          <w:highlight w:val="none"/>
          <w:lang w:eastAsia="zh-CN"/>
        </w:rPr>
        <w:t>2023年度</w:t>
      </w:r>
      <w:r>
        <w:rPr>
          <w:rFonts w:hint="eastAsia" w:ascii="Times New Roman" w:hAnsi="Times New Roman" w:eastAsia="仿宋_GB2312"/>
          <w:color w:val="auto"/>
          <w:sz w:val="32"/>
          <w:szCs w:val="32"/>
          <w:highlight w:val="none"/>
        </w:rPr>
        <w:t>一般公共预算财政拨款基本支出</w:t>
      </w:r>
      <w:r>
        <w:rPr>
          <w:rFonts w:hint="eastAsia" w:ascii="Times New Roman" w:hAnsi="Times New Roman" w:eastAsia="仿宋_GB2312"/>
          <w:color w:val="auto"/>
          <w:sz w:val="32"/>
          <w:szCs w:val="32"/>
          <w:highlight w:val="none"/>
          <w:lang w:eastAsia="zh-CN"/>
        </w:rPr>
        <w:t>15,435.01</w:t>
      </w:r>
      <w:r>
        <w:rPr>
          <w:rFonts w:hint="eastAsia" w:ascii="Times New Roman" w:hAnsi="Times New Roman" w:eastAsia="仿宋_GB2312"/>
          <w:color w:val="auto"/>
          <w:sz w:val="32"/>
          <w:szCs w:val="32"/>
          <w:highlight w:val="none"/>
        </w:rPr>
        <w:t>万元，其中：人员经费</w:t>
      </w:r>
      <w:r>
        <w:rPr>
          <w:rFonts w:hint="eastAsia" w:ascii="Times New Roman" w:hAnsi="Times New Roman" w:eastAsia="仿宋_GB2312"/>
          <w:color w:val="auto"/>
          <w:sz w:val="32"/>
          <w:szCs w:val="32"/>
          <w:highlight w:val="none"/>
          <w:lang w:eastAsia="zh-CN"/>
        </w:rPr>
        <w:t>13,968.63</w:t>
      </w:r>
      <w:r>
        <w:rPr>
          <w:rFonts w:hint="eastAsia" w:ascii="Times New Roman" w:hAnsi="Times New Roman" w:eastAsia="仿宋_GB2312"/>
          <w:color w:val="auto"/>
          <w:sz w:val="32"/>
          <w:szCs w:val="32"/>
          <w:highlight w:val="none"/>
        </w:rPr>
        <w:t>万元，包括：</w:t>
      </w:r>
      <w:r>
        <w:rPr>
          <w:rFonts w:hint="eastAsia" w:ascii="Times New Roman" w:hAnsi="Times New Roman"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医疗费、其他工资福利支出、离休费、退休费、抚恤金、生活补助、助学金、奖励金、其他对个人和家庭的补助。</w:t>
      </w:r>
    </w:p>
    <w:p w14:paraId="1BC4792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rPr>
        <w:t>公用经费</w:t>
      </w:r>
      <w:r>
        <w:rPr>
          <w:rFonts w:hint="eastAsia" w:ascii="Times New Roman" w:hAnsi="Times New Roman" w:eastAsia="仿宋_GB2312"/>
          <w:color w:val="auto"/>
          <w:sz w:val="32"/>
          <w:szCs w:val="32"/>
          <w:highlight w:val="none"/>
          <w:lang w:eastAsia="zh-CN"/>
        </w:rPr>
        <w:t>1,466.37</w:t>
      </w:r>
      <w:r>
        <w:rPr>
          <w:rFonts w:hint="eastAsia" w:ascii="Times New Roman" w:hAnsi="Times New Roman" w:eastAsia="仿宋_GB2312"/>
          <w:color w:val="auto"/>
          <w:sz w:val="32"/>
          <w:szCs w:val="32"/>
          <w:highlight w:val="none"/>
        </w:rPr>
        <w:t>万元，包括：</w:t>
      </w:r>
      <w:r>
        <w:rPr>
          <w:rFonts w:hint="eastAsia" w:ascii="Times New Roman" w:hAnsi="Times New Roman" w:eastAsia="仿宋_GB2312"/>
          <w:color w:val="auto"/>
          <w:sz w:val="32"/>
          <w:szCs w:val="32"/>
          <w:highlight w:val="none"/>
          <w:lang w:val="en-US" w:eastAsia="zh-CN"/>
        </w:rPr>
        <w:t>办公费、印刷费、水费、电费、邮电费、取暖费、物业管理费、差旅费、维修（护）费、租赁费、培训费、公务接待费、专用材料费、被装购置费、劳务费、委托业务费、工会经费、福利费、公务用车运行维护费、其他交通费用、其他商品和服务支出、专用设备购置。</w:t>
      </w:r>
    </w:p>
    <w:p w14:paraId="4F47802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r>
        <w:rPr>
          <w:rFonts w:hint="eastAsia" w:ascii="Times New Roman" w:hAnsi="Times New Roman" w:eastAsia="黑体" w:cs="宋体"/>
          <w:bCs/>
          <w:color w:val="auto"/>
          <w:kern w:val="0"/>
          <w:sz w:val="32"/>
          <w:szCs w:val="32"/>
          <w:highlight w:val="none"/>
          <w:lang w:val="en-US" w:eastAsia="zh-CN"/>
        </w:rPr>
        <w:t>七、</w:t>
      </w:r>
      <w:r>
        <w:rPr>
          <w:rFonts w:hint="eastAsia" w:ascii="Times New Roman" w:hAnsi="Times New Roman" w:eastAsia="黑体" w:cs="宋体"/>
          <w:bCs/>
          <w:color w:val="auto"/>
          <w:kern w:val="0"/>
          <w:sz w:val="32"/>
          <w:szCs w:val="32"/>
          <w:highlight w:val="none"/>
          <w:lang w:eastAsia="zh-CN"/>
        </w:rPr>
        <w:t>财政拨款</w:t>
      </w:r>
      <w:r>
        <w:rPr>
          <w:rFonts w:hint="eastAsia" w:ascii="Times New Roman" w:hAnsi="Times New Roman" w:eastAsia="黑体" w:cs="宋体"/>
          <w:bCs/>
          <w:color w:val="auto"/>
          <w:kern w:val="0"/>
          <w:sz w:val="32"/>
          <w:szCs w:val="32"/>
          <w:highlight w:val="none"/>
        </w:rPr>
        <w:t>“三公”经费支出</w:t>
      </w:r>
      <w:r>
        <w:rPr>
          <w:rFonts w:hint="eastAsia" w:ascii="Times New Roman" w:hAnsi="Times New Roman" w:eastAsia="黑体" w:cs="宋体"/>
          <w:bCs/>
          <w:color w:val="auto"/>
          <w:kern w:val="0"/>
          <w:sz w:val="32"/>
          <w:szCs w:val="32"/>
          <w:highlight w:val="none"/>
          <w:lang w:eastAsia="zh-CN"/>
        </w:rPr>
        <w:t>决算</w:t>
      </w:r>
      <w:r>
        <w:rPr>
          <w:rFonts w:hint="eastAsia" w:ascii="Times New Roman" w:hAnsi="Times New Roman" w:eastAsia="黑体" w:cs="宋体"/>
          <w:bCs/>
          <w:color w:val="auto"/>
          <w:kern w:val="0"/>
          <w:sz w:val="32"/>
          <w:szCs w:val="32"/>
          <w:highlight w:val="none"/>
        </w:rPr>
        <w:t>情况</w:t>
      </w:r>
      <w:r>
        <w:rPr>
          <w:rFonts w:hint="eastAsia" w:ascii="Times New Roman" w:hAnsi="Times New Roman" w:eastAsia="黑体" w:cs="宋体"/>
          <w:bCs/>
          <w:color w:val="auto"/>
          <w:kern w:val="0"/>
          <w:sz w:val="32"/>
          <w:szCs w:val="32"/>
          <w:highlight w:val="none"/>
          <w:lang w:eastAsia="zh-CN"/>
        </w:rPr>
        <w:t>说明</w:t>
      </w:r>
    </w:p>
    <w:p w14:paraId="5522958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zh-CN" w:eastAsia="zh-CN"/>
        </w:rPr>
        <w:t>2023年度</w:t>
      </w:r>
      <w:r>
        <w:rPr>
          <w:rFonts w:hint="eastAsia" w:ascii="Times New Roman" w:hAnsi="Times New Roman" w:eastAsia="仿宋_GB2312"/>
          <w:color w:val="auto"/>
          <w:sz w:val="32"/>
          <w:szCs w:val="32"/>
          <w:highlight w:val="none"/>
          <w:lang w:val="en-US" w:eastAsia="zh-CN"/>
        </w:rPr>
        <w:t>财政拨款</w:t>
      </w:r>
      <w:r>
        <w:rPr>
          <w:rFonts w:hint="eastAsia" w:ascii="Times New Roman" w:hAnsi="Times New Roman" w:eastAsia="仿宋_GB2312"/>
          <w:color w:val="auto"/>
          <w:sz w:val="32"/>
          <w:szCs w:val="32"/>
          <w:highlight w:val="none"/>
          <w:lang w:val="zh-CN" w:eastAsia="zh-CN"/>
        </w:rPr>
        <w:t>“三公”经费支出61.00万元，</w:t>
      </w:r>
      <w:r>
        <w:rPr>
          <w:rFonts w:hint="eastAsia" w:ascii="Times New Roman" w:hAnsi="Times New Roman" w:eastAsia="仿宋_GB2312"/>
          <w:color w:val="auto"/>
          <w:sz w:val="32"/>
          <w:szCs w:val="32"/>
          <w:highlight w:val="none"/>
          <w:lang w:val="en-US" w:eastAsia="zh-CN"/>
        </w:rPr>
        <w:t>比上年</w:t>
      </w:r>
      <w:r>
        <w:rPr>
          <w:rFonts w:hint="eastAsia" w:ascii="Times New Roman" w:hAnsi="Times New Roman" w:eastAsia="仿宋_GB2312"/>
          <w:color w:val="auto"/>
          <w:sz w:val="32"/>
          <w:szCs w:val="32"/>
          <w:highlight w:val="none"/>
          <w:lang w:val="zh-CN" w:eastAsia="zh-CN"/>
        </w:rPr>
        <w:t>增加21.93万元，</w:t>
      </w:r>
      <w:r>
        <w:rPr>
          <w:rFonts w:hint="eastAsia" w:ascii="Times New Roman" w:hAnsi="Times New Roman" w:eastAsia="仿宋_GB2312"/>
          <w:color w:val="auto"/>
          <w:spacing w:val="0"/>
          <w:sz w:val="32"/>
          <w:szCs w:val="32"/>
          <w:highlight w:val="none"/>
          <w:lang w:val="en-US" w:eastAsia="zh-CN"/>
        </w:rPr>
        <w:t>增长56.13%,</w:t>
      </w:r>
      <w:r>
        <w:rPr>
          <w:rFonts w:hint="eastAsia" w:ascii="Times New Roman" w:hAnsi="Times New Roman" w:eastAsia="仿宋_GB2312"/>
          <w:color w:val="auto"/>
          <w:sz w:val="32"/>
          <w:szCs w:val="32"/>
          <w:highlight w:val="none"/>
          <w:lang w:val="zh-CN" w:eastAsia="zh-CN"/>
        </w:rPr>
        <w:t>主要原因是：</w:t>
      </w:r>
      <w:r>
        <w:rPr>
          <w:rFonts w:hint="eastAsia" w:ascii="Times New Roman" w:hAnsi="Times New Roman" w:eastAsia="仿宋_GB2312"/>
          <w:color w:val="auto"/>
          <w:sz w:val="32"/>
          <w:szCs w:val="32"/>
          <w:highlight w:val="none"/>
          <w:lang w:val="en-US" w:eastAsia="zh-CN"/>
        </w:rPr>
        <w:t>车辆运行维护费增加，外省公安院校交流学校，检查工作次数及人次增加，食宿费增加</w:t>
      </w:r>
      <w:r>
        <w:rPr>
          <w:rFonts w:hint="eastAsia" w:ascii="Times New Roman" w:hAnsi="Times New Roman" w:eastAsia="仿宋_GB2312"/>
          <w:color w:val="auto"/>
          <w:sz w:val="32"/>
          <w:szCs w:val="32"/>
          <w:highlight w:val="none"/>
          <w:lang w:val="zh-CN" w:eastAsia="zh-CN"/>
        </w:rPr>
        <w:t>。其中：因公出国（境）费支出0.00万元，占0.00%，比上年增加0.00万元，</w:t>
      </w:r>
      <w:r>
        <w:rPr>
          <w:rFonts w:hint="eastAsia" w:ascii="Times New Roman" w:hAnsi="Times New Roman" w:eastAsia="仿宋_GB2312"/>
          <w:color w:val="auto"/>
          <w:spacing w:val="0"/>
          <w:sz w:val="32"/>
          <w:szCs w:val="32"/>
          <w:highlight w:val="none"/>
          <w:lang w:val="en-US" w:eastAsia="zh-CN"/>
        </w:rPr>
        <w:t>增长0.00%,</w:t>
      </w:r>
      <w:r>
        <w:rPr>
          <w:rFonts w:hint="eastAsia" w:ascii="Times New Roman" w:hAnsi="Times New Roman" w:eastAsia="仿宋_GB2312"/>
          <w:color w:val="auto"/>
          <w:sz w:val="32"/>
          <w:szCs w:val="32"/>
          <w:highlight w:val="none"/>
          <w:lang w:val="zh-CN" w:eastAsia="zh-CN"/>
        </w:rPr>
        <w:t>主要原因是：</w:t>
      </w:r>
      <w:r>
        <w:rPr>
          <w:rFonts w:hint="eastAsia" w:ascii="Times New Roman" w:hAnsi="Times New Roman" w:eastAsia="仿宋_GB2312"/>
          <w:color w:val="auto"/>
          <w:sz w:val="32"/>
          <w:szCs w:val="32"/>
          <w:highlight w:val="none"/>
          <w:lang w:val="en-US" w:eastAsia="zh-CN"/>
        </w:rPr>
        <w:t>我部门无</w:t>
      </w:r>
      <w:r>
        <w:rPr>
          <w:rFonts w:hint="eastAsia" w:ascii="Times New Roman" w:hAnsi="Times New Roman" w:eastAsia="仿宋_GB2312"/>
          <w:color w:val="auto"/>
          <w:sz w:val="32"/>
          <w:szCs w:val="32"/>
          <w:highlight w:val="none"/>
          <w:lang w:val="zh-CN" w:eastAsia="zh-CN"/>
        </w:rPr>
        <w:t>因公出国（境）费；公务用车购置及运行维护费支出52.00万元，占85.25%，比上年增加14.00万元，</w:t>
      </w:r>
      <w:r>
        <w:rPr>
          <w:rFonts w:hint="eastAsia" w:ascii="Times New Roman" w:hAnsi="Times New Roman" w:eastAsia="仿宋_GB2312"/>
          <w:color w:val="auto"/>
          <w:spacing w:val="0"/>
          <w:sz w:val="32"/>
          <w:szCs w:val="32"/>
          <w:highlight w:val="none"/>
          <w:lang w:val="en-US" w:eastAsia="zh-CN"/>
        </w:rPr>
        <w:t>增长36.84%,</w:t>
      </w:r>
      <w:r>
        <w:rPr>
          <w:rFonts w:hint="eastAsia" w:ascii="Times New Roman" w:hAnsi="Times New Roman" w:eastAsia="仿宋_GB2312"/>
          <w:color w:val="auto"/>
          <w:sz w:val="32"/>
          <w:szCs w:val="32"/>
          <w:highlight w:val="none"/>
          <w:lang w:val="zh-CN" w:eastAsia="zh-CN"/>
        </w:rPr>
        <w:t>主要原因是：</w:t>
      </w:r>
      <w:r>
        <w:rPr>
          <w:rFonts w:hint="eastAsia" w:ascii="Times New Roman" w:hAnsi="Times New Roman" w:eastAsia="仿宋_GB2312"/>
          <w:color w:val="auto"/>
          <w:sz w:val="32"/>
          <w:szCs w:val="32"/>
          <w:highlight w:val="none"/>
          <w:lang w:val="en-US" w:eastAsia="zh-CN"/>
        </w:rPr>
        <w:t>车辆维修维护费增加</w:t>
      </w:r>
      <w:r>
        <w:rPr>
          <w:rFonts w:hint="eastAsia" w:ascii="Times New Roman" w:hAnsi="Times New Roman" w:eastAsia="仿宋_GB2312"/>
          <w:color w:val="auto"/>
          <w:sz w:val="32"/>
          <w:szCs w:val="32"/>
          <w:highlight w:val="none"/>
          <w:lang w:val="zh-CN" w:eastAsia="zh-CN"/>
        </w:rPr>
        <w:t>；公务接待费支出9.00万元，占14.75%，比上年增加7.93万元，</w:t>
      </w:r>
      <w:r>
        <w:rPr>
          <w:rFonts w:hint="eastAsia" w:ascii="Times New Roman" w:hAnsi="Times New Roman" w:eastAsia="仿宋_GB2312"/>
          <w:color w:val="auto"/>
          <w:spacing w:val="0"/>
          <w:sz w:val="32"/>
          <w:szCs w:val="32"/>
          <w:highlight w:val="none"/>
          <w:lang w:val="en-US" w:eastAsia="zh-CN"/>
        </w:rPr>
        <w:t>增长741.12%,</w:t>
      </w:r>
      <w:r>
        <w:rPr>
          <w:rFonts w:hint="eastAsia" w:ascii="Times New Roman" w:hAnsi="Times New Roman" w:eastAsia="仿宋_GB2312"/>
          <w:color w:val="auto"/>
          <w:sz w:val="32"/>
          <w:szCs w:val="32"/>
          <w:highlight w:val="none"/>
          <w:lang w:val="zh-CN" w:eastAsia="zh-CN"/>
        </w:rPr>
        <w:t>主要原因是：</w:t>
      </w:r>
      <w:r>
        <w:rPr>
          <w:rFonts w:hint="eastAsia" w:ascii="Times New Roman" w:hAnsi="Times New Roman" w:eastAsia="仿宋_GB2312"/>
          <w:color w:val="auto"/>
          <w:sz w:val="32"/>
          <w:szCs w:val="32"/>
          <w:highlight w:val="none"/>
          <w:lang w:val="en-US" w:eastAsia="zh-CN"/>
        </w:rPr>
        <w:t>外省公安院校交流学校，检查工作次数及人次增加，食宿费增加</w:t>
      </w:r>
      <w:r>
        <w:rPr>
          <w:rFonts w:hint="eastAsia" w:ascii="Times New Roman" w:hAnsi="Times New Roman" w:eastAsia="仿宋_GB2312"/>
          <w:color w:val="auto"/>
          <w:sz w:val="32"/>
          <w:szCs w:val="32"/>
          <w:highlight w:val="none"/>
          <w:lang w:val="zh-CN" w:eastAsia="zh-CN"/>
        </w:rPr>
        <w:t>。</w:t>
      </w:r>
    </w:p>
    <w:p w14:paraId="7A71F931">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Times New Roman" w:hAnsi="Times New Roman" w:eastAsia="仿宋_GB2312"/>
          <w:b/>
          <w:bCs/>
          <w:color w:val="auto"/>
          <w:sz w:val="32"/>
          <w:szCs w:val="32"/>
          <w:highlight w:val="none"/>
          <w:lang w:val="zh-CN" w:eastAsia="zh-CN"/>
        </w:rPr>
      </w:pPr>
      <w:r>
        <w:rPr>
          <w:rFonts w:hint="eastAsia" w:ascii="Times New Roman" w:hAnsi="Times New Roman" w:eastAsia="仿宋_GB2312"/>
          <w:b/>
          <w:bCs/>
          <w:color w:val="auto"/>
          <w:sz w:val="32"/>
          <w:szCs w:val="32"/>
          <w:highlight w:val="none"/>
          <w:lang w:val="zh-CN" w:eastAsia="zh-CN"/>
        </w:rPr>
        <w:t>具体情况如下：</w:t>
      </w:r>
    </w:p>
    <w:p w14:paraId="5CF2814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zh-CN" w:eastAsia="zh-CN"/>
        </w:rPr>
        <w:t>因公出国（境）费支出0.00万元，开支内容包括</w:t>
      </w:r>
      <w:r>
        <w:rPr>
          <w:rFonts w:hint="eastAsia" w:ascii="Times New Roman" w:hAnsi="Times New Roman" w:eastAsia="仿宋_GB2312"/>
          <w:color w:val="auto"/>
          <w:sz w:val="32"/>
          <w:szCs w:val="32"/>
          <w:highlight w:val="none"/>
          <w:lang w:val="en-US" w:eastAsia="zh-CN"/>
        </w:rPr>
        <w:t>我部门无</w:t>
      </w:r>
      <w:r>
        <w:rPr>
          <w:rFonts w:hint="eastAsia" w:ascii="Times New Roman" w:hAnsi="Times New Roman" w:eastAsia="仿宋_GB2312"/>
          <w:color w:val="auto"/>
          <w:sz w:val="32"/>
          <w:szCs w:val="32"/>
          <w:highlight w:val="none"/>
          <w:lang w:val="zh-CN" w:eastAsia="zh-CN"/>
        </w:rPr>
        <w:t>因公出国（境）费。单位全年安排的因公出国（境）团组0个，因公出国（境）0人次。</w:t>
      </w:r>
    </w:p>
    <w:p w14:paraId="57D1ECF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zh-CN" w:eastAsia="zh-CN"/>
        </w:rPr>
        <w:t>公务用车购置及运行维护费52.00万元，其中：公务用车购置费0.00万元，公务用车运行维护费52.00万元。公务用车运行维护费开支内容包括</w:t>
      </w:r>
      <w:r>
        <w:rPr>
          <w:rFonts w:hint="eastAsia" w:ascii="Times New Roman" w:hAnsi="Times New Roman" w:eastAsia="仿宋_GB2312"/>
          <w:color w:val="auto"/>
          <w:sz w:val="32"/>
          <w:szCs w:val="32"/>
          <w:highlight w:val="none"/>
          <w:lang w:val="en-US" w:eastAsia="zh-CN"/>
        </w:rPr>
        <w:t>车辆维修维护费，车辆保险费，车辆燃油费等</w:t>
      </w:r>
      <w:r>
        <w:rPr>
          <w:rFonts w:hint="eastAsia" w:ascii="Times New Roman" w:hAnsi="Times New Roman" w:eastAsia="仿宋_GB2312"/>
          <w:color w:val="auto"/>
          <w:sz w:val="32"/>
          <w:szCs w:val="32"/>
          <w:highlight w:val="none"/>
          <w:lang w:val="zh-CN" w:eastAsia="zh-CN"/>
        </w:rPr>
        <w:t>。公务用车购置数0辆，公务用车保有量25辆。国有资产占用情况</w:t>
      </w:r>
      <w:r>
        <w:rPr>
          <w:rFonts w:hint="eastAsia" w:ascii="Times New Roman" w:hAnsi="Times New Roman" w:eastAsia="仿宋_GB2312"/>
          <w:color w:val="auto"/>
          <w:sz w:val="32"/>
          <w:szCs w:val="32"/>
          <w:highlight w:val="none"/>
          <w:lang w:val="en-US" w:eastAsia="zh-CN"/>
        </w:rPr>
        <w:t>中固定资产车辆</w:t>
      </w:r>
      <w:r>
        <w:rPr>
          <w:rFonts w:hint="eastAsia" w:ascii="Times New Roman" w:hAnsi="Times New Roman" w:eastAsia="仿宋_GB2312"/>
          <w:color w:val="auto"/>
          <w:sz w:val="32"/>
          <w:szCs w:val="32"/>
          <w:highlight w:val="none"/>
          <w:lang w:val="zh-CN" w:eastAsia="zh-CN"/>
        </w:rPr>
        <w:t>26辆，</w:t>
      </w:r>
      <w:r>
        <w:rPr>
          <w:rFonts w:hint="eastAsia" w:ascii="Times New Roman" w:hAnsi="Times New Roman" w:eastAsia="仿宋_GB2312"/>
          <w:color w:val="auto"/>
          <w:sz w:val="32"/>
          <w:szCs w:val="32"/>
          <w:highlight w:val="none"/>
          <w:lang w:val="en-US" w:eastAsia="zh-CN"/>
        </w:rPr>
        <w:t>与</w:t>
      </w:r>
      <w:r>
        <w:rPr>
          <w:rFonts w:hint="eastAsia" w:ascii="Times New Roman" w:hAnsi="Times New Roman" w:eastAsia="仿宋_GB2312"/>
          <w:color w:val="auto"/>
          <w:sz w:val="32"/>
          <w:szCs w:val="32"/>
          <w:highlight w:val="none"/>
          <w:lang w:val="zh-CN" w:eastAsia="zh-CN"/>
        </w:rPr>
        <w:t>公务用车</w:t>
      </w:r>
      <w:r>
        <w:rPr>
          <w:rFonts w:hint="eastAsia" w:ascii="Times New Roman" w:hAnsi="Times New Roman" w:eastAsia="仿宋_GB2312"/>
          <w:color w:val="auto"/>
          <w:sz w:val="32"/>
          <w:szCs w:val="32"/>
          <w:highlight w:val="none"/>
          <w:lang w:val="en-US" w:eastAsia="zh-CN"/>
        </w:rPr>
        <w:t>保有量差异</w:t>
      </w:r>
      <w:r>
        <w:rPr>
          <w:rFonts w:hint="eastAsia" w:ascii="Times New Roman" w:hAnsi="Times New Roman" w:eastAsia="仿宋_GB2312"/>
          <w:color w:val="auto"/>
          <w:sz w:val="32"/>
          <w:szCs w:val="32"/>
          <w:highlight w:val="none"/>
          <w:lang w:val="zh-CN" w:eastAsia="zh-CN"/>
        </w:rPr>
        <w:t>原因是：</w:t>
      </w:r>
      <w:r>
        <w:rPr>
          <w:rFonts w:hint="eastAsia" w:ascii="Times New Roman" w:hAnsi="Times New Roman" w:eastAsia="仿宋_GB2312"/>
          <w:color w:val="auto"/>
          <w:sz w:val="32"/>
          <w:szCs w:val="32"/>
          <w:highlight w:val="none"/>
          <w:lang w:val="en-US" w:eastAsia="zh-CN"/>
        </w:rPr>
        <w:t>医院车辆未纳入</w:t>
      </w:r>
      <w:r>
        <w:rPr>
          <w:rFonts w:hint="eastAsia" w:ascii="Times New Roman" w:hAnsi="Times New Roman" w:eastAsia="仿宋_GB2312"/>
          <w:color w:val="auto"/>
          <w:sz w:val="32"/>
          <w:szCs w:val="32"/>
          <w:highlight w:val="none"/>
          <w:lang w:val="zh-CN" w:eastAsia="zh-CN"/>
        </w:rPr>
        <w:t>公务用车保有量。</w:t>
      </w:r>
    </w:p>
    <w:p w14:paraId="79CFD14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zh-CN" w:eastAsia="zh-CN"/>
        </w:rPr>
        <w:t>公务接待费9.00万元，开支内容包括</w:t>
      </w:r>
      <w:r>
        <w:rPr>
          <w:rFonts w:hint="eastAsia" w:ascii="Times New Roman" w:hAnsi="Times New Roman" w:eastAsia="仿宋_GB2312"/>
          <w:color w:val="auto"/>
          <w:sz w:val="32"/>
          <w:szCs w:val="32"/>
          <w:highlight w:val="none"/>
          <w:lang w:val="en-US" w:eastAsia="zh-CN"/>
        </w:rPr>
        <w:t>餐食费及住宿费</w:t>
      </w:r>
      <w:r>
        <w:rPr>
          <w:rFonts w:hint="eastAsia" w:ascii="Times New Roman" w:hAnsi="Times New Roman" w:eastAsia="仿宋_GB2312"/>
          <w:color w:val="auto"/>
          <w:sz w:val="32"/>
          <w:szCs w:val="32"/>
          <w:highlight w:val="none"/>
          <w:lang w:val="zh-CN" w:eastAsia="zh-CN"/>
        </w:rPr>
        <w:t>。单位全年安排的国内公务接待15批次，247人次。</w:t>
      </w:r>
    </w:p>
    <w:p w14:paraId="680924B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zh-CN" w:eastAsia="zh-CN"/>
        </w:rPr>
        <w:t>与</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预算相比</w:t>
      </w:r>
      <w:r>
        <w:rPr>
          <w:rFonts w:hint="eastAsia" w:ascii="Times New Roman" w:hAnsi="Times New Roman" w:eastAsia="仿宋_GB2312"/>
          <w:color w:val="auto"/>
          <w:sz w:val="32"/>
          <w:szCs w:val="32"/>
          <w:highlight w:val="none"/>
          <w:lang w:val="en-US" w:eastAsia="zh-CN"/>
        </w:rPr>
        <w:t>,</w:t>
      </w:r>
      <w:r>
        <w:rPr>
          <w:rFonts w:hint="eastAsia" w:ascii="Times New Roman" w:hAnsi="Times New Roman" w:eastAsia="仿宋_GB2312"/>
          <w:color w:val="auto"/>
          <w:sz w:val="32"/>
          <w:szCs w:val="32"/>
          <w:highlight w:val="none"/>
          <w:lang w:val="zh-CN" w:eastAsia="zh-CN"/>
        </w:rPr>
        <w:t>财政拨款“三公”经费支出</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预算数61.00万元，决算数61.00万元，预决算差异率0.00%，主要原因是：</w:t>
      </w:r>
      <w:r>
        <w:rPr>
          <w:rFonts w:hint="eastAsia" w:ascii="Times New Roman" w:hAnsi="Times New Roman" w:eastAsia="仿宋_GB2312"/>
          <w:color w:val="auto"/>
          <w:sz w:val="32"/>
          <w:szCs w:val="32"/>
          <w:highlight w:val="none"/>
          <w:lang w:val="en-US" w:eastAsia="zh-CN"/>
        </w:rPr>
        <w:t>预决算一致，无差异</w:t>
      </w:r>
      <w:r>
        <w:rPr>
          <w:rFonts w:hint="eastAsia" w:ascii="Times New Roman" w:hAnsi="Times New Roman" w:eastAsia="仿宋_GB2312"/>
          <w:color w:val="auto"/>
          <w:sz w:val="32"/>
          <w:szCs w:val="32"/>
          <w:highlight w:val="none"/>
          <w:lang w:val="zh-CN" w:eastAsia="zh-CN"/>
        </w:rPr>
        <w:t>。其中：因公出国（境）费</w:t>
      </w:r>
      <w:r>
        <w:rPr>
          <w:rFonts w:hint="eastAsia" w:ascii="Times New Roman" w:hAnsi="Times New Roman" w:eastAsia="仿宋_GB2312"/>
          <w:color w:val="auto"/>
          <w:sz w:val="32"/>
          <w:szCs w:val="32"/>
          <w:highlight w:val="none"/>
          <w:lang w:val="en-US" w:eastAsia="zh-CN"/>
        </w:rPr>
        <w:t>全年预算数</w:t>
      </w:r>
      <w:r>
        <w:rPr>
          <w:rFonts w:hint="eastAsia" w:ascii="Times New Roman" w:hAnsi="Times New Roman" w:eastAsia="仿宋_GB2312"/>
          <w:color w:val="auto"/>
          <w:sz w:val="32"/>
          <w:szCs w:val="32"/>
          <w:highlight w:val="none"/>
          <w:lang w:val="zh-CN" w:eastAsia="zh-CN"/>
        </w:rPr>
        <w:t>0.00万元，决算数0.00万元，预决算差异率0.00%，主要原因是：</w:t>
      </w:r>
      <w:r>
        <w:rPr>
          <w:rFonts w:hint="eastAsia" w:ascii="Times New Roman" w:hAnsi="Times New Roman" w:eastAsia="仿宋_GB2312"/>
          <w:color w:val="auto"/>
          <w:sz w:val="32"/>
          <w:szCs w:val="32"/>
          <w:highlight w:val="none"/>
          <w:lang w:val="en-US" w:eastAsia="zh-CN"/>
        </w:rPr>
        <w:t>我部门无</w:t>
      </w:r>
      <w:r>
        <w:rPr>
          <w:rFonts w:hint="eastAsia" w:ascii="Times New Roman" w:hAnsi="Times New Roman" w:eastAsia="仿宋_GB2312"/>
          <w:color w:val="auto"/>
          <w:sz w:val="32"/>
          <w:szCs w:val="32"/>
          <w:highlight w:val="none"/>
          <w:lang w:val="zh-CN" w:eastAsia="zh-CN"/>
        </w:rPr>
        <w:t>因公出国（境）费；公务用车购置费</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预算数0.00万元，决算数0.00万元，预决算差异率0.00%，主要原因是：</w:t>
      </w:r>
      <w:r>
        <w:rPr>
          <w:rFonts w:hint="eastAsia" w:ascii="Times New Roman" w:hAnsi="Times New Roman" w:eastAsia="仿宋_GB2312"/>
          <w:color w:val="auto"/>
          <w:sz w:val="32"/>
          <w:szCs w:val="32"/>
          <w:highlight w:val="none"/>
          <w:lang w:val="en-US" w:eastAsia="zh-CN"/>
        </w:rPr>
        <w:t>我部门无</w:t>
      </w:r>
      <w:r>
        <w:rPr>
          <w:rFonts w:hint="eastAsia" w:ascii="Times New Roman" w:hAnsi="Times New Roman" w:eastAsia="仿宋_GB2312"/>
          <w:color w:val="auto"/>
          <w:sz w:val="32"/>
          <w:szCs w:val="32"/>
          <w:highlight w:val="none"/>
          <w:lang w:val="zh-CN" w:eastAsia="zh-CN"/>
        </w:rPr>
        <w:t>公务用车购置费；公务用车运行费</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预算数52.00万元，决算数52.00万元，预决算差异率0.00%，主要原因是：</w:t>
      </w:r>
      <w:r>
        <w:rPr>
          <w:rFonts w:hint="eastAsia" w:ascii="Times New Roman" w:hAnsi="Times New Roman" w:eastAsia="仿宋_GB2312"/>
          <w:color w:val="auto"/>
          <w:sz w:val="32"/>
          <w:szCs w:val="32"/>
          <w:highlight w:val="none"/>
          <w:lang w:val="en-US" w:eastAsia="zh-CN"/>
        </w:rPr>
        <w:t>预决算一致，无差异</w:t>
      </w:r>
      <w:r>
        <w:rPr>
          <w:rFonts w:hint="eastAsia" w:ascii="Times New Roman" w:hAnsi="Times New Roman" w:eastAsia="仿宋_GB2312"/>
          <w:color w:val="auto"/>
          <w:sz w:val="32"/>
          <w:szCs w:val="32"/>
          <w:highlight w:val="none"/>
          <w:lang w:val="zh-CN" w:eastAsia="zh-CN"/>
        </w:rPr>
        <w:t>；公务接待费</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预算数9.00万元，决算数9.00万元，预决算差异率0.00%，主要原因是：</w:t>
      </w:r>
      <w:r>
        <w:rPr>
          <w:rFonts w:hint="eastAsia" w:ascii="Times New Roman" w:hAnsi="Times New Roman" w:eastAsia="仿宋_GB2312"/>
          <w:color w:val="auto"/>
          <w:sz w:val="32"/>
          <w:szCs w:val="32"/>
          <w:highlight w:val="none"/>
          <w:lang w:val="en-US" w:eastAsia="zh-CN"/>
        </w:rPr>
        <w:t>预决算一致，无差异</w:t>
      </w:r>
      <w:r>
        <w:rPr>
          <w:rFonts w:hint="eastAsia" w:ascii="Times New Roman" w:hAnsi="Times New Roman" w:eastAsia="仿宋_GB2312"/>
          <w:color w:val="auto"/>
          <w:sz w:val="32"/>
          <w:szCs w:val="32"/>
          <w:highlight w:val="none"/>
          <w:lang w:val="zh-CN" w:eastAsia="zh-CN"/>
        </w:rPr>
        <w:t>。</w:t>
      </w:r>
    </w:p>
    <w:p w14:paraId="1242D96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18" w:name="_Toc5810"/>
      <w:bookmarkStart w:id="19" w:name="_Toc7927"/>
      <w:r>
        <w:rPr>
          <w:rFonts w:hint="eastAsia" w:ascii="Times New Roman" w:hAnsi="Times New Roman" w:eastAsia="黑体" w:cs="宋体"/>
          <w:bCs/>
          <w:color w:val="auto"/>
          <w:kern w:val="0"/>
          <w:sz w:val="32"/>
          <w:szCs w:val="32"/>
          <w:highlight w:val="none"/>
          <w:lang w:val="en-US" w:eastAsia="zh-CN"/>
        </w:rPr>
        <w:t>八</w:t>
      </w:r>
      <w:r>
        <w:rPr>
          <w:rFonts w:hint="eastAsia" w:ascii="Times New Roman" w:hAnsi="Times New Roman" w:eastAsia="黑体" w:cs="宋体"/>
          <w:bCs/>
          <w:color w:val="auto"/>
          <w:kern w:val="0"/>
          <w:sz w:val="32"/>
          <w:szCs w:val="32"/>
          <w:highlight w:val="none"/>
          <w:lang w:eastAsia="zh-CN"/>
        </w:rPr>
        <w:t>、政府性基金预算财政拨款收入支出决算情况说明</w:t>
      </w:r>
      <w:bookmarkEnd w:id="18"/>
      <w:bookmarkEnd w:id="19"/>
    </w:p>
    <w:p w14:paraId="34E7F34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eastAsia="zh-CN"/>
        </w:rPr>
        <w:t>我</w:t>
      </w:r>
      <w:r>
        <w:rPr>
          <w:rFonts w:hint="eastAsia" w:ascii="Times New Roman" w:hAnsi="Times New Roman" w:eastAsia="仿宋_GB2312"/>
          <w:color w:val="auto"/>
          <w:sz w:val="32"/>
          <w:szCs w:val="32"/>
          <w:highlight w:val="none"/>
          <w:lang w:val="en-US" w:eastAsia="zh-CN"/>
        </w:rPr>
        <w:t>部门</w:t>
      </w:r>
      <w:r>
        <w:rPr>
          <w:rFonts w:hint="eastAsia" w:ascii="Times New Roman" w:hAnsi="Times New Roman" w:eastAsia="仿宋_GB2312"/>
          <w:color w:val="auto"/>
          <w:sz w:val="32"/>
          <w:szCs w:val="32"/>
          <w:highlight w:val="none"/>
          <w:lang w:eastAsia="zh-CN"/>
        </w:rPr>
        <w:t>本年度无政府性基金预算财政拨款收入、支出</w:t>
      </w:r>
      <w:r>
        <w:rPr>
          <w:rFonts w:hint="eastAsia" w:ascii="Times New Roman" w:hAnsi="Times New Roman" w:eastAsia="仿宋_GB2312"/>
          <w:color w:val="auto"/>
          <w:sz w:val="32"/>
          <w:szCs w:val="32"/>
          <w:highlight w:val="none"/>
          <w:lang w:val="en-US" w:eastAsia="zh-CN"/>
        </w:rPr>
        <w:t>及结转和结余</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政府性基金预算财政拨款收入支出决算表为空表。</w:t>
      </w:r>
    </w:p>
    <w:p w14:paraId="4C91EED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r>
        <w:rPr>
          <w:rFonts w:hint="eastAsia" w:ascii="Times New Roman" w:hAnsi="Times New Roman" w:eastAsia="黑体" w:cs="宋体"/>
          <w:bCs/>
          <w:color w:val="auto"/>
          <w:kern w:val="0"/>
          <w:sz w:val="32"/>
          <w:szCs w:val="32"/>
          <w:highlight w:val="none"/>
          <w:lang w:val="en-US" w:eastAsia="zh-CN"/>
        </w:rPr>
        <w:t>九</w:t>
      </w:r>
      <w:r>
        <w:rPr>
          <w:rFonts w:hint="eastAsia" w:ascii="Times New Roman" w:hAnsi="Times New Roman" w:eastAsia="黑体" w:cs="宋体"/>
          <w:bCs/>
          <w:color w:val="auto"/>
          <w:kern w:val="0"/>
          <w:sz w:val="32"/>
          <w:szCs w:val="32"/>
          <w:highlight w:val="none"/>
          <w:lang w:eastAsia="zh-CN"/>
        </w:rPr>
        <w:t>、国有资本经营预算财政拨款收入支出决算情况说明</w:t>
      </w:r>
    </w:p>
    <w:p w14:paraId="0721309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eastAsia="zh-CN"/>
        </w:rPr>
        <w:t>我</w:t>
      </w:r>
      <w:r>
        <w:rPr>
          <w:rFonts w:hint="eastAsia" w:ascii="Times New Roman" w:hAnsi="Times New Roman" w:eastAsia="仿宋_GB2312"/>
          <w:color w:val="auto"/>
          <w:sz w:val="32"/>
          <w:szCs w:val="32"/>
          <w:highlight w:val="none"/>
          <w:lang w:val="en-US" w:eastAsia="zh-CN"/>
        </w:rPr>
        <w:t>部门</w:t>
      </w:r>
      <w:r>
        <w:rPr>
          <w:rFonts w:hint="eastAsia" w:ascii="Times New Roman" w:hAnsi="Times New Roman" w:eastAsia="仿宋_GB2312"/>
          <w:color w:val="auto"/>
          <w:sz w:val="32"/>
          <w:szCs w:val="32"/>
          <w:highlight w:val="none"/>
          <w:lang w:eastAsia="zh-CN"/>
        </w:rPr>
        <w:t>本年度无国有资本经营预算财政拨款收入、支出</w:t>
      </w:r>
      <w:r>
        <w:rPr>
          <w:rFonts w:hint="eastAsia" w:ascii="Times New Roman" w:hAnsi="Times New Roman" w:eastAsia="仿宋_GB2312"/>
          <w:color w:val="auto"/>
          <w:sz w:val="32"/>
          <w:szCs w:val="32"/>
          <w:highlight w:val="none"/>
          <w:lang w:val="en-US" w:eastAsia="zh-CN"/>
        </w:rPr>
        <w:t>及结转和结余</w:t>
      </w:r>
      <w:r>
        <w:rPr>
          <w:rFonts w:hint="eastAsia" w:ascii="Times New Roman" w:hAnsi="Times New Roman" w:eastAsia="仿宋_GB2312"/>
          <w:color w:val="auto"/>
          <w:sz w:val="32"/>
          <w:szCs w:val="32"/>
          <w:highlight w:val="none"/>
          <w:lang w:eastAsia="zh-CN"/>
        </w:rPr>
        <w:t>，国有资本经营</w:t>
      </w:r>
      <w:r>
        <w:rPr>
          <w:rFonts w:hint="eastAsia" w:ascii="Times New Roman" w:hAnsi="Times New Roman" w:eastAsia="仿宋_GB2312"/>
          <w:color w:val="auto"/>
          <w:sz w:val="32"/>
          <w:szCs w:val="32"/>
          <w:highlight w:val="none"/>
        </w:rPr>
        <w:t>预算财政拨款收入支出决算表为空表。</w:t>
      </w:r>
    </w:p>
    <w:p w14:paraId="5D2464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20" w:name="_Toc7314"/>
      <w:bookmarkStart w:id="21" w:name="_Toc1235"/>
      <w:r>
        <w:rPr>
          <w:rFonts w:hint="eastAsia" w:ascii="Times New Roman" w:hAnsi="Times New Roman" w:eastAsia="黑体" w:cs="宋体"/>
          <w:bCs/>
          <w:color w:val="auto"/>
          <w:kern w:val="0"/>
          <w:sz w:val="32"/>
          <w:szCs w:val="32"/>
          <w:highlight w:val="none"/>
          <w:lang w:eastAsia="zh-CN"/>
        </w:rPr>
        <w:t>十</w:t>
      </w:r>
      <w:r>
        <w:rPr>
          <w:rFonts w:hint="eastAsia" w:ascii="Times New Roman" w:hAnsi="Times New Roman" w:eastAsia="黑体" w:cs="宋体"/>
          <w:bCs/>
          <w:color w:val="auto"/>
          <w:kern w:val="0"/>
          <w:sz w:val="32"/>
          <w:szCs w:val="32"/>
          <w:highlight w:val="none"/>
        </w:rPr>
        <w:t>、其他重要事项的情况</w:t>
      </w:r>
      <w:r>
        <w:rPr>
          <w:rFonts w:hint="eastAsia" w:ascii="Times New Roman" w:hAnsi="Times New Roman" w:eastAsia="黑体" w:cs="宋体"/>
          <w:bCs/>
          <w:color w:val="auto"/>
          <w:kern w:val="0"/>
          <w:sz w:val="32"/>
          <w:szCs w:val="32"/>
          <w:highlight w:val="none"/>
          <w:lang w:eastAsia="zh-CN"/>
        </w:rPr>
        <w:t>说明</w:t>
      </w:r>
      <w:bookmarkEnd w:id="20"/>
      <w:bookmarkEnd w:id="21"/>
    </w:p>
    <w:p w14:paraId="05D0FAF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olor w:val="auto"/>
          <w:sz w:val="32"/>
          <w:szCs w:val="32"/>
          <w:highlight w:val="none"/>
        </w:rPr>
      </w:pPr>
      <w:bookmarkStart w:id="22" w:name="_Toc14519"/>
      <w:bookmarkStart w:id="23" w:name="_Toc13105"/>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机关运行经费支出情况</w:t>
      </w:r>
      <w:bookmarkEnd w:id="22"/>
      <w:bookmarkEnd w:id="23"/>
    </w:p>
    <w:p w14:paraId="1221B9B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lang w:val="zh-CN" w:eastAsia="zh-CN"/>
        </w:rPr>
      </w:pPr>
      <w:bookmarkStart w:id="24" w:name="_Toc26704"/>
      <w:bookmarkStart w:id="25" w:name="_Toc227"/>
      <w:r>
        <w:rPr>
          <w:rFonts w:hint="eastAsia" w:ascii="Times New Roman" w:hAnsi="Times New Roman" w:eastAsia="仿宋_GB2312" w:cs="仿宋_GB2312"/>
          <w:color w:val="auto"/>
          <w:sz w:val="32"/>
          <w:szCs w:val="32"/>
          <w:highlight w:val="none"/>
          <w:lang w:val="zh-CN" w:eastAsia="zh-CN"/>
        </w:rPr>
        <w:t>2023年度</w:t>
      </w:r>
      <w:r>
        <w:rPr>
          <w:rFonts w:hint="eastAsia" w:ascii="Times New Roman" w:hAnsi="Times New Roman" w:eastAsia="仿宋_GB2312" w:cs="仿宋_GB2312"/>
          <w:color w:val="auto"/>
          <w:sz w:val="32"/>
          <w:szCs w:val="32"/>
          <w:highlight w:val="none"/>
          <w:lang w:val="en-US" w:eastAsia="zh-CN"/>
        </w:rPr>
        <w:t>新疆警察学院机关运行经费支出1,348.48万元，</w:t>
      </w:r>
      <w:r>
        <w:rPr>
          <w:rFonts w:hint="eastAsia" w:ascii="Times New Roman" w:hAnsi="Times New Roman" w:eastAsia="仿宋_GB2312" w:cs="仿宋_GB2312"/>
          <w:color w:val="auto"/>
          <w:sz w:val="32"/>
          <w:szCs w:val="32"/>
          <w:highlight w:val="none"/>
          <w:lang w:val="zh-CN" w:eastAsia="zh-CN"/>
        </w:rPr>
        <w:t>比上年减少227.51万元，下降14.44%，主要原因是：</w:t>
      </w:r>
      <w:r>
        <w:rPr>
          <w:rFonts w:hint="eastAsia" w:ascii="Times New Roman" w:hAnsi="Times New Roman" w:eastAsia="仿宋_GB2312" w:cs="仿宋_GB2312"/>
          <w:color w:val="auto"/>
          <w:sz w:val="32"/>
          <w:szCs w:val="32"/>
          <w:highlight w:val="none"/>
          <w:lang w:val="en-US" w:eastAsia="zh-CN"/>
        </w:rPr>
        <w:t>压缩单位运转公用经费，节约资金</w:t>
      </w:r>
      <w:r>
        <w:rPr>
          <w:rFonts w:hint="eastAsia" w:ascii="Times New Roman" w:hAnsi="Times New Roman" w:eastAsia="仿宋_GB2312" w:cs="仿宋_GB2312"/>
          <w:color w:val="auto"/>
          <w:sz w:val="32"/>
          <w:szCs w:val="32"/>
          <w:highlight w:val="none"/>
          <w:lang w:val="zh-CN" w:eastAsia="zh-CN"/>
        </w:rPr>
        <w:t>。</w:t>
      </w:r>
    </w:p>
    <w:p w14:paraId="465392B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新疆警察学院公用经费117.89万元，</w:t>
      </w:r>
      <w:r>
        <w:rPr>
          <w:rFonts w:hint="eastAsia" w:ascii="Times New Roman" w:hAnsi="Times New Roman" w:eastAsia="仿宋_GB2312" w:cs="仿宋_GB2312"/>
          <w:color w:val="auto"/>
          <w:sz w:val="32"/>
          <w:szCs w:val="32"/>
          <w:highlight w:val="none"/>
          <w:lang w:val="zh-CN" w:eastAsia="zh-CN"/>
        </w:rPr>
        <w:t>比上年减少</w:t>
      </w:r>
      <w:r>
        <w:rPr>
          <w:rFonts w:hint="eastAsia" w:ascii="Times New Roman" w:hAnsi="Times New Roman" w:eastAsia="仿宋_GB2312" w:cs="仿宋_GB2312"/>
          <w:color w:val="auto"/>
          <w:sz w:val="32"/>
          <w:szCs w:val="32"/>
          <w:highlight w:val="none"/>
          <w:lang w:val="en-US" w:eastAsia="zh-CN"/>
        </w:rPr>
        <w:t>4.56万元，</w:t>
      </w:r>
      <w:r>
        <w:rPr>
          <w:rFonts w:hint="eastAsia" w:ascii="Times New Roman" w:hAnsi="Times New Roman" w:eastAsia="仿宋_GB2312" w:cs="仿宋_GB2312"/>
          <w:color w:val="auto"/>
          <w:sz w:val="32"/>
          <w:szCs w:val="32"/>
          <w:highlight w:val="none"/>
          <w:lang w:val="zh-CN" w:eastAsia="zh-CN"/>
        </w:rPr>
        <w:t>下降3.72%，主要原因是：</w:t>
      </w:r>
      <w:r>
        <w:rPr>
          <w:rFonts w:hint="eastAsia" w:ascii="Times New Roman" w:hAnsi="Times New Roman" w:eastAsia="仿宋_GB2312" w:cs="仿宋_GB2312"/>
          <w:color w:val="auto"/>
          <w:sz w:val="32"/>
          <w:szCs w:val="32"/>
          <w:highlight w:val="none"/>
          <w:lang w:val="en-US" w:eastAsia="zh-CN"/>
        </w:rPr>
        <w:t>二级单位压缩经费，节约资金</w:t>
      </w:r>
      <w:r>
        <w:rPr>
          <w:rFonts w:hint="eastAsia" w:ascii="Times New Roman" w:hAnsi="Times New Roman" w:eastAsia="仿宋_GB2312" w:cs="仿宋_GB2312"/>
          <w:color w:val="auto"/>
          <w:sz w:val="32"/>
          <w:szCs w:val="32"/>
          <w:highlight w:val="none"/>
          <w:lang w:val="zh-CN" w:eastAsia="zh-CN"/>
        </w:rPr>
        <w:t>。</w:t>
      </w:r>
    </w:p>
    <w:p w14:paraId="20B57C4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793E3DC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2"/>
          <w:szCs w:val="32"/>
          <w:highlight w:val="none"/>
          <w:lang w:val="zh-CN"/>
        </w:rPr>
      </w:pPr>
      <w:r>
        <w:rPr>
          <w:rFonts w:hint="eastAsia" w:ascii="Times New Roman" w:hAnsi="Times New Roman" w:eastAsia="仿宋_GB2312" w:cs="仿宋_GB2312"/>
          <w:color w:val="auto"/>
          <w:sz w:val="32"/>
          <w:szCs w:val="32"/>
          <w:highlight w:val="none"/>
          <w:lang w:val="zh-CN" w:eastAsia="zh-CN"/>
        </w:rPr>
        <w:t>2023年度</w:t>
      </w:r>
      <w:r>
        <w:rPr>
          <w:rFonts w:hint="eastAsia" w:ascii="Times New Roman" w:hAnsi="Times New Roman" w:eastAsia="仿宋_GB2312" w:cs="仿宋_GB2312"/>
          <w:color w:val="auto"/>
          <w:sz w:val="32"/>
          <w:szCs w:val="32"/>
          <w:highlight w:val="none"/>
          <w:lang w:val="zh-CN"/>
        </w:rPr>
        <w:t>政府采购支出总额</w:t>
      </w:r>
      <w:r>
        <w:rPr>
          <w:rFonts w:hint="eastAsia" w:ascii="Times New Roman" w:hAnsi="Times New Roman" w:eastAsia="仿宋_GB2312" w:cs="仿宋_GB2312"/>
          <w:color w:val="auto"/>
          <w:sz w:val="32"/>
          <w:szCs w:val="32"/>
          <w:highlight w:val="none"/>
          <w:lang w:val="zh-CN" w:eastAsia="zh-CN"/>
        </w:rPr>
        <w:t>2,284.26万元</w:t>
      </w:r>
      <w:r>
        <w:rPr>
          <w:rFonts w:hint="eastAsia" w:ascii="Times New Roman" w:hAnsi="Times New Roman" w:eastAsia="仿宋_GB2312" w:cs="仿宋_GB2312"/>
          <w:color w:val="auto"/>
          <w:sz w:val="32"/>
          <w:szCs w:val="32"/>
          <w:highlight w:val="none"/>
          <w:lang w:val="zh-CN"/>
        </w:rPr>
        <w:t>，</w:t>
      </w:r>
      <w:r>
        <w:rPr>
          <w:rFonts w:hint="eastAsia" w:ascii="Times New Roman" w:hAnsi="Times New Roman" w:eastAsia="仿宋_GB2312" w:cs="仿宋_GB2312"/>
          <w:color w:val="auto"/>
          <w:sz w:val="32"/>
          <w:szCs w:val="32"/>
          <w:highlight w:val="none"/>
          <w:lang w:val="zh-CN" w:eastAsia="zh-CN"/>
        </w:rPr>
        <w:t>其中：政府采购货物支出891.49万元、政府采购工程支出1,065.14万元、政府采购服务支出327.62万元。</w:t>
      </w:r>
    </w:p>
    <w:p w14:paraId="5DD7784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zh-CN" w:eastAsia="zh-CN"/>
        </w:rPr>
        <w:t>授予中小企业合同金额2,282.47万元，占政府采购支出总额的99.92%，其中：授予小微企业合同金额1,910.69万元，占政府采购支出总额的83.65%</w:t>
      </w:r>
      <w:r>
        <w:rPr>
          <w:rFonts w:hint="eastAsia" w:ascii="Times New Roman" w:hAnsi="Times New Roman" w:eastAsia="仿宋_GB2312" w:cs="仿宋_GB2312"/>
          <w:color w:val="auto"/>
          <w:sz w:val="32"/>
          <w:szCs w:val="32"/>
          <w:highlight w:val="none"/>
          <w:lang w:val="en-US" w:eastAsia="zh-CN"/>
        </w:rPr>
        <w:t>。</w:t>
      </w:r>
    </w:p>
    <w:p w14:paraId="06A941A6">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2"/>
        <w:rPr>
          <w:rFonts w:hint="eastAsia" w:ascii="Times New Roman" w:hAnsi="Times New Roman" w:eastAsia="仿宋_GB2312" w:cs="仿宋_GB2312"/>
          <w:b/>
          <w:bCs/>
          <w:color w:val="auto"/>
          <w:sz w:val="32"/>
          <w:szCs w:val="30"/>
          <w:highlight w:val="none"/>
          <w:lang w:val="zh-CN" w:eastAsia="zh-CN"/>
        </w:rPr>
      </w:pPr>
      <w:bookmarkStart w:id="26" w:name="_Toc8391"/>
      <w:bookmarkStart w:id="27" w:name="_Toc4591"/>
      <w:r>
        <w:rPr>
          <w:rFonts w:hint="eastAsia" w:ascii="Times New Roman" w:hAnsi="Times New Roman" w:eastAsia="仿宋_GB2312" w:cs="仿宋_GB2312"/>
          <w:b/>
          <w:bCs/>
          <w:color w:val="auto"/>
          <w:sz w:val="32"/>
          <w:szCs w:val="30"/>
          <w:highlight w:val="none"/>
          <w:lang w:val="zh-CN" w:eastAsia="zh-CN"/>
        </w:rPr>
        <w:t>（三）国有资产占用情况说明</w:t>
      </w:r>
      <w:bookmarkEnd w:id="26"/>
      <w:bookmarkEnd w:id="27"/>
    </w:p>
    <w:p w14:paraId="71A7D6C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2"/>
          <w:szCs w:val="32"/>
          <w:highlight w:val="none"/>
          <w:lang w:val="zh-CN" w:eastAsia="zh-CN"/>
        </w:rPr>
      </w:pPr>
      <w:r>
        <w:rPr>
          <w:rFonts w:hint="eastAsia" w:ascii="Times New Roman" w:hAnsi="Times New Roman" w:eastAsia="仿宋_GB2312" w:cs="仿宋_GB2312"/>
          <w:color w:val="auto"/>
          <w:sz w:val="32"/>
          <w:szCs w:val="32"/>
          <w:highlight w:val="none"/>
          <w:lang w:val="en-US" w:eastAsia="zh-CN"/>
        </w:rPr>
        <w:t>截至2023</w:t>
      </w:r>
      <w:r>
        <w:rPr>
          <w:rFonts w:hint="eastAsia" w:ascii="Times New Roman" w:hAnsi="Times New Roman" w:eastAsia="仿宋_GB2312" w:cs="仿宋_GB2312"/>
          <w:color w:val="auto"/>
          <w:sz w:val="32"/>
          <w:szCs w:val="32"/>
          <w:highlight w:val="none"/>
          <w:lang w:val="zh-CN" w:eastAsia="zh-CN"/>
        </w:rPr>
        <w:t>年</w:t>
      </w:r>
      <w:r>
        <w:rPr>
          <w:rFonts w:hint="eastAsia" w:ascii="Times New Roman" w:hAnsi="Times New Roman" w:eastAsia="仿宋_GB2312" w:cs="仿宋_GB2312"/>
          <w:color w:val="auto"/>
          <w:sz w:val="32"/>
          <w:szCs w:val="32"/>
          <w:highlight w:val="none"/>
          <w:lang w:val="en-US" w:eastAsia="zh-CN"/>
        </w:rPr>
        <w:t>12月31日</w:t>
      </w:r>
      <w:r>
        <w:rPr>
          <w:rFonts w:hint="eastAsia" w:ascii="Times New Roman" w:hAnsi="Times New Roman" w:eastAsia="仿宋_GB2312" w:cs="仿宋_GB2312"/>
          <w:color w:val="auto"/>
          <w:sz w:val="32"/>
          <w:szCs w:val="32"/>
          <w:highlight w:val="none"/>
          <w:lang w:val="zh-CN" w:eastAsia="zh-CN"/>
        </w:rPr>
        <w:t>，</w:t>
      </w:r>
      <w:r>
        <w:rPr>
          <w:rFonts w:hint="eastAsia" w:ascii="Times New Roman" w:hAnsi="Times New Roman" w:eastAsia="仿宋_GB2312" w:cs="仿宋_GB2312"/>
          <w:color w:val="auto"/>
          <w:sz w:val="32"/>
          <w:szCs w:val="32"/>
          <w:highlight w:val="none"/>
          <w:lang w:val="en-US" w:eastAsia="zh-CN"/>
        </w:rPr>
        <w:t>固定资产原值</w:t>
      </w:r>
      <w:r>
        <w:rPr>
          <w:rFonts w:hint="eastAsia" w:ascii="Times New Roman" w:hAnsi="Times New Roman" w:eastAsia="仿宋_GB2312" w:cs="仿宋_GB2312"/>
          <w:color w:val="auto"/>
          <w:sz w:val="32"/>
          <w:szCs w:val="32"/>
          <w:highlight w:val="none"/>
          <w:lang w:val="zh-CN" w:eastAsia="zh-CN"/>
        </w:rPr>
        <w:t>23,121.69</w:t>
      </w:r>
      <w:r>
        <w:rPr>
          <w:rFonts w:hint="eastAsia" w:ascii="Times New Roman" w:hAnsi="Times New Roman" w:eastAsia="仿宋_GB2312" w:cs="仿宋_GB2312"/>
          <w:color w:val="auto"/>
          <w:sz w:val="32"/>
          <w:szCs w:val="32"/>
          <w:highlight w:val="none"/>
          <w:lang w:val="en-US" w:eastAsia="zh-CN"/>
        </w:rPr>
        <w:t>万元，房</w:t>
      </w:r>
      <w:r>
        <w:rPr>
          <w:rFonts w:hint="eastAsia" w:ascii="Times New Roman" w:hAnsi="Times New Roman" w:eastAsia="仿宋_GB2312" w:cs="仿宋_GB2312"/>
          <w:color w:val="auto"/>
          <w:sz w:val="32"/>
          <w:szCs w:val="32"/>
          <w:highlight w:val="none"/>
          <w:lang w:val="zh-CN" w:eastAsia="zh-CN"/>
        </w:rPr>
        <w:t>屋149,984.21平方米，价值11,161.95万元。车辆26辆，价值527.52万元，其中：副部（省）级及以上领导用车0辆、主要</w:t>
      </w:r>
      <w:r>
        <w:rPr>
          <w:rFonts w:hint="eastAsia" w:ascii="Times New Roman" w:hAnsi="Times New Roman" w:eastAsia="仿宋_GB2312" w:cs="仿宋_GB2312"/>
          <w:color w:val="auto"/>
          <w:sz w:val="32"/>
          <w:szCs w:val="32"/>
          <w:highlight w:val="none"/>
          <w:lang w:val="en-US" w:eastAsia="zh-CN"/>
        </w:rPr>
        <w:t>负责人</w:t>
      </w:r>
      <w:r>
        <w:rPr>
          <w:rFonts w:hint="eastAsia" w:ascii="Times New Roman" w:hAnsi="Times New Roman" w:eastAsia="仿宋_GB2312" w:cs="仿宋_GB2312"/>
          <w:color w:val="auto"/>
          <w:sz w:val="32"/>
          <w:szCs w:val="32"/>
          <w:highlight w:val="none"/>
          <w:lang w:val="zh-CN" w:eastAsia="zh-CN"/>
        </w:rPr>
        <w:t>用车3辆、机要通信用车0辆、应急保障用车1辆、执法执勤用车16辆、特种专业技术用车0辆、离退休干部</w:t>
      </w:r>
      <w:r>
        <w:rPr>
          <w:rFonts w:hint="eastAsia" w:ascii="Times New Roman" w:hAnsi="Times New Roman" w:eastAsia="仿宋_GB2312" w:cs="仿宋_GB2312"/>
          <w:color w:val="auto"/>
          <w:sz w:val="32"/>
          <w:szCs w:val="32"/>
          <w:highlight w:val="none"/>
          <w:lang w:val="en-US" w:eastAsia="zh-CN"/>
        </w:rPr>
        <w:t>服务</w:t>
      </w:r>
      <w:r>
        <w:rPr>
          <w:rFonts w:hint="eastAsia" w:ascii="Times New Roman" w:hAnsi="Times New Roman" w:eastAsia="仿宋_GB2312" w:cs="仿宋_GB2312"/>
          <w:color w:val="auto"/>
          <w:sz w:val="32"/>
          <w:szCs w:val="32"/>
          <w:highlight w:val="none"/>
          <w:lang w:val="zh-CN" w:eastAsia="zh-CN"/>
        </w:rPr>
        <w:t>用车1辆、其他用车5辆，其他用车主要是：</w:t>
      </w:r>
      <w:r>
        <w:rPr>
          <w:rFonts w:hint="eastAsia" w:ascii="Times New Roman" w:hAnsi="Times New Roman" w:eastAsia="仿宋_GB2312" w:cs="仿宋_GB2312"/>
          <w:color w:val="auto"/>
          <w:sz w:val="32"/>
          <w:szCs w:val="32"/>
          <w:highlight w:val="none"/>
          <w:lang w:val="en-US" w:eastAsia="zh-CN"/>
        </w:rPr>
        <w:t>一般业务用车</w:t>
      </w:r>
      <w:r>
        <w:rPr>
          <w:rFonts w:hint="eastAsia" w:ascii="Times New Roman" w:hAnsi="Times New Roman" w:eastAsia="仿宋_GB2312" w:cs="仿宋_GB2312"/>
          <w:color w:val="auto"/>
          <w:sz w:val="32"/>
          <w:szCs w:val="32"/>
          <w:highlight w:val="none"/>
          <w:lang w:val="zh-CN" w:eastAsia="zh-CN"/>
        </w:rPr>
        <w:t>；单价100万元（含）以上设备（不含车辆）2</w:t>
      </w:r>
      <w:r>
        <w:rPr>
          <w:rFonts w:hint="eastAsia" w:ascii="Times New Roman" w:hAnsi="Times New Roman" w:eastAsia="仿宋_GB2312" w:cs="仿宋_GB2312"/>
          <w:color w:val="auto"/>
          <w:sz w:val="32"/>
          <w:szCs w:val="32"/>
          <w:highlight w:val="none"/>
          <w:lang w:val="en-US" w:eastAsia="zh-CN"/>
        </w:rPr>
        <w:t>台</w:t>
      </w:r>
      <w:r>
        <w:rPr>
          <w:rFonts w:hint="eastAsia" w:ascii="Times New Roman" w:hAnsi="Times New Roman" w:eastAsia="仿宋_GB2312" w:cs="仿宋_GB2312"/>
          <w:color w:val="auto"/>
          <w:sz w:val="32"/>
          <w:szCs w:val="32"/>
          <w:highlight w:val="none"/>
          <w:lang w:val="zh-CN" w:eastAsia="zh-CN"/>
        </w:rPr>
        <w:t>。</w:t>
      </w:r>
    </w:p>
    <w:p w14:paraId="2729395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28" w:name="_Toc11283"/>
      <w:bookmarkStart w:id="29" w:name="_Toc435"/>
      <w:r>
        <w:rPr>
          <w:rFonts w:hint="eastAsia" w:ascii="Times New Roman" w:hAnsi="Times New Roman" w:eastAsia="黑体" w:cs="宋体"/>
          <w:bCs/>
          <w:color w:val="auto"/>
          <w:kern w:val="0"/>
          <w:sz w:val="32"/>
          <w:szCs w:val="32"/>
          <w:highlight w:val="none"/>
          <w:lang w:eastAsia="zh-CN"/>
        </w:rPr>
        <w:t>十</w:t>
      </w:r>
      <w:r>
        <w:rPr>
          <w:rFonts w:hint="eastAsia" w:ascii="Times New Roman" w:hAnsi="Times New Roman" w:eastAsia="黑体" w:cs="宋体"/>
          <w:bCs/>
          <w:color w:val="auto"/>
          <w:kern w:val="0"/>
          <w:sz w:val="32"/>
          <w:szCs w:val="32"/>
          <w:highlight w:val="none"/>
          <w:lang w:val="en-US" w:eastAsia="zh-CN"/>
        </w:rPr>
        <w:t>一</w:t>
      </w:r>
      <w:r>
        <w:rPr>
          <w:rFonts w:hint="eastAsia" w:ascii="Times New Roman" w:hAnsi="Times New Roman" w:eastAsia="黑体" w:cs="宋体"/>
          <w:bCs/>
          <w:color w:val="auto"/>
          <w:kern w:val="0"/>
          <w:sz w:val="32"/>
          <w:szCs w:val="32"/>
          <w:highlight w:val="none"/>
          <w:lang w:eastAsia="zh-CN"/>
        </w:rPr>
        <w:t>、预算绩效的情况说明</w:t>
      </w:r>
      <w:bookmarkEnd w:id="28"/>
      <w:bookmarkEnd w:id="29"/>
    </w:p>
    <w:p w14:paraId="2EFE645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eastAsia="zh-CN"/>
        </w:rPr>
        <w:t>根据预算绩效管理要求，我</w:t>
      </w:r>
      <w:r>
        <w:rPr>
          <w:rFonts w:hint="eastAsia" w:ascii="Times New Roman" w:hAnsi="Times New Roman" w:eastAsia="仿宋_GB2312"/>
          <w:color w:val="auto"/>
          <w:sz w:val="32"/>
          <w:szCs w:val="32"/>
          <w:highlight w:val="none"/>
          <w:lang w:val="en-US" w:eastAsia="zh-CN"/>
        </w:rPr>
        <w:t>部门</w:t>
      </w:r>
      <w:r>
        <w:rPr>
          <w:rFonts w:hint="eastAsia" w:ascii="Times New Roman" w:hAnsi="Times New Roman" w:eastAsia="仿宋_GB2312"/>
          <w:color w:val="auto"/>
          <w:sz w:val="32"/>
          <w:szCs w:val="32"/>
          <w:highlight w:val="none"/>
          <w:lang w:eastAsia="zh-CN"/>
        </w:rPr>
        <w:t>2023年度</w:t>
      </w:r>
      <w:r>
        <w:rPr>
          <w:rFonts w:hint="eastAsia" w:ascii="Times New Roman" w:hAnsi="Times New Roman" w:eastAsia="仿宋_GB2312" w:cs="仿宋_GB2312"/>
          <w:color w:val="auto"/>
          <w:kern w:val="0"/>
          <w:sz w:val="32"/>
          <w:szCs w:val="32"/>
          <w:highlight w:val="none"/>
        </w:rPr>
        <w:t>预算绩效管理整体</w:t>
      </w:r>
      <w:r>
        <w:rPr>
          <w:rFonts w:hint="eastAsia" w:ascii="Times New Roman" w:hAnsi="Times New Roman" w:eastAsia="仿宋_GB2312" w:cs="仿宋_GB2312"/>
          <w:color w:val="auto"/>
          <w:kern w:val="0"/>
          <w:sz w:val="32"/>
          <w:szCs w:val="32"/>
          <w:highlight w:val="none"/>
          <w:lang w:val="en-US" w:eastAsia="zh-CN"/>
        </w:rPr>
        <w:t>支出</w:t>
      </w:r>
      <w:r>
        <w:rPr>
          <w:rFonts w:hint="eastAsia" w:ascii="Times New Roman" w:hAnsi="Times New Roman" w:eastAsia="仿宋_GB2312" w:cs="仿宋_GB2312"/>
          <w:color w:val="auto"/>
          <w:kern w:val="0"/>
          <w:sz w:val="32"/>
          <w:szCs w:val="32"/>
          <w:highlight w:val="none"/>
        </w:rPr>
        <w:t>绩效自评表</w:t>
      </w:r>
      <w:r>
        <w:rPr>
          <w:rFonts w:hint="eastAsia" w:ascii="Times New Roman" w:hAnsi="Times New Roman" w:eastAsia="仿宋_GB2312"/>
          <w:color w:val="auto"/>
          <w:sz w:val="32"/>
          <w:szCs w:val="32"/>
          <w:highlight w:val="none"/>
          <w:lang w:val="en-US" w:eastAsia="zh-CN"/>
        </w:rPr>
        <w:t>1</w:t>
      </w:r>
      <w:r>
        <w:rPr>
          <w:rFonts w:hint="eastAsia" w:ascii="Times New Roman" w:hAnsi="Times New Roman" w:eastAsia="仿宋_GB2312" w:cs="仿宋_GB2312"/>
          <w:color w:val="auto"/>
          <w:kern w:val="0"/>
          <w:sz w:val="32"/>
          <w:szCs w:val="32"/>
          <w:highlight w:val="none"/>
          <w:lang w:val="en-US" w:eastAsia="zh-CN"/>
        </w:rPr>
        <w:t>个，全年</w:t>
      </w:r>
      <w:r>
        <w:rPr>
          <w:rFonts w:hint="eastAsia" w:ascii="Times New Roman" w:hAnsi="Times New Roman" w:eastAsia="仿宋_GB2312"/>
          <w:color w:val="auto"/>
          <w:sz w:val="32"/>
          <w:szCs w:val="32"/>
          <w:highlight w:val="none"/>
          <w:lang w:val="en-US" w:eastAsia="zh-CN"/>
        </w:rPr>
        <w:t>预算总额</w:t>
      </w:r>
      <w:r>
        <w:rPr>
          <w:rFonts w:hint="eastAsia" w:ascii="Times New Roman" w:hAnsi="Times New Roman" w:eastAsia="仿宋_GB2312"/>
          <w:color w:val="auto"/>
          <w:sz w:val="32"/>
          <w:szCs w:val="32"/>
          <w:highlight w:val="none"/>
          <w:lang w:eastAsia="zh-CN"/>
        </w:rPr>
        <w:t>31,579.49</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实际执行总额</w:t>
      </w:r>
      <w:r>
        <w:rPr>
          <w:rFonts w:hint="eastAsia" w:ascii="Times New Roman" w:hAnsi="Times New Roman" w:eastAsia="仿宋_GB2312"/>
          <w:color w:val="auto"/>
          <w:sz w:val="32"/>
          <w:szCs w:val="32"/>
          <w:highlight w:val="none"/>
          <w:lang w:eastAsia="zh-CN"/>
        </w:rPr>
        <w:t>23,850.67</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s="仿宋_GB2312"/>
          <w:color w:val="auto"/>
          <w:kern w:val="0"/>
          <w:sz w:val="32"/>
          <w:szCs w:val="32"/>
          <w:highlight w:val="none"/>
          <w:lang w:val="en-US" w:eastAsia="zh-CN"/>
        </w:rPr>
        <w:t>；</w:t>
      </w:r>
      <w:r>
        <w:rPr>
          <w:rFonts w:hint="eastAsia" w:ascii="Times New Roman" w:hAnsi="Times New Roman" w:eastAsia="仿宋_GB2312"/>
          <w:color w:val="auto"/>
          <w:sz w:val="32"/>
          <w:szCs w:val="32"/>
          <w:highlight w:val="none"/>
          <w:lang w:eastAsia="zh-CN"/>
        </w:rPr>
        <w:t>预算绩效评价项目</w:t>
      </w:r>
      <w:r>
        <w:rPr>
          <w:rFonts w:hint="eastAsia" w:ascii="Times New Roman" w:hAnsi="Times New Roman" w:eastAsia="仿宋_GB2312"/>
          <w:color w:val="auto"/>
          <w:sz w:val="32"/>
          <w:szCs w:val="32"/>
          <w:highlight w:val="none"/>
          <w:lang w:val="en-US" w:eastAsia="zh-CN"/>
        </w:rPr>
        <w:t>8</w:t>
      </w:r>
      <w:r>
        <w:rPr>
          <w:rFonts w:hint="eastAsia" w:ascii="Times New Roman" w:hAnsi="Times New Roman" w:eastAsia="仿宋_GB2312"/>
          <w:color w:val="auto"/>
          <w:sz w:val="32"/>
          <w:szCs w:val="32"/>
          <w:highlight w:val="none"/>
          <w:lang w:eastAsia="zh-CN"/>
        </w:rPr>
        <w:t>个，</w:t>
      </w:r>
      <w:r>
        <w:rPr>
          <w:rFonts w:hint="eastAsia" w:ascii="Times New Roman" w:hAnsi="Times New Roman" w:eastAsia="仿宋_GB2312"/>
          <w:color w:val="auto"/>
          <w:sz w:val="32"/>
          <w:szCs w:val="32"/>
          <w:highlight w:val="none"/>
          <w:lang w:val="en-US" w:eastAsia="zh-CN"/>
        </w:rPr>
        <w:t>全年预算数</w:t>
      </w:r>
      <w:r>
        <w:rPr>
          <w:rFonts w:hint="eastAsia" w:ascii="Times New Roman" w:hAnsi="Times New Roman" w:eastAsia="仿宋_GB2312"/>
          <w:color w:val="auto"/>
          <w:sz w:val="32"/>
          <w:szCs w:val="32"/>
          <w:highlight w:val="none"/>
          <w:lang w:eastAsia="zh-CN"/>
        </w:rPr>
        <w:t>6,595.48</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全年执行数</w:t>
      </w:r>
      <w:r>
        <w:rPr>
          <w:rFonts w:hint="eastAsia" w:ascii="Times New Roman" w:hAnsi="Times New Roman" w:eastAsia="仿宋_GB2312"/>
          <w:color w:val="auto"/>
          <w:sz w:val="32"/>
          <w:szCs w:val="32"/>
          <w:highlight w:val="none"/>
          <w:lang w:eastAsia="zh-CN"/>
        </w:rPr>
        <w:t>4,816.58</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olor w:val="auto"/>
          <w:sz w:val="32"/>
          <w:szCs w:val="32"/>
          <w:highlight w:val="none"/>
          <w:lang w:eastAsia="zh-CN"/>
        </w:rPr>
        <w:t>。预算绩效管理取得的成效：一是全面提升本科教育教学质量，培养实践能力强的专业人才，打造结构合理的师资队伍，提升学科专业发展水平、加强科研转化，提高为公安一线服务能力；二是发放警察加班费，开展民警业务培训，培训成本包括部、厅级教官课时费、专家讲课费、教学用具、培训资料、弹药耗材、武器折旧、往返训练场地交通费、教学场地使用费，加大国家级一流专业和一流课程的建设资金投入，以全面提高教育教学质量。发现的问题及原因：一是对专业建设的绩效目标和绩效自评工作还需加强；二是评价指标不够明确，量化评价不足。下一步改进措施：一是进一步扩大预算绩效管理工作的覆盖面，熟悉掌握绩效管理的内容和要求，不断提高预算绩效意识，不断优化绩效评价方式；二是进一步完善学院预算绩效管理的各项制度，科学组织预算绩效评价工作，不断强化预算主体意识、责任意识、转变管理观念，切实提高预算绩效管理工作的自觉性和主动性。</w:t>
      </w:r>
    </w:p>
    <w:p w14:paraId="326F7A6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eastAsia="zh-CN"/>
        </w:rPr>
        <w:t>具体</w:t>
      </w:r>
      <w:r>
        <w:rPr>
          <w:rFonts w:hint="eastAsia" w:ascii="Times New Roman" w:hAnsi="Times New Roman" w:eastAsia="仿宋_GB2312"/>
          <w:color w:val="auto"/>
          <w:sz w:val="32"/>
          <w:szCs w:val="32"/>
          <w:highlight w:val="none"/>
        </w:rPr>
        <w:t>项目自评情况附绩效自评表</w:t>
      </w:r>
      <w:r>
        <w:rPr>
          <w:rFonts w:hint="eastAsia" w:ascii="Times New Roman" w:hAnsi="Times New Roman" w:eastAsia="仿宋_GB2312"/>
          <w:color w:val="auto"/>
          <w:sz w:val="32"/>
          <w:szCs w:val="32"/>
          <w:highlight w:val="none"/>
          <w:lang w:val="en-US" w:eastAsia="zh-CN"/>
        </w:rPr>
        <w:t>及自评报告</w:t>
      </w:r>
      <w:r>
        <w:rPr>
          <w:rFonts w:hint="eastAsia" w:ascii="Times New Roman" w:hAnsi="Times New Roman" w:eastAsia="仿宋_GB2312"/>
          <w:color w:val="auto"/>
          <w:sz w:val="32"/>
          <w:szCs w:val="32"/>
          <w:highlight w:val="none"/>
        </w:rPr>
        <w:t>。</w:t>
      </w:r>
    </w:p>
    <w:p w14:paraId="29D3803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黑体" w:cs="宋体"/>
          <w:bCs/>
          <w:color w:val="auto"/>
          <w:kern w:val="0"/>
          <w:sz w:val="32"/>
          <w:szCs w:val="32"/>
          <w:highlight w:val="none"/>
          <w:lang w:eastAsia="zh-CN"/>
        </w:rPr>
      </w:pPr>
      <w:r>
        <w:rPr>
          <w:rFonts w:hint="eastAsia" w:ascii="Times New Roman" w:hAnsi="Times New Roman" w:eastAsia="黑体" w:cs="宋体"/>
          <w:bCs/>
          <w:color w:val="auto"/>
          <w:kern w:val="0"/>
          <w:sz w:val="32"/>
          <w:szCs w:val="32"/>
          <w:highlight w:val="none"/>
          <w:lang w:eastAsia="zh-CN"/>
        </w:rPr>
        <w:t>十</w:t>
      </w:r>
      <w:r>
        <w:rPr>
          <w:rFonts w:hint="eastAsia" w:ascii="Times New Roman" w:hAnsi="Times New Roman" w:eastAsia="黑体" w:cs="宋体"/>
          <w:bCs/>
          <w:color w:val="auto"/>
          <w:kern w:val="0"/>
          <w:sz w:val="32"/>
          <w:szCs w:val="32"/>
          <w:highlight w:val="none"/>
          <w:lang w:val="en-US" w:eastAsia="zh-CN"/>
        </w:rPr>
        <w:t>二</w:t>
      </w:r>
      <w:r>
        <w:rPr>
          <w:rFonts w:hint="eastAsia" w:ascii="Times New Roman" w:hAnsi="Times New Roman" w:eastAsia="黑体" w:cs="宋体"/>
          <w:bCs/>
          <w:color w:val="auto"/>
          <w:kern w:val="0"/>
          <w:sz w:val="32"/>
          <w:szCs w:val="32"/>
          <w:highlight w:val="none"/>
          <w:lang w:eastAsia="zh-CN"/>
        </w:rPr>
        <w:t>、其他需说明的事项</w:t>
      </w:r>
    </w:p>
    <w:p w14:paraId="24CBD6A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s="仿宋_GB2312"/>
          <w:color w:val="auto"/>
          <w:kern w:val="0"/>
          <w:sz w:val="32"/>
          <w:szCs w:val="32"/>
          <w:highlight w:val="none"/>
          <w:lang w:val="en-US" w:eastAsia="zh-CN"/>
        </w:rPr>
      </w:pPr>
      <w:r>
        <w:rPr>
          <w:rFonts w:hint="eastAsia" w:ascii="Times New Roman" w:hAnsi="Times New Roman" w:eastAsia="仿宋_GB2312" w:cs="仿宋_GB2312"/>
          <w:color w:val="auto"/>
          <w:kern w:val="0"/>
          <w:sz w:val="32"/>
          <w:szCs w:val="32"/>
          <w:highlight w:val="none"/>
          <w:lang w:val="en-US" w:eastAsia="zh-CN"/>
        </w:rPr>
        <w:t>本部门无其他需说明事项。</w:t>
      </w:r>
    </w:p>
    <w:p w14:paraId="268D4EE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Times New Roman" w:hAnsi="Times New Roman" w:eastAsia="黑体"/>
          <w:color w:val="auto"/>
          <w:sz w:val="32"/>
          <w:szCs w:val="32"/>
          <w:highlight w:val="none"/>
        </w:rPr>
      </w:pPr>
      <w:bookmarkStart w:id="30" w:name="_Toc3250"/>
      <w:bookmarkStart w:id="31" w:name="_Toc24143"/>
      <w:r>
        <w:rPr>
          <w:rFonts w:hint="eastAsia" w:ascii="Times New Roman" w:hAnsi="Times New Roman" w:eastAsia="黑体"/>
          <w:color w:val="auto"/>
          <w:sz w:val="32"/>
          <w:szCs w:val="32"/>
          <w:highlight w:val="none"/>
        </w:rPr>
        <w:br w:type="page"/>
      </w:r>
      <w:r>
        <w:rPr>
          <w:rFonts w:hint="eastAsia" w:ascii="Times New Roman" w:hAnsi="Times New Roman" w:eastAsia="黑体"/>
          <w:color w:val="auto"/>
          <w:sz w:val="32"/>
          <w:szCs w:val="32"/>
          <w:highlight w:val="none"/>
        </w:rPr>
        <w:t>第</w:t>
      </w:r>
      <w:r>
        <w:rPr>
          <w:rFonts w:hint="eastAsia" w:ascii="Times New Roman" w:hAnsi="Times New Roman" w:eastAsia="黑体"/>
          <w:color w:val="auto"/>
          <w:sz w:val="32"/>
          <w:szCs w:val="32"/>
          <w:highlight w:val="none"/>
          <w:lang w:val="en-US" w:eastAsia="zh-CN"/>
        </w:rPr>
        <w:t>三</w:t>
      </w:r>
      <w:r>
        <w:rPr>
          <w:rFonts w:hint="eastAsia" w:ascii="Times New Roman" w:hAnsi="Times New Roman" w:eastAsia="黑体"/>
          <w:color w:val="auto"/>
          <w:sz w:val="32"/>
          <w:szCs w:val="32"/>
          <w:highlight w:val="none"/>
        </w:rPr>
        <w:t>部分 专业名词解释</w:t>
      </w:r>
      <w:bookmarkEnd w:id="30"/>
      <w:bookmarkEnd w:id="31"/>
    </w:p>
    <w:p w14:paraId="5368434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一、</w:t>
      </w:r>
      <w:r>
        <w:rPr>
          <w:rFonts w:hint="eastAsia" w:ascii="Times New Roman" w:hAnsi="Times New Roman" w:eastAsia="仿宋_GB2312"/>
          <w:b/>
          <w:bCs/>
          <w:color w:val="auto"/>
          <w:sz w:val="32"/>
          <w:szCs w:val="32"/>
          <w:highlight w:val="none"/>
        </w:rPr>
        <w:t>财政拨款收入：</w:t>
      </w:r>
      <w:r>
        <w:rPr>
          <w:rFonts w:hint="eastAsia" w:ascii="Times New Roman" w:hAnsi="Times New Roman" w:eastAsia="仿宋_GB2312"/>
          <w:color w:val="auto"/>
          <w:sz w:val="32"/>
          <w:szCs w:val="32"/>
          <w:highlight w:val="none"/>
        </w:rPr>
        <w:t>指同级财政当年拨付的资金。</w:t>
      </w:r>
    </w:p>
    <w:p w14:paraId="68BA33D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二、</w:t>
      </w:r>
      <w:r>
        <w:rPr>
          <w:rFonts w:hint="eastAsia" w:ascii="Times New Roman" w:hAnsi="Times New Roman" w:eastAsia="仿宋_GB2312"/>
          <w:b/>
          <w:bCs/>
          <w:color w:val="auto"/>
          <w:sz w:val="32"/>
          <w:szCs w:val="32"/>
          <w:highlight w:val="none"/>
        </w:rPr>
        <w:t>上级补助收入：</w:t>
      </w:r>
      <w:r>
        <w:rPr>
          <w:rFonts w:hint="eastAsia" w:ascii="Times New Roman" w:hAnsi="Times New Roman" w:eastAsia="仿宋_GB2312"/>
          <w:color w:val="auto"/>
          <w:sz w:val="32"/>
          <w:szCs w:val="32"/>
          <w:highlight w:val="none"/>
        </w:rPr>
        <w:t>指事业单位从主管部门和上级单位取得的非财政补助收入。</w:t>
      </w:r>
    </w:p>
    <w:p w14:paraId="497E262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三、</w:t>
      </w:r>
      <w:r>
        <w:rPr>
          <w:rFonts w:hint="eastAsia" w:ascii="Times New Roman" w:hAnsi="Times New Roman" w:eastAsia="仿宋_GB2312"/>
          <w:b/>
          <w:bCs/>
          <w:color w:val="auto"/>
          <w:sz w:val="32"/>
          <w:szCs w:val="32"/>
          <w:highlight w:val="none"/>
        </w:rPr>
        <w:t>事业收入：</w:t>
      </w:r>
      <w:r>
        <w:rPr>
          <w:rFonts w:hint="eastAsia" w:ascii="Times New Roman" w:hAnsi="Times New Roman" w:eastAsia="仿宋_GB2312"/>
          <w:color w:val="auto"/>
          <w:sz w:val="32"/>
          <w:szCs w:val="32"/>
          <w:highlight w:val="none"/>
        </w:rPr>
        <w:t>指事业单位开展专业业务活动及其辅助活动所取得的收入。</w:t>
      </w:r>
    </w:p>
    <w:p w14:paraId="75F3DCD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四、</w:t>
      </w:r>
      <w:r>
        <w:rPr>
          <w:rFonts w:hint="eastAsia" w:ascii="Times New Roman" w:hAnsi="Times New Roman" w:eastAsia="仿宋_GB2312"/>
          <w:b/>
          <w:bCs/>
          <w:color w:val="auto"/>
          <w:sz w:val="32"/>
          <w:szCs w:val="32"/>
          <w:highlight w:val="none"/>
        </w:rPr>
        <w:t>经营收入：</w:t>
      </w:r>
      <w:r>
        <w:rPr>
          <w:rFonts w:hint="eastAsia" w:ascii="Times New Roman" w:hAnsi="Times New Roman" w:eastAsia="仿宋_GB2312"/>
          <w:color w:val="auto"/>
          <w:sz w:val="32"/>
          <w:szCs w:val="32"/>
          <w:highlight w:val="none"/>
        </w:rPr>
        <w:t>指事业单位在专业业务活动及其辅助活动之外开展非独立核算经营活动取得的收入。</w:t>
      </w:r>
    </w:p>
    <w:p w14:paraId="04FCB46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五、</w:t>
      </w:r>
      <w:r>
        <w:rPr>
          <w:rFonts w:hint="eastAsia" w:ascii="Times New Roman" w:hAnsi="Times New Roman" w:eastAsia="仿宋_GB2312"/>
          <w:b/>
          <w:bCs/>
          <w:color w:val="auto"/>
          <w:sz w:val="32"/>
          <w:szCs w:val="32"/>
          <w:highlight w:val="none"/>
        </w:rPr>
        <w:t>附属单位上缴收入：</w:t>
      </w:r>
      <w:r>
        <w:rPr>
          <w:rFonts w:hint="eastAsia" w:ascii="Times New Roman" w:hAnsi="Times New Roman" w:eastAsia="仿宋_GB2312"/>
          <w:color w:val="auto"/>
          <w:sz w:val="32"/>
          <w:szCs w:val="32"/>
          <w:highlight w:val="none"/>
        </w:rPr>
        <w:t>指事业单位附属的独立核算单位按有关规定上缴的收入。</w:t>
      </w:r>
    </w:p>
    <w:p w14:paraId="67840C6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六、</w:t>
      </w:r>
      <w:r>
        <w:rPr>
          <w:rFonts w:hint="eastAsia" w:ascii="Times New Roman" w:hAnsi="Times New Roman" w:eastAsia="仿宋_GB2312"/>
          <w:b/>
          <w:bCs/>
          <w:color w:val="auto"/>
          <w:sz w:val="32"/>
          <w:szCs w:val="32"/>
          <w:highlight w:val="none"/>
        </w:rPr>
        <w:t>其他收入：</w:t>
      </w:r>
      <w:r>
        <w:rPr>
          <w:rFonts w:hint="eastAsia" w:ascii="Times New Roman" w:hAnsi="Times New Roman" w:eastAsia="仿宋_GB2312"/>
          <w:color w:val="auto"/>
          <w:sz w:val="32"/>
          <w:szCs w:val="32"/>
          <w:highlight w:val="none"/>
        </w:rPr>
        <w:t>指除上述“财政拨款收入”、“事业收入”、“经营收入”、“附属单位上缴收入”等之外取得的收入。</w:t>
      </w:r>
    </w:p>
    <w:p w14:paraId="0F2C4A0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七、</w:t>
      </w:r>
      <w:r>
        <w:rPr>
          <w:rFonts w:hint="eastAsia" w:ascii="Times New Roman" w:hAnsi="Times New Roman" w:eastAsia="仿宋_GB2312"/>
          <w:b/>
          <w:bCs/>
          <w:color w:val="auto"/>
          <w:sz w:val="32"/>
          <w:szCs w:val="32"/>
          <w:highlight w:val="none"/>
          <w:lang w:eastAsia="zh-CN"/>
        </w:rPr>
        <w:t>年初</w:t>
      </w:r>
      <w:r>
        <w:rPr>
          <w:rFonts w:hint="eastAsia" w:ascii="Times New Roman" w:hAnsi="Times New Roman" w:eastAsia="仿宋_GB2312"/>
          <w:b/>
          <w:bCs/>
          <w:color w:val="auto"/>
          <w:sz w:val="32"/>
          <w:szCs w:val="32"/>
          <w:highlight w:val="none"/>
        </w:rPr>
        <w:t>结转和结余：</w:t>
      </w:r>
      <w:r>
        <w:rPr>
          <w:rFonts w:hint="eastAsia" w:ascii="Times New Roman" w:hAnsi="Times New Roman"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7CB4461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八、</w:t>
      </w:r>
      <w:r>
        <w:rPr>
          <w:rFonts w:hint="eastAsia" w:ascii="Times New Roman" w:hAnsi="Times New Roman" w:eastAsia="仿宋_GB2312"/>
          <w:b/>
          <w:bCs/>
          <w:color w:val="auto"/>
          <w:sz w:val="32"/>
          <w:szCs w:val="32"/>
          <w:highlight w:val="none"/>
        </w:rPr>
        <w:t>年末结转和结余：</w:t>
      </w:r>
      <w:r>
        <w:rPr>
          <w:rFonts w:hint="eastAsia" w:ascii="Times New Roman" w:hAnsi="Times New Roman"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687FCF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九、</w:t>
      </w:r>
      <w:r>
        <w:rPr>
          <w:rFonts w:hint="eastAsia" w:ascii="Times New Roman" w:hAnsi="Times New Roman" w:eastAsia="仿宋_GB2312"/>
          <w:b/>
          <w:bCs/>
          <w:color w:val="auto"/>
          <w:sz w:val="32"/>
          <w:szCs w:val="32"/>
          <w:highlight w:val="none"/>
        </w:rPr>
        <w:t>基本支出：</w:t>
      </w:r>
      <w:r>
        <w:rPr>
          <w:rFonts w:hint="eastAsia" w:ascii="Times New Roman" w:hAnsi="Times New Roman" w:eastAsia="仿宋_GB2312"/>
          <w:color w:val="auto"/>
          <w:sz w:val="32"/>
          <w:szCs w:val="32"/>
          <w:highlight w:val="none"/>
        </w:rPr>
        <w:t>指为保障机构正常运转、完成日常工作任务而发生的人员支出和公用支出。</w:t>
      </w:r>
    </w:p>
    <w:p w14:paraId="5D2AFA0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十、</w:t>
      </w:r>
      <w:r>
        <w:rPr>
          <w:rFonts w:hint="eastAsia" w:ascii="Times New Roman" w:hAnsi="Times New Roman" w:eastAsia="仿宋_GB2312"/>
          <w:b/>
          <w:bCs/>
          <w:color w:val="auto"/>
          <w:sz w:val="32"/>
          <w:szCs w:val="32"/>
          <w:highlight w:val="none"/>
        </w:rPr>
        <w:t>项目支出：</w:t>
      </w:r>
      <w:r>
        <w:rPr>
          <w:rFonts w:hint="eastAsia" w:ascii="Times New Roman" w:hAnsi="Times New Roman" w:eastAsia="仿宋_GB2312"/>
          <w:color w:val="auto"/>
          <w:sz w:val="32"/>
          <w:szCs w:val="32"/>
          <w:highlight w:val="none"/>
        </w:rPr>
        <w:t>指在基本支出之外为完成特定行政任务和事业发展目标所发生的支出。</w:t>
      </w:r>
    </w:p>
    <w:p w14:paraId="196860F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十一、</w:t>
      </w:r>
      <w:r>
        <w:rPr>
          <w:rFonts w:hint="eastAsia" w:ascii="Times New Roman" w:hAnsi="Times New Roman" w:eastAsia="仿宋_GB2312"/>
          <w:b/>
          <w:bCs/>
          <w:color w:val="auto"/>
          <w:sz w:val="32"/>
          <w:szCs w:val="32"/>
          <w:highlight w:val="none"/>
        </w:rPr>
        <w:t>经营支出：</w:t>
      </w:r>
      <w:r>
        <w:rPr>
          <w:rFonts w:hint="eastAsia" w:ascii="Times New Roman" w:hAnsi="Times New Roman" w:eastAsia="仿宋_GB2312"/>
          <w:color w:val="auto"/>
          <w:sz w:val="32"/>
          <w:szCs w:val="32"/>
          <w:highlight w:val="none"/>
        </w:rPr>
        <w:t>指事业单位在专业业务活动及其辅助活动之外开展非独立核算经营活动发生的支出。</w:t>
      </w:r>
    </w:p>
    <w:p w14:paraId="636A880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十二、</w:t>
      </w:r>
      <w:r>
        <w:rPr>
          <w:rFonts w:hint="eastAsia" w:ascii="Times New Roman" w:hAnsi="Times New Roman" w:eastAsia="仿宋_GB2312"/>
          <w:b/>
          <w:bCs/>
          <w:color w:val="auto"/>
          <w:sz w:val="32"/>
          <w:szCs w:val="32"/>
          <w:highlight w:val="none"/>
        </w:rPr>
        <w:t>对附属单位补助支出：</w:t>
      </w:r>
      <w:r>
        <w:rPr>
          <w:rFonts w:hint="eastAsia" w:ascii="Times New Roman" w:hAnsi="Times New Roman" w:eastAsia="仿宋_GB2312"/>
          <w:color w:val="auto"/>
          <w:sz w:val="32"/>
          <w:szCs w:val="32"/>
          <w:highlight w:val="none"/>
        </w:rPr>
        <w:t>指事业单位发生的用非财政预算资金对附属单位的补助支出。</w:t>
      </w:r>
    </w:p>
    <w:p w14:paraId="2419B38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b/>
          <w:bCs/>
          <w:color w:val="auto"/>
          <w:sz w:val="32"/>
          <w:szCs w:val="32"/>
          <w:highlight w:val="none"/>
          <w:lang w:val="en-US" w:eastAsia="zh-CN"/>
        </w:rPr>
        <w:t>十三、</w:t>
      </w:r>
      <w:r>
        <w:rPr>
          <w:rFonts w:hint="eastAsia" w:ascii="Times New Roman" w:hAnsi="Times New Roman" w:eastAsia="仿宋_GB2312"/>
          <w:b/>
          <w:bCs/>
          <w:color w:val="auto"/>
          <w:sz w:val="32"/>
          <w:szCs w:val="32"/>
          <w:highlight w:val="none"/>
        </w:rPr>
        <w:t>“三公”经费：</w:t>
      </w:r>
      <w:r>
        <w:rPr>
          <w:rFonts w:hint="eastAsia" w:ascii="Times New Roman" w:hAnsi="Times New Roman"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Times New Roman" w:hAnsi="Times New Roman" w:eastAsia="仿宋_GB2312"/>
          <w:color w:val="auto"/>
          <w:sz w:val="32"/>
          <w:szCs w:val="32"/>
          <w:highlight w:val="none"/>
          <w:lang w:eastAsia="zh-CN"/>
        </w:rPr>
        <w:t>国际旅费、国外城市间交通费、</w:t>
      </w:r>
      <w:r>
        <w:rPr>
          <w:rFonts w:hint="eastAsia" w:ascii="Times New Roman" w:hAnsi="Times New Roman" w:eastAsia="仿宋_GB2312"/>
          <w:color w:val="auto"/>
          <w:sz w:val="32"/>
          <w:szCs w:val="32"/>
          <w:highlight w:val="none"/>
        </w:rPr>
        <w:t>住宿费、伙食费、培训费、</w:t>
      </w:r>
      <w:r>
        <w:rPr>
          <w:rFonts w:hint="eastAsia" w:ascii="Times New Roman" w:hAnsi="Times New Roman" w:eastAsia="仿宋_GB2312"/>
          <w:color w:val="auto"/>
          <w:sz w:val="32"/>
          <w:szCs w:val="32"/>
          <w:highlight w:val="none"/>
          <w:lang w:eastAsia="zh-CN"/>
        </w:rPr>
        <w:t>公</w:t>
      </w:r>
      <w:r>
        <w:rPr>
          <w:rFonts w:hint="eastAsia" w:ascii="Times New Roman" w:hAnsi="Times New Roman" w:eastAsia="仿宋_GB2312"/>
          <w:color w:val="auto"/>
          <w:sz w:val="32"/>
          <w:szCs w:val="32"/>
          <w:highlight w:val="none"/>
        </w:rPr>
        <w:t>杂费等支出；公务用车购置费</w:t>
      </w:r>
      <w:r>
        <w:rPr>
          <w:rFonts w:hint="eastAsia" w:ascii="Times New Roman" w:hAnsi="Times New Roman" w:eastAsia="仿宋_GB2312"/>
          <w:color w:val="auto"/>
          <w:sz w:val="32"/>
          <w:szCs w:val="32"/>
          <w:highlight w:val="none"/>
          <w:lang w:eastAsia="zh-CN"/>
        </w:rPr>
        <w:t>反映公务用车购置支出（含车辆购置税、牌照费）；</w:t>
      </w:r>
      <w:r>
        <w:rPr>
          <w:rFonts w:hint="eastAsia" w:ascii="Times New Roman" w:hAnsi="Times New Roman" w:eastAsia="仿宋_GB2312"/>
          <w:color w:val="auto"/>
          <w:sz w:val="32"/>
          <w:szCs w:val="32"/>
          <w:highlight w:val="none"/>
        </w:rPr>
        <w:t>公务用车运行</w:t>
      </w:r>
      <w:r>
        <w:rPr>
          <w:rFonts w:hint="eastAsia" w:ascii="Times New Roman" w:hAnsi="Times New Roman" w:eastAsia="仿宋_GB2312"/>
          <w:color w:val="auto"/>
          <w:sz w:val="32"/>
          <w:szCs w:val="32"/>
          <w:highlight w:val="none"/>
          <w:lang w:eastAsia="zh-CN"/>
        </w:rPr>
        <w:t>维护</w:t>
      </w:r>
      <w:r>
        <w:rPr>
          <w:rFonts w:hint="eastAsia" w:ascii="Times New Roman" w:hAnsi="Times New Roman" w:eastAsia="仿宋_GB2312"/>
          <w:color w:val="auto"/>
          <w:sz w:val="32"/>
          <w:szCs w:val="32"/>
          <w:highlight w:val="none"/>
        </w:rPr>
        <w:t>费反映</w:t>
      </w:r>
      <w:r>
        <w:rPr>
          <w:rFonts w:hint="eastAsia" w:ascii="Times New Roman" w:hAnsi="Times New Roman" w:eastAsia="仿宋_GB2312"/>
          <w:color w:val="auto"/>
          <w:sz w:val="32"/>
          <w:szCs w:val="32"/>
          <w:highlight w:val="none"/>
          <w:lang w:eastAsia="zh-CN"/>
        </w:rPr>
        <w:t>单位按规定保留的公务用车燃料费、维修费、</w:t>
      </w:r>
      <w:r>
        <w:rPr>
          <w:rFonts w:hint="eastAsia" w:ascii="Times New Roman" w:hAnsi="Times New Roman" w:eastAsia="仿宋_GB2312"/>
          <w:color w:val="auto"/>
          <w:sz w:val="32"/>
          <w:szCs w:val="32"/>
          <w:highlight w:val="none"/>
        </w:rPr>
        <w:t>过路过桥费、保险费、安全奖励费用等支出</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公务接待费反映单位按规定开支的各类公务接待（含外宾接待）</w:t>
      </w:r>
      <w:r>
        <w:rPr>
          <w:rFonts w:hint="eastAsia" w:ascii="Times New Roman" w:hAnsi="Times New Roman" w:eastAsia="仿宋_GB2312"/>
          <w:color w:val="auto"/>
          <w:sz w:val="32"/>
          <w:szCs w:val="32"/>
          <w:highlight w:val="none"/>
          <w:lang w:eastAsia="zh-CN"/>
        </w:rPr>
        <w:t>费用</w:t>
      </w:r>
      <w:r>
        <w:rPr>
          <w:rFonts w:hint="eastAsia" w:ascii="Times New Roman" w:hAnsi="Times New Roman" w:eastAsia="仿宋_GB2312"/>
          <w:color w:val="auto"/>
          <w:sz w:val="32"/>
          <w:szCs w:val="32"/>
          <w:highlight w:val="none"/>
        </w:rPr>
        <w:t>。</w:t>
      </w:r>
    </w:p>
    <w:p w14:paraId="16878A2E">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十四、</w:t>
      </w:r>
      <w:r>
        <w:rPr>
          <w:rFonts w:hint="eastAsia" w:ascii="Times New Roman" w:hAnsi="Times New Roman" w:eastAsia="仿宋_GB2312"/>
          <w:b/>
          <w:bCs/>
          <w:color w:val="auto"/>
          <w:sz w:val="32"/>
          <w:szCs w:val="32"/>
          <w:highlight w:val="none"/>
        </w:rPr>
        <w:t>机关运行经费：</w:t>
      </w:r>
      <w:r>
        <w:rPr>
          <w:rFonts w:hint="eastAsia" w:ascii="Times New Roman" w:hAnsi="Times New Roman" w:eastAsia="仿宋_GB2312"/>
          <w:color w:val="auto"/>
          <w:sz w:val="32"/>
          <w:szCs w:val="32"/>
          <w:highlight w:val="none"/>
        </w:rPr>
        <w:t>行政单位和参照公务员法管理的事业单位财政拨款基本支出中的公用经费支出。</w:t>
      </w:r>
    </w:p>
    <w:p w14:paraId="38BD6DC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Times New Roman" w:hAnsi="Times New Roman" w:eastAsia="黑体"/>
          <w:color w:val="auto"/>
          <w:sz w:val="32"/>
          <w:szCs w:val="32"/>
          <w:highlight w:val="none"/>
        </w:rPr>
      </w:pPr>
      <w:r>
        <w:rPr>
          <w:rFonts w:hint="eastAsia" w:ascii="Times New Roman" w:hAnsi="Times New Roman" w:eastAsia="仿宋_GB2312"/>
          <w:color w:val="auto"/>
          <w:sz w:val="32"/>
          <w:szCs w:val="32"/>
          <w:highlight w:val="none"/>
        </w:rPr>
        <w:br w:type="page"/>
      </w:r>
      <w:r>
        <w:rPr>
          <w:rFonts w:hint="eastAsia" w:ascii="Times New Roman" w:hAnsi="Times New Roman" w:eastAsia="黑体"/>
          <w:color w:val="auto"/>
          <w:sz w:val="32"/>
          <w:szCs w:val="32"/>
          <w:highlight w:val="none"/>
        </w:rPr>
        <w:t>第四部分 部门决算报表（见附表）</w:t>
      </w:r>
    </w:p>
    <w:p w14:paraId="24EED5A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32" w:name="_Toc6062"/>
      <w:bookmarkStart w:id="33" w:name="_Toc2183"/>
      <w:r>
        <w:rPr>
          <w:rFonts w:hint="eastAsia" w:ascii="Times New Roman" w:hAnsi="Times New Roman" w:eastAsia="仿宋_GB2312" w:cs="宋体"/>
          <w:bCs/>
          <w:color w:val="auto"/>
          <w:kern w:val="0"/>
          <w:sz w:val="32"/>
          <w:szCs w:val="32"/>
          <w:highlight w:val="none"/>
        </w:rPr>
        <w:t>一、《收入支出决算总表》</w:t>
      </w:r>
      <w:bookmarkEnd w:id="32"/>
      <w:bookmarkEnd w:id="33"/>
    </w:p>
    <w:p w14:paraId="0E3EF18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34" w:name="_Toc24532"/>
      <w:bookmarkStart w:id="35" w:name="_Toc30364"/>
      <w:r>
        <w:rPr>
          <w:rFonts w:hint="eastAsia" w:ascii="Times New Roman" w:hAnsi="Times New Roman" w:eastAsia="仿宋_GB2312" w:cs="宋体"/>
          <w:bCs/>
          <w:color w:val="auto"/>
          <w:kern w:val="0"/>
          <w:sz w:val="32"/>
          <w:szCs w:val="32"/>
          <w:highlight w:val="none"/>
        </w:rPr>
        <w:t>二、《收入决算表》</w:t>
      </w:r>
      <w:bookmarkEnd w:id="34"/>
      <w:bookmarkEnd w:id="35"/>
    </w:p>
    <w:p w14:paraId="473D5BD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36" w:name="_Toc32434"/>
      <w:bookmarkStart w:id="37" w:name="_Toc21304"/>
      <w:r>
        <w:rPr>
          <w:rFonts w:hint="eastAsia" w:ascii="Times New Roman" w:hAnsi="Times New Roman" w:eastAsia="仿宋_GB2312" w:cs="宋体"/>
          <w:bCs/>
          <w:color w:val="auto"/>
          <w:kern w:val="0"/>
          <w:sz w:val="32"/>
          <w:szCs w:val="32"/>
          <w:highlight w:val="none"/>
        </w:rPr>
        <w:t>三、《支出决算表》</w:t>
      </w:r>
      <w:bookmarkEnd w:id="36"/>
      <w:bookmarkEnd w:id="37"/>
    </w:p>
    <w:p w14:paraId="325958B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38" w:name="_Toc28786"/>
      <w:bookmarkStart w:id="39" w:name="_Toc14238"/>
      <w:r>
        <w:rPr>
          <w:rFonts w:hint="eastAsia" w:ascii="Times New Roman" w:hAnsi="Times New Roman" w:eastAsia="仿宋_GB2312" w:cs="宋体"/>
          <w:bCs/>
          <w:color w:val="auto"/>
          <w:kern w:val="0"/>
          <w:sz w:val="32"/>
          <w:szCs w:val="32"/>
          <w:highlight w:val="none"/>
        </w:rPr>
        <w:t>四、《财政拨款收入支出决算总表》</w:t>
      </w:r>
      <w:bookmarkEnd w:id="38"/>
      <w:bookmarkEnd w:id="39"/>
    </w:p>
    <w:p w14:paraId="04C3303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40" w:name="_Toc14869"/>
      <w:bookmarkStart w:id="41" w:name="_Toc10347"/>
      <w:r>
        <w:rPr>
          <w:rFonts w:hint="eastAsia" w:ascii="Times New Roman" w:hAnsi="Times New Roman" w:eastAsia="仿宋_GB2312" w:cs="宋体"/>
          <w:bCs/>
          <w:color w:val="auto"/>
          <w:kern w:val="0"/>
          <w:sz w:val="32"/>
          <w:szCs w:val="32"/>
          <w:highlight w:val="none"/>
        </w:rPr>
        <w:t>五、《一般公共预算财政拨款支出决算表》</w:t>
      </w:r>
      <w:bookmarkEnd w:id="40"/>
      <w:bookmarkEnd w:id="41"/>
    </w:p>
    <w:p w14:paraId="6544CA9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42" w:name="_Toc5626"/>
      <w:bookmarkStart w:id="43" w:name="_Toc8884"/>
      <w:r>
        <w:rPr>
          <w:rFonts w:hint="eastAsia" w:ascii="Times New Roman" w:hAnsi="Times New Roman" w:eastAsia="仿宋_GB2312" w:cs="宋体"/>
          <w:bCs/>
          <w:color w:val="auto"/>
          <w:kern w:val="0"/>
          <w:sz w:val="32"/>
          <w:szCs w:val="32"/>
          <w:highlight w:val="none"/>
        </w:rPr>
        <w:t>六、《一般公共预算财政拨款基本支出决算表》</w:t>
      </w:r>
      <w:bookmarkEnd w:id="42"/>
      <w:bookmarkEnd w:id="43"/>
    </w:p>
    <w:p w14:paraId="4AD026F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r>
        <w:rPr>
          <w:rFonts w:hint="eastAsia" w:ascii="Times New Roman" w:hAnsi="Times New Roman" w:eastAsia="仿宋_GB2312" w:cs="宋体"/>
          <w:bCs/>
          <w:color w:val="auto"/>
          <w:kern w:val="0"/>
          <w:sz w:val="32"/>
          <w:szCs w:val="32"/>
          <w:highlight w:val="none"/>
        </w:rPr>
        <w:t>七、</w:t>
      </w:r>
      <w:bookmarkStart w:id="44" w:name="_Toc29106"/>
      <w:bookmarkStart w:id="45" w:name="_Toc32663"/>
      <w:r>
        <w:rPr>
          <w:rFonts w:hint="eastAsia" w:ascii="Times New Roman" w:hAnsi="Times New Roman" w:eastAsia="仿宋_GB2312" w:cs="宋体"/>
          <w:bCs/>
          <w:color w:val="auto"/>
          <w:kern w:val="0"/>
          <w:sz w:val="32"/>
          <w:szCs w:val="32"/>
          <w:highlight w:val="none"/>
        </w:rPr>
        <w:t>《财政拨款“三公”经费支出决算表》</w:t>
      </w:r>
      <w:bookmarkEnd w:id="44"/>
      <w:bookmarkEnd w:id="45"/>
    </w:p>
    <w:p w14:paraId="4B95ED6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46" w:name="_Toc5453"/>
      <w:bookmarkStart w:id="47" w:name="_Toc7643"/>
      <w:r>
        <w:rPr>
          <w:rFonts w:hint="eastAsia" w:ascii="Times New Roman" w:hAnsi="Times New Roman" w:eastAsia="仿宋_GB2312" w:cs="宋体"/>
          <w:bCs/>
          <w:color w:val="auto"/>
          <w:kern w:val="0"/>
          <w:sz w:val="32"/>
          <w:szCs w:val="32"/>
          <w:highlight w:val="none"/>
        </w:rPr>
        <w:t>八、《政府性基金预算财政拨款收入支出决算表》</w:t>
      </w:r>
      <w:bookmarkEnd w:id="46"/>
      <w:bookmarkEnd w:id="47"/>
    </w:p>
    <w:p w14:paraId="40C50DA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r>
        <w:rPr>
          <w:rFonts w:hint="eastAsia" w:ascii="Times New Roman" w:hAnsi="Times New Roman" w:eastAsia="仿宋_GB2312" w:cs="宋体"/>
          <w:bCs/>
          <w:color w:val="auto"/>
          <w:kern w:val="0"/>
          <w:sz w:val="32"/>
          <w:szCs w:val="32"/>
          <w:highlight w:val="none"/>
          <w:lang w:val="en-US" w:eastAsia="zh-CN"/>
        </w:rPr>
        <w:t>九</w:t>
      </w:r>
      <w:r>
        <w:rPr>
          <w:rFonts w:hint="eastAsia" w:ascii="Times New Roman" w:hAnsi="Times New Roman" w:eastAsia="仿宋_GB2312" w:cs="宋体"/>
          <w:bCs/>
          <w:color w:val="auto"/>
          <w:kern w:val="0"/>
          <w:sz w:val="32"/>
          <w:szCs w:val="32"/>
          <w:highlight w:val="none"/>
        </w:rPr>
        <w:t>、《</w:t>
      </w:r>
      <w:r>
        <w:rPr>
          <w:rFonts w:hint="eastAsia" w:ascii="Times New Roman" w:hAnsi="Times New Roman" w:eastAsia="仿宋_GB2312" w:cs="宋体"/>
          <w:bCs/>
          <w:color w:val="auto"/>
          <w:kern w:val="0"/>
          <w:sz w:val="32"/>
          <w:szCs w:val="32"/>
          <w:highlight w:val="none"/>
          <w:lang w:eastAsia="zh-CN"/>
        </w:rPr>
        <w:t>国有资本经营</w:t>
      </w:r>
      <w:r>
        <w:rPr>
          <w:rFonts w:hint="eastAsia" w:ascii="Times New Roman" w:hAnsi="Times New Roman" w:eastAsia="仿宋_GB2312" w:cs="宋体"/>
          <w:bCs/>
          <w:color w:val="auto"/>
          <w:kern w:val="0"/>
          <w:sz w:val="32"/>
          <w:szCs w:val="32"/>
          <w:highlight w:val="none"/>
        </w:rPr>
        <w:t>预算财政拨款收入支出决算表》</w:t>
      </w:r>
    </w:p>
    <w:p w14:paraId="0497ED7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Times New Roman" w:hAnsi="Times New Roman" w:eastAsia="仿宋_GB2312"/>
          <w:color w:val="auto"/>
          <w:sz w:val="32"/>
          <w:szCs w:val="32"/>
          <w:highlight w:val="none"/>
        </w:rPr>
      </w:pPr>
    </w:p>
    <w:p w14:paraId="455AE9A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CD60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D824AC">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34D824AC">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zNjhjZjkxMjg2OGJjOTQ0NThhNzBhOGI4YTVmYWYifQ=="/>
    <w:docVar w:name="KSO_WPS_MARK_KEY" w:val="41ee2a61-2d54-4f93-83be-afdb9a40d732"/>
  </w:docVars>
  <w:rsids>
    <w:rsidRoot w:val="00000000"/>
    <w:rsid w:val="00213C59"/>
    <w:rsid w:val="003210CE"/>
    <w:rsid w:val="00B70D59"/>
    <w:rsid w:val="00F52A8D"/>
    <w:rsid w:val="019404F8"/>
    <w:rsid w:val="01ED22F2"/>
    <w:rsid w:val="02BD3108"/>
    <w:rsid w:val="02F73D26"/>
    <w:rsid w:val="033774E1"/>
    <w:rsid w:val="034D4FEF"/>
    <w:rsid w:val="035D1785"/>
    <w:rsid w:val="039F47CE"/>
    <w:rsid w:val="03BD5310"/>
    <w:rsid w:val="03E05CE8"/>
    <w:rsid w:val="03F973EE"/>
    <w:rsid w:val="043E5B56"/>
    <w:rsid w:val="04C04386"/>
    <w:rsid w:val="04D1736D"/>
    <w:rsid w:val="04D96608"/>
    <w:rsid w:val="04F210E4"/>
    <w:rsid w:val="04FA68C4"/>
    <w:rsid w:val="04FC6AE0"/>
    <w:rsid w:val="053F5AE6"/>
    <w:rsid w:val="057C0B0F"/>
    <w:rsid w:val="05EF4B48"/>
    <w:rsid w:val="05F76ECA"/>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884ED7"/>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CD55E9C"/>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7C6EE4"/>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6F8653D"/>
    <w:rsid w:val="37A755DD"/>
    <w:rsid w:val="37F33BFE"/>
    <w:rsid w:val="37F94FA0"/>
    <w:rsid w:val="380D3381"/>
    <w:rsid w:val="38115B1F"/>
    <w:rsid w:val="385E3AC3"/>
    <w:rsid w:val="38726196"/>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BA03DF"/>
    <w:rsid w:val="4CEE3180"/>
    <w:rsid w:val="4D0F4AF6"/>
    <w:rsid w:val="4DF94F37"/>
    <w:rsid w:val="4E0A1DD5"/>
    <w:rsid w:val="4E3160E5"/>
    <w:rsid w:val="4E4D37AF"/>
    <w:rsid w:val="4E5B69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5A4825"/>
    <w:rsid w:val="58CD2491"/>
    <w:rsid w:val="58FA7DB6"/>
    <w:rsid w:val="591B41B2"/>
    <w:rsid w:val="59254A26"/>
    <w:rsid w:val="59326325"/>
    <w:rsid w:val="594639FC"/>
    <w:rsid w:val="595C505B"/>
    <w:rsid w:val="595E55C3"/>
    <w:rsid w:val="596E7E20"/>
    <w:rsid w:val="5A5D23AA"/>
    <w:rsid w:val="5A60780B"/>
    <w:rsid w:val="5AB34579"/>
    <w:rsid w:val="5AB40E78"/>
    <w:rsid w:val="5AFC6609"/>
    <w:rsid w:val="5B113480"/>
    <w:rsid w:val="5BD456CE"/>
    <w:rsid w:val="5C0D1F49"/>
    <w:rsid w:val="5CBB0CE2"/>
    <w:rsid w:val="5CC17177"/>
    <w:rsid w:val="5CF306BC"/>
    <w:rsid w:val="5D3F3D64"/>
    <w:rsid w:val="5D833043"/>
    <w:rsid w:val="5DD92690"/>
    <w:rsid w:val="5DDB1CFD"/>
    <w:rsid w:val="5E7E6D93"/>
    <w:rsid w:val="5E922B38"/>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727B54"/>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304F8E"/>
    <w:rsid w:val="7A6242BF"/>
    <w:rsid w:val="7A794513"/>
    <w:rsid w:val="7A9B3811"/>
    <w:rsid w:val="7AB467DA"/>
    <w:rsid w:val="7AB9318D"/>
    <w:rsid w:val="7AE952D2"/>
    <w:rsid w:val="7BB607FE"/>
    <w:rsid w:val="7C7248A0"/>
    <w:rsid w:val="7C976D69"/>
    <w:rsid w:val="7CD752DA"/>
    <w:rsid w:val="7CDE40AB"/>
    <w:rsid w:val="7CF057E2"/>
    <w:rsid w:val="7D1548B5"/>
    <w:rsid w:val="7DF84014"/>
    <w:rsid w:val="7E207949"/>
    <w:rsid w:val="7E220711"/>
    <w:rsid w:val="7E5C0A47"/>
    <w:rsid w:val="7E670C75"/>
    <w:rsid w:val="7E994FBB"/>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5717</Words>
  <Characters>6484</Characters>
  <Lines>0</Lines>
  <Paragraphs>0</Paragraphs>
  <TotalTime>0</TotalTime>
  <ScaleCrop>false</ScaleCrop>
  <LinksUpToDate>false</LinksUpToDate>
  <CharactersWithSpaces>6495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礼</cp:lastModifiedBy>
  <dcterms:modified xsi:type="dcterms:W3CDTF">2024-09-19T04:51:52Z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D624B15633CD43C8BF9435464A96BF70</vt:lpwstr>
  </property>
</Properties>
</file>