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方正小标宋_GBK" w:hAnsi="华文中宋" w:eastAsia="方正小标宋_GBK" w:cs="宋体"/>
          <w:b w:val="0"/>
          <w:bCs w:val="0"/>
          <w:kern w:val="0"/>
          <w:sz w:val="48"/>
          <w:szCs w:val="48"/>
        </w:rPr>
      </w:pPr>
      <w:r>
        <w:rPr>
          <w:rFonts w:hint="eastAsia" w:ascii="方正小标宋_GBK" w:hAnsi="华文中宋" w:eastAsia="方正小标宋_GBK" w:cs="宋体"/>
          <w:b w:val="0"/>
          <w:bCs w:val="0"/>
          <w:kern w:val="0"/>
          <w:sz w:val="48"/>
          <w:szCs w:val="48"/>
        </w:rPr>
        <w:t>自治区财政项目支出绩效自评报告</w:t>
      </w: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hAnsi="宋体" w:eastAsia="仿宋_GB2312" w:cs="宋体"/>
          <w:b w:val="0"/>
          <w:bCs w:val="0"/>
          <w:kern w:val="0"/>
          <w:sz w:val="36"/>
          <w:szCs w:val="36"/>
        </w:rPr>
      </w:pPr>
      <w:r>
        <w:rPr>
          <w:rFonts w:hint="eastAsia" w:hAnsi="宋体" w:eastAsia="仿宋_GB2312" w:cs="宋体"/>
          <w:b w:val="0"/>
          <w:bCs w:val="0"/>
          <w:kern w:val="0"/>
          <w:sz w:val="36"/>
          <w:szCs w:val="36"/>
        </w:rPr>
        <w:t xml:space="preserve">（   </w:t>
      </w:r>
      <w:r>
        <w:rPr>
          <w:rStyle w:val="18"/>
          <w:rFonts w:hint="eastAsia" w:ascii="楷体" w:hAnsi="楷体" w:eastAsia="楷体"/>
          <w:b w:val="0"/>
          <w:bCs w:val="0"/>
          <w:spacing w:val="-4"/>
          <w:sz w:val="32"/>
          <w:szCs w:val="32"/>
        </w:rPr>
        <w:t>2023</w:t>
      </w:r>
      <w:r>
        <w:rPr>
          <w:rFonts w:hint="eastAsia" w:hAnsi="宋体" w:eastAsia="仿宋_GB2312" w:cs="宋体"/>
          <w:b w:val="0"/>
          <w:bCs w:val="0"/>
          <w:kern w:val="0"/>
          <w:sz w:val="36"/>
          <w:szCs w:val="36"/>
        </w:rPr>
        <w:t xml:space="preserve">  年度）</w:t>
      </w:r>
    </w:p>
    <w:p>
      <w:pPr>
        <w:spacing w:line="540" w:lineRule="exact"/>
        <w:jc w:val="center"/>
        <w:rPr>
          <w:rFonts w:hAnsi="宋体" w:eastAsia="仿宋_GB2312" w:cs="宋体"/>
          <w:b w:val="0"/>
          <w:bCs w:val="0"/>
          <w:kern w:val="0"/>
          <w:sz w:val="30"/>
          <w:szCs w:val="30"/>
        </w:rPr>
      </w:pPr>
    </w:p>
    <w:p>
      <w:pPr>
        <w:spacing w:line="540" w:lineRule="exact"/>
        <w:jc w:val="center"/>
        <w:rPr>
          <w:rFonts w:hAnsi="宋体" w:eastAsia="仿宋_GB2312" w:cs="宋体"/>
          <w:b w:val="0"/>
          <w:bCs w:val="0"/>
          <w:kern w:val="0"/>
          <w:sz w:val="30"/>
          <w:szCs w:val="30"/>
        </w:rPr>
      </w:pPr>
    </w:p>
    <w:p>
      <w:pPr>
        <w:spacing w:line="540" w:lineRule="exact"/>
        <w:jc w:val="center"/>
        <w:rPr>
          <w:rFonts w:ascii="方正小标宋_GBK" w:hAnsi="宋体" w:eastAsia="方正小标宋_GBK" w:cs="宋体"/>
          <w:b w:val="0"/>
          <w:bCs w:val="0"/>
          <w:kern w:val="0"/>
          <w:sz w:val="36"/>
          <w:szCs w:val="36"/>
        </w:rPr>
      </w:pPr>
    </w:p>
    <w:p>
      <w:pPr>
        <w:spacing w:line="540" w:lineRule="exact"/>
        <w:jc w:val="center"/>
        <w:rPr>
          <w:rFonts w:hAnsi="宋体" w:eastAsia="仿宋_GB2312" w:cs="宋体"/>
          <w:b w:val="0"/>
          <w:bCs w:val="0"/>
          <w:kern w:val="0"/>
          <w:sz w:val="30"/>
          <w:szCs w:val="30"/>
        </w:rPr>
      </w:pPr>
    </w:p>
    <w:p>
      <w:pPr>
        <w:spacing w:line="540" w:lineRule="exact"/>
        <w:jc w:val="center"/>
        <w:rPr>
          <w:rFonts w:hAnsi="宋体" w:eastAsia="仿宋_GB2312" w:cs="宋体"/>
          <w:b w:val="0"/>
          <w:bCs w:val="0"/>
          <w:kern w:val="0"/>
          <w:sz w:val="30"/>
          <w:szCs w:val="30"/>
        </w:rPr>
      </w:pPr>
    </w:p>
    <w:p>
      <w:pPr>
        <w:spacing w:line="540" w:lineRule="exact"/>
        <w:jc w:val="center"/>
        <w:rPr>
          <w:rFonts w:hAnsi="宋体" w:eastAsia="仿宋_GB2312" w:cs="宋体"/>
          <w:b w:val="0"/>
          <w:bCs w:val="0"/>
          <w:kern w:val="0"/>
          <w:sz w:val="30"/>
          <w:szCs w:val="30"/>
        </w:rPr>
      </w:pPr>
    </w:p>
    <w:p>
      <w:pPr>
        <w:spacing w:line="540" w:lineRule="exact"/>
        <w:rPr>
          <w:rFonts w:hAnsi="宋体" w:eastAsia="仿宋_GB2312" w:cs="宋体"/>
          <w:b w:val="0"/>
          <w:bCs w:val="0"/>
          <w:kern w:val="0"/>
          <w:sz w:val="30"/>
          <w:szCs w:val="30"/>
        </w:rPr>
      </w:pPr>
    </w:p>
    <w:p>
      <w:pPr>
        <w:spacing w:line="700" w:lineRule="exact"/>
        <w:jc w:val="left"/>
        <w:rPr>
          <w:rFonts w:hAnsi="宋体" w:eastAsia="仿宋_GB2312" w:cs="宋体"/>
          <w:b w:val="0"/>
          <w:bCs w:val="0"/>
          <w:kern w:val="0"/>
          <w:sz w:val="36"/>
          <w:szCs w:val="36"/>
        </w:rPr>
      </w:pPr>
      <w:r>
        <w:rPr>
          <w:rFonts w:hint="eastAsia" w:hAnsi="宋体" w:eastAsia="仿宋_GB2312" w:cs="宋体"/>
          <w:b w:val="0"/>
          <w:bCs w:val="0"/>
          <w:kern w:val="0"/>
          <w:sz w:val="36"/>
          <w:szCs w:val="36"/>
        </w:rPr>
        <w:t xml:space="preserve">     </w:t>
      </w:r>
    </w:p>
    <w:p>
      <w:pPr>
        <w:spacing w:line="700" w:lineRule="exact"/>
        <w:ind w:firstLine="900" w:firstLineChars="250"/>
        <w:jc w:val="left"/>
        <w:rPr>
          <w:rFonts w:hAnsi="宋体" w:eastAsia="仿宋_GB2312" w:cs="宋体"/>
          <w:b w:val="0"/>
          <w:bCs w:val="0"/>
          <w:kern w:val="0"/>
          <w:sz w:val="36"/>
          <w:szCs w:val="36"/>
        </w:rPr>
      </w:pPr>
      <w:r>
        <w:rPr>
          <w:rFonts w:hint="eastAsia" w:hAnsi="宋体" w:eastAsia="仿宋_GB2312" w:cs="宋体"/>
          <w:b w:val="0"/>
          <w:bCs w:val="0"/>
          <w:kern w:val="0"/>
          <w:sz w:val="36"/>
          <w:szCs w:val="36"/>
        </w:rPr>
        <w:t>项目名称：</w:t>
      </w:r>
      <w:r>
        <w:rPr>
          <w:rStyle w:val="18"/>
          <w:rFonts w:hint="eastAsia" w:ascii="楷体" w:hAnsi="楷体" w:eastAsia="楷体"/>
          <w:b w:val="0"/>
          <w:bCs w:val="0"/>
          <w:spacing w:val="-4"/>
          <w:sz w:val="32"/>
          <w:szCs w:val="32"/>
        </w:rPr>
        <w:t>政协委员活动费</w:t>
      </w:r>
    </w:p>
    <w:p>
      <w:pPr>
        <w:spacing w:line="540" w:lineRule="exact"/>
        <w:ind w:firstLine="567"/>
        <w:rPr>
          <w:rFonts w:ascii="楷体" w:hAnsi="楷体" w:eastAsia="楷体"/>
          <w:b w:val="0"/>
          <w:bCs w:val="0"/>
          <w:spacing w:val="-4"/>
          <w:sz w:val="32"/>
          <w:szCs w:val="32"/>
        </w:rPr>
      </w:pPr>
      <w:r>
        <w:rPr>
          <w:rFonts w:hint="eastAsia" w:hAnsi="宋体" w:eastAsia="仿宋_GB2312" w:cs="宋体"/>
          <w:b w:val="0"/>
          <w:bCs w:val="0"/>
          <w:kern w:val="0"/>
          <w:sz w:val="36"/>
          <w:szCs w:val="36"/>
        </w:rPr>
        <w:t xml:space="preserve">  实施单位（公章）：</w:t>
      </w:r>
      <w:r>
        <w:rPr>
          <w:rStyle w:val="18"/>
          <w:rFonts w:hint="eastAsia" w:ascii="楷体" w:hAnsi="楷体" w:eastAsia="楷体"/>
          <w:b w:val="0"/>
          <w:bCs w:val="0"/>
          <w:spacing w:val="-4"/>
          <w:sz w:val="28"/>
          <w:szCs w:val="28"/>
        </w:rPr>
        <w:t>中国人民政治协商会议新疆维吾尔自治区委员会办公厅</w:t>
      </w:r>
    </w:p>
    <w:p>
      <w:pPr>
        <w:spacing w:line="540" w:lineRule="exact"/>
        <w:ind w:firstLine="900" w:firstLineChars="250"/>
        <w:rPr>
          <w:rFonts w:ascii="楷体" w:hAnsi="楷体" w:eastAsia="楷体"/>
          <w:b w:val="0"/>
          <w:bCs w:val="0"/>
          <w:spacing w:val="-4"/>
          <w:sz w:val="28"/>
          <w:szCs w:val="28"/>
        </w:rPr>
      </w:pPr>
      <w:r>
        <w:rPr>
          <w:rFonts w:hint="eastAsia" w:hAnsi="宋体" w:eastAsia="仿宋_GB2312" w:cs="宋体"/>
          <w:b w:val="0"/>
          <w:bCs w:val="0"/>
          <w:kern w:val="0"/>
          <w:sz w:val="36"/>
          <w:szCs w:val="36"/>
        </w:rPr>
        <w:t>主管部门（公章）：</w:t>
      </w:r>
      <w:r>
        <w:rPr>
          <w:rStyle w:val="18"/>
          <w:rFonts w:hint="eastAsia" w:ascii="楷体" w:hAnsi="楷体" w:eastAsia="楷体"/>
          <w:b w:val="0"/>
          <w:bCs w:val="0"/>
          <w:spacing w:val="-4"/>
          <w:sz w:val="28"/>
          <w:szCs w:val="28"/>
        </w:rPr>
        <w:t>中国人民政治协商会议新疆维吾尔自治区委员会办公厅</w:t>
      </w:r>
    </w:p>
    <w:p>
      <w:pPr>
        <w:spacing w:line="540" w:lineRule="exact"/>
        <w:ind w:firstLine="900" w:firstLineChars="250"/>
        <w:rPr>
          <w:rFonts w:ascii="楷体" w:hAnsi="楷体" w:eastAsia="楷体"/>
          <w:b w:val="0"/>
          <w:bCs w:val="0"/>
          <w:spacing w:val="-4"/>
          <w:sz w:val="32"/>
          <w:szCs w:val="32"/>
        </w:rPr>
      </w:pPr>
      <w:r>
        <w:rPr>
          <w:rFonts w:hint="eastAsia" w:hAnsi="宋体" w:eastAsia="仿宋_GB2312" w:cs="宋体"/>
          <w:b w:val="0"/>
          <w:bCs w:val="0"/>
          <w:kern w:val="0"/>
          <w:sz w:val="36"/>
          <w:szCs w:val="36"/>
        </w:rPr>
        <w:t>项目负责人（签章）：</w:t>
      </w:r>
      <w:r>
        <w:rPr>
          <w:rStyle w:val="18"/>
          <w:rFonts w:hint="eastAsia" w:ascii="楷体" w:hAnsi="楷体" w:eastAsia="楷体"/>
          <w:b w:val="0"/>
          <w:bCs w:val="0"/>
          <w:spacing w:val="-4"/>
          <w:sz w:val="32"/>
          <w:szCs w:val="32"/>
        </w:rPr>
        <w:t>张振伟</w:t>
      </w:r>
    </w:p>
    <w:p>
      <w:pPr>
        <w:spacing w:line="540" w:lineRule="exact"/>
        <w:ind w:left="273" w:firstLine="567"/>
        <w:rPr>
          <w:rStyle w:val="18"/>
          <w:rFonts w:hint="eastAsia" w:ascii="楷体" w:hAnsi="楷体" w:eastAsia="楷体"/>
          <w:b w:val="0"/>
          <w:bCs w:val="0"/>
          <w:spacing w:val="-4"/>
          <w:sz w:val="32"/>
          <w:szCs w:val="32"/>
        </w:rPr>
      </w:pPr>
      <w:r>
        <w:rPr>
          <w:rFonts w:hint="eastAsia" w:hAnsi="宋体" w:eastAsia="仿宋_GB2312" w:cs="宋体"/>
          <w:b w:val="0"/>
          <w:bCs w:val="0"/>
          <w:kern w:val="0"/>
          <w:sz w:val="36"/>
          <w:szCs w:val="36"/>
        </w:rPr>
        <w:t>填报时间：</w:t>
      </w:r>
      <w:r>
        <w:rPr>
          <w:rStyle w:val="18"/>
          <w:rFonts w:hint="eastAsia" w:ascii="楷体" w:hAnsi="楷体" w:eastAsia="楷体"/>
          <w:b w:val="0"/>
          <w:bCs w:val="0"/>
          <w:spacing w:val="-4"/>
          <w:sz w:val="32"/>
          <w:szCs w:val="32"/>
        </w:rPr>
        <w:t>2024年03月19日</w:t>
      </w:r>
    </w:p>
    <w:p>
      <w:pPr>
        <w:pStyle w:val="2"/>
      </w:pPr>
    </w:p>
    <w:p>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rPr>
        <w:t>一、基本情况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（一）项目概况。包括项目背景、主要内容及实施情况、资金投入和使用情况等。</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为保障政协委员考察、视察、调研，增强政协委员履行职责的使命感和责任感，使政协委员及时反映社情民意，主动为基层排忧解难，发挥政协委员的主体作用，发挥各民主党派、无党派人士的作用，发挥政协组织的界别特点和优势，促进政协履行职能的制度化、规范化、程序化，特设定此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（1）主要内容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一是保证自治区政协委员开展各项活动的资金需要；二是保障参加全国两会人员差旅费；三是确保文史资料出版征集、“书香政协”建设工作场地资料筹备等经费；四是保障迎新年茶话会顺利召开。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本项目已纳入全口径绩效管理，已按照财政绩效管理规定开展绩效目标设置、自评等工作。按照相关文件要求，强化资金使用监管，严格执行有关财政制度，进一步加强预算绩效管理，在预算执行中做好绩效监控，预算执行完做好绩效评价，切实提高资金使用效益。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 3.资金投入和使用情况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2023年度自治区财政厅下达政协委员活动费项目指标预算资金为528万元，资金到位528万元，到位率100%。截至2023年底，已执行527.</w:t>
      </w:r>
      <w:r>
        <w:rPr>
          <w:rStyle w:val="18"/>
          <w:rFonts w:hint="eastAsia" w:ascii="楷体" w:hAnsi="楷体" w:eastAsia="楷体"/>
          <w:b w:val="0"/>
          <w:bCs w:val="0"/>
          <w:spacing w:val="-4"/>
          <w:sz w:val="32"/>
          <w:szCs w:val="32"/>
          <w:lang w:val="en-US" w:eastAsia="zh-CN"/>
        </w:rPr>
        <w:t>58</w:t>
      </w:r>
      <w:r>
        <w:rPr>
          <w:rStyle w:val="18"/>
          <w:rFonts w:hint="eastAsia" w:ascii="楷体" w:hAnsi="楷体" w:eastAsia="楷体"/>
          <w:b w:val="0"/>
          <w:bCs w:val="0"/>
          <w:spacing w:val="-4"/>
          <w:sz w:val="32"/>
          <w:szCs w:val="32"/>
        </w:rPr>
        <w:t>万元，执行率99.9</w:t>
      </w:r>
      <w:r>
        <w:rPr>
          <w:rStyle w:val="18"/>
          <w:rFonts w:hint="eastAsia" w:ascii="楷体" w:hAnsi="楷体" w:eastAsia="楷体"/>
          <w:b w:val="0"/>
          <w:bCs w:val="0"/>
          <w:spacing w:val="-4"/>
          <w:sz w:val="32"/>
          <w:szCs w:val="32"/>
          <w:lang w:val="en-US" w:eastAsia="zh-CN"/>
        </w:rPr>
        <w:t>2</w:t>
      </w:r>
      <w:r>
        <w:rPr>
          <w:rStyle w:val="18"/>
          <w:rFonts w:hint="eastAsia" w:ascii="楷体" w:hAnsi="楷体" w:eastAsia="楷体"/>
          <w:b w:val="0"/>
          <w:bCs w:val="0"/>
          <w:spacing w:val="-4"/>
          <w:sz w:val="32"/>
          <w:szCs w:val="32"/>
        </w:rPr>
        <w:t>%。资金具体使用情况为：（1）自治区政协委员开展考察、视察、订报等各项活动经费334.25万元，占项目资金的63.32%；（2）自治区政协委员、政协机关干部和基层政协工作人员培训费55.08万元，占项目资金的10.43%；（3）文史资料出版征集、审读费、“书香政协”建设费70万元，占项目资金的13.26%；（4）地州政协委员活动费38.</w:t>
      </w:r>
      <w:r>
        <w:rPr>
          <w:rStyle w:val="18"/>
          <w:rFonts w:hint="eastAsia" w:ascii="楷体" w:hAnsi="楷体" w:eastAsia="楷体"/>
          <w:b w:val="0"/>
          <w:bCs w:val="0"/>
          <w:spacing w:val="-4"/>
          <w:sz w:val="32"/>
          <w:szCs w:val="32"/>
          <w:lang w:val="en-US" w:eastAsia="zh-CN"/>
        </w:rPr>
        <w:t>25</w:t>
      </w:r>
      <w:r>
        <w:rPr>
          <w:rStyle w:val="18"/>
          <w:rFonts w:hint="eastAsia" w:ascii="楷体" w:hAnsi="楷体" w:eastAsia="楷体"/>
          <w:b w:val="0"/>
          <w:bCs w:val="0"/>
          <w:spacing w:val="-4"/>
          <w:sz w:val="32"/>
          <w:szCs w:val="32"/>
        </w:rPr>
        <w:t>万元占项目资金的7.3%；（5）文印设备租赁费30万元，占项目资金的5.69%。</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（二）项目绩效目标。包括总体目标</w:t>
      </w:r>
      <w:bookmarkStart w:id="0" w:name="_GoBack"/>
      <w:bookmarkEnd w:id="0"/>
      <w:r>
        <w:rPr>
          <w:rStyle w:val="18"/>
          <w:rFonts w:hint="eastAsia" w:ascii="楷体" w:hAnsi="楷体" w:eastAsia="楷体"/>
          <w:b w:val="0"/>
          <w:bCs w:val="0"/>
          <w:spacing w:val="-4"/>
          <w:sz w:val="32"/>
          <w:szCs w:val="32"/>
        </w:rPr>
        <w:t>和阶段性目标。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总体目标：①保证自治区政协委员开展各项活动的资金需要。通过政协委员考察、视察、培训，增强了政协委员履行职责的使命感和责任感，使政协委员及时反映社情民意，主动为基层排忧解难，从而发挥了政协委员的主体作用，发挥了各民主党派、无党派人士的作用，发挥了政协组织的界别特点和优势，促进了履行职能的制度化、规范化、程序化；有利于各级党委和政府广泛集中民智、代表民意、凝聚民力，贯彻落实中央的各项决策部署，促进新疆经济建设、政治建设、文化建设和社会建设。②保障参加全国两会人员50余人交通费、资料费、差旅费等经费。③确保文史资料出版征集、“书香政协”建设工作场地资料筹备等经费。④保障迎新年茶话会顺利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1）产出指标①数量指标</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调研报告数量&gt;=20篇</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调研次数&gt;=20次</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会议培训次数&gt;=3次</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会议培训人数&gt;=650人</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迎新年茶话会会议人数&gt;=200人</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调研报告采纳数&gt;=10篇</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lang w:val="en-US" w:eastAsia="zh-CN"/>
        </w:rPr>
        <w:t>：</w:t>
      </w:r>
      <w:r>
        <w:rPr>
          <w:rStyle w:val="18"/>
          <w:rFonts w:hint="eastAsia" w:ascii="楷体" w:hAnsi="楷体" w:eastAsia="楷体"/>
          <w:b w:val="0"/>
          <w:bCs w:val="0"/>
          <w:spacing w:val="-4"/>
          <w:sz w:val="32"/>
          <w:szCs w:val="32"/>
        </w:rPr>
        <w:t>会议培训出勤率&gt;=95%</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“书香政协”建设完成率&gt;=90%</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按期开展迎新年茶话会完成率=100%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全国“两会”专项保障完成率=100%</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文史资料征集完成率=100%</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专委会及委员活动完成率&gt;=90%</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公用经费&lt;=457.50万元</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会议培训经费&lt;=70.50万元</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2）效益指标</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政协委员履行职责的使命感和责任感显著增强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无</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无</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无</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迎新年茶话会满意度=100%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政协委员满意率=100%</w:t>
      </w:r>
      <w:r>
        <w:rPr>
          <w:rStyle w:val="18"/>
          <w:rFonts w:hint="eastAsia" w:ascii="楷体" w:hAnsi="楷体" w:eastAsia="楷体"/>
          <w:b w:val="0"/>
          <w:bCs w:val="0"/>
          <w:spacing w:val="-4"/>
          <w:sz w:val="32"/>
          <w:szCs w:val="32"/>
          <w:lang w:eastAsia="zh-CN"/>
        </w:rPr>
        <w:t>。</w:t>
      </w:r>
    </w:p>
    <w:p>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rPr>
        <w:t>二、</w:t>
      </w:r>
      <w:r>
        <w:rPr>
          <w:rStyle w:val="18"/>
          <w:rFonts w:hint="eastAsia"/>
          <w:b w:val="0"/>
          <w:bCs w:val="0"/>
          <w:spacing w:val="-4"/>
          <w:sz w:val="32"/>
          <w:szCs w:val="32"/>
        </w:rPr>
        <w:t>绩效评价工作开展情况</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通过对项目决策、过程、产出、效益进行深入分析，发现本质问题，深挖根本原因，制定高效解决方案。为项目的实施提供建设性的意见与建议，为下一步工作提供有效的决策依据，提高财政资金的使用效益。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2.绩效评价对象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评价对象为政协委员活动费项目。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本次评价主要从项目立项充分性、规范性，绩效目标合理性、明确性，资金投入及资金管理合规性、合理性，项目管理制度健全性、制度执行有效性，绩效管理执行情况，会计核算规范性，产出情况，最终效果及受益对象满意度等方面开展绩效评价工作。 </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（二）绩效评价原则、评价指标体系（附表说明）、评价方法、评价标准等。</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注重财政支出的经济性、效率性和有效性,运用科学合理的方法,按照规范的程序,对项目绩效进行客观、公正的反映。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职责明确,各有侧重,相互衔接。在单位自评的基础上,对项目资金进行绩效评价。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绩效评价结果应与预算安排、政策调整、改进管理实质性挂钩,体现奖优罚劣和激励相容导向。即:有效要保障、？低效要压减、无效要问责。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绩效评价结果应依法依规公开,并自觉接受社会监督公开透明。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严格按照年初预算进行部门整体支出绩效自评,实行了先有预算、后有执行、“用钱必问效、无效必问责”的新常态。在支出过程中,能严格遵守各项规章制度,严格项目支出方案按方案组织实施,并加强了监督,完成了项目目标任务。部门整体支出评价的内容包括产出、效益、满意度指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3.绩效评价方法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本次绩效评价采取评价组评价（含资料核查和现场评价），征求被评价部门意见，出具正式评价报告的程序开展评价工作。主要采用内控测评法、资料审阅法、成本效益分析法、比较法、因素分析法、公众评判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4.绩效评价标准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（1）计划标准：是指以预先制定的目标、计划、预算、定额等数据作为评价的标准。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（2）行业标准：是指参照国家公布的行业指标数据制定的评价标准。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（3）历史标准：是指参照同类指标的历史数据制定的评价标准。</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在接受委托后，评价工作组及时与被评价单位进行沟通，了解项目的基本情况，包括项目实施背景、计划实施内容、预算安排情况、组织实施流程、资金拨付等，并收集相关文件资料。评价组对收集到的文件资料进行研读，并查阅与项目实施密切相关的规章制度、文件规定，力求获取对项目全方位的了解。根据相关文件要求，结合相关项目特点，形成项目评价的总体思路，结合项目计划实施内容，初步形成项目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2.现场评价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根据初步形成的项目指标体系，评价组就前期所收集的资料及采集的数据与项目负责人进行现场沟通核实，并根据项目负责人及资金管理科室的反馈意见再次修改完善并形成最终指标体系。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3.满意度调查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结合项目情况，编制满意度调查问卷，采取对项目受益对象定向发放调查问卷的方式对项目受益对象满意度进行调查。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4.数据整理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评价组在评价实施过程中，采用适当的方法对收集的基础资料进行分类整理、核实和全面分析，要求被评价单位对欠缺的资料及时补充，对存在疑问的重要基础数据资料进行解释说明。同时利用各种公开的统计数据。通过充分收集、分析和加工数据信息，形成对绩效评价宏观与微观层面的数据信息支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5.绩效分析与评分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按照评价实施方案确定的评价指标、评价标准和评价方法，根据评价基础数据，对评价对象的绩效情况进行全面的定量、定性分析和量化评分。一是绩效评价指标分析，结合评价指标体系中决策、过程、产出、效益四个方面分别分析各指标的评价情况；二是对绩效目标实际完成情况进行量化、具体分析。完成绩效分析后运用既定的评价标准和评价方法，根据收集整理的数据和分析结果，对各项指标进行打分。根据各项指标权重，计算出综合绩效分值，根据绩效得分，确定绩效等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6.综合评价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在对评价对象的绩效情况进行全面的定量、定性分析、量化评分的基础上，总结分析评价对象总体的绩效情况及相关经验与做法，形成初步评价结论。并以事实为依据，认真梳理评价过程中发现的问题，剖析影响绩效的主要问题，分析产生问题的原因。针对存在的问题，总结教训，提出对策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本次评价采用百分制，评价人员根据评价情况对各级指标进行评分，根据最终得分情况将评价结果分为四个等级：90（含）-100 分为优、80（含）-90 分为良、60（含）-80 分为中、60 分以下为差。 </w:t>
      </w:r>
    </w:p>
    <w:p>
      <w:pPr>
        <w:spacing w:line="540" w:lineRule="exact"/>
        <w:ind w:firstLine="640"/>
        <w:rPr>
          <w:rStyle w:val="18"/>
          <w:rFonts w:hint="eastAsia" w:ascii="黑体" w:hAnsi="黑体" w:eastAsia="黑体"/>
          <w:b w:val="0"/>
          <w:bCs w:val="0"/>
          <w:spacing w:val="-4"/>
          <w:sz w:val="32"/>
          <w:szCs w:val="32"/>
        </w:rPr>
      </w:pPr>
      <w:r>
        <w:rPr>
          <w:rStyle w:val="18"/>
          <w:rFonts w:hint="eastAsia" w:ascii="黑体" w:hAnsi="黑体" w:eastAsia="黑体"/>
          <w:b w:val="0"/>
          <w:bCs w:val="0"/>
          <w:spacing w:val="-4"/>
          <w:sz w:val="32"/>
          <w:szCs w:val="32"/>
        </w:rPr>
        <w:t>三、</w:t>
      </w:r>
      <w:r>
        <w:rPr>
          <w:rStyle w:val="18"/>
          <w:rFonts w:hint="eastAsia"/>
          <w:b w:val="0"/>
          <w:bCs w:val="0"/>
          <w:spacing w:val="-4"/>
          <w:sz w:val="32"/>
          <w:szCs w:val="32"/>
        </w:rPr>
        <w:t>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经实地评价，项目绩效评价得分100分，评价等级为“优秀”，一级指标评价得分情况如下表：</w:t>
      </w:r>
      <w:r>
        <w:rPr>
          <w:rStyle w:val="18"/>
          <w:rFonts w:hint="eastAsia" w:ascii="楷体" w:hAnsi="楷体" w:eastAsia="楷体"/>
          <w:b w:val="0"/>
          <w:bCs w:val="0"/>
          <w:spacing w:val="-4"/>
          <w:sz w:val="32"/>
          <w:szCs w:val="32"/>
        </w:rPr>
        <w:br w:type="textWrapping"/>
      </w:r>
    </w:p>
    <w:tbl>
      <w:tblPr>
        <w:tblStyle w:val="16"/>
        <w:tblW w:w="87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764"/>
        <w:gridCol w:w="2009"/>
        <w:gridCol w:w="2009"/>
        <w:gridCol w:w="29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6"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Style w:val="46"/>
                <w:lang w:val="en-US" w:eastAsia="zh-CN" w:bidi="ar"/>
              </w:rPr>
              <w:t>一级指标</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both"/>
              <w:textAlignment w:val="top"/>
              <w:rPr>
                <w:rFonts w:hint="eastAsia" w:ascii="宋体" w:hAnsi="宋体" w:eastAsia="宋体" w:cs="宋体"/>
                <w:i w:val="0"/>
                <w:iCs w:val="0"/>
                <w:color w:val="000000"/>
                <w:sz w:val="24"/>
                <w:szCs w:val="24"/>
                <w:u w:val="none"/>
              </w:rPr>
            </w:pPr>
            <w:r>
              <w:rPr>
                <w:rStyle w:val="46"/>
                <w:lang w:val="en-US" w:eastAsia="zh-CN" w:bidi="ar"/>
              </w:rPr>
              <w:t>指标分值</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center"/>
              <w:textAlignment w:val="top"/>
              <w:rPr>
                <w:rFonts w:hint="eastAsia" w:ascii="宋体" w:hAnsi="宋体" w:eastAsia="宋体" w:cs="宋体"/>
                <w:i w:val="0"/>
                <w:iCs w:val="0"/>
                <w:color w:val="000000"/>
                <w:sz w:val="24"/>
                <w:szCs w:val="24"/>
                <w:u w:val="none"/>
              </w:rPr>
            </w:pPr>
            <w:r>
              <w:rPr>
                <w:rStyle w:val="46"/>
                <w:lang w:val="en-US" w:eastAsia="zh-CN" w:bidi="ar"/>
              </w:rPr>
              <w:t>评价得分</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center"/>
              <w:textAlignment w:val="top"/>
              <w:rPr>
                <w:rFonts w:hint="eastAsia" w:ascii="宋体" w:hAnsi="宋体" w:eastAsia="宋体" w:cs="宋体"/>
                <w:i w:val="0"/>
                <w:iCs w:val="0"/>
                <w:color w:val="000000"/>
                <w:sz w:val="24"/>
                <w:szCs w:val="24"/>
                <w:u w:val="none"/>
              </w:rPr>
            </w:pPr>
            <w:r>
              <w:rPr>
                <w:rStyle w:val="46"/>
                <w:lang w:val="en-US" w:eastAsia="zh-CN" w:bidi="ar"/>
              </w:rPr>
              <w:t>得分率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both"/>
              <w:textAlignment w:val="top"/>
              <w:rPr>
                <w:rFonts w:hint="eastAsia" w:ascii="宋体" w:hAnsi="宋体" w:eastAsia="宋体" w:cs="宋体"/>
                <w:i w:val="0"/>
                <w:iCs w:val="0"/>
                <w:color w:val="000000"/>
                <w:sz w:val="24"/>
                <w:szCs w:val="24"/>
                <w:u w:val="none"/>
              </w:rPr>
            </w:pPr>
            <w:r>
              <w:rPr>
                <w:rStyle w:val="46"/>
                <w:lang w:val="en-US" w:eastAsia="zh-CN" w:bidi="ar"/>
              </w:rPr>
              <w:t>决策</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center"/>
              <w:textAlignment w:val="top"/>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19</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center"/>
              <w:textAlignment w:val="top"/>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19</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both"/>
              <w:textAlignment w:val="top"/>
              <w:rPr>
                <w:rFonts w:hint="eastAsia" w:ascii="宋体" w:hAnsi="宋体" w:eastAsia="宋体" w:cs="宋体"/>
                <w:i w:val="0"/>
                <w:iCs w:val="0"/>
                <w:color w:val="000000"/>
                <w:sz w:val="24"/>
                <w:szCs w:val="24"/>
                <w:u w:val="none"/>
              </w:rPr>
            </w:pPr>
            <w:r>
              <w:rPr>
                <w:rStyle w:val="46"/>
                <w:lang w:val="en-US" w:eastAsia="zh-CN" w:bidi="ar"/>
              </w:rPr>
              <w:t>过程</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center"/>
              <w:textAlignment w:val="top"/>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6</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center"/>
              <w:textAlignment w:val="top"/>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6</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both"/>
              <w:textAlignment w:val="top"/>
              <w:rPr>
                <w:rFonts w:hint="eastAsia" w:ascii="宋体" w:hAnsi="宋体" w:eastAsia="宋体" w:cs="宋体"/>
                <w:i w:val="0"/>
                <w:iCs w:val="0"/>
                <w:color w:val="000000"/>
                <w:sz w:val="24"/>
                <w:szCs w:val="24"/>
                <w:u w:val="none"/>
              </w:rPr>
            </w:pPr>
            <w:r>
              <w:rPr>
                <w:rStyle w:val="46"/>
                <w:lang w:val="en-US" w:eastAsia="zh-CN" w:bidi="ar"/>
              </w:rPr>
              <w:t>产出</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center"/>
              <w:textAlignment w:val="top"/>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35</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center"/>
              <w:textAlignment w:val="top"/>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35</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both"/>
              <w:textAlignment w:val="top"/>
              <w:rPr>
                <w:rFonts w:hint="eastAsia" w:ascii="宋体" w:hAnsi="宋体" w:eastAsia="宋体" w:cs="宋体"/>
                <w:i w:val="0"/>
                <w:iCs w:val="0"/>
                <w:color w:val="000000"/>
                <w:sz w:val="24"/>
                <w:szCs w:val="24"/>
                <w:u w:val="none"/>
              </w:rPr>
            </w:pPr>
            <w:r>
              <w:rPr>
                <w:rStyle w:val="46"/>
                <w:lang w:val="en-US" w:eastAsia="zh-CN" w:bidi="ar"/>
              </w:rPr>
              <w:t>效益</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center"/>
              <w:textAlignment w:val="top"/>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30</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center"/>
              <w:textAlignment w:val="top"/>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30</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both"/>
              <w:textAlignment w:val="top"/>
              <w:rPr>
                <w:rFonts w:hint="eastAsia" w:ascii="宋体" w:hAnsi="宋体" w:eastAsia="宋体" w:cs="宋体"/>
                <w:i w:val="0"/>
                <w:iCs w:val="0"/>
                <w:color w:val="000000"/>
                <w:sz w:val="24"/>
                <w:szCs w:val="24"/>
                <w:u w:val="none"/>
              </w:rPr>
            </w:pPr>
            <w:r>
              <w:rPr>
                <w:rStyle w:val="46"/>
                <w:lang w:val="en-US" w:eastAsia="zh-CN" w:bidi="ar"/>
              </w:rPr>
              <w:t>合计</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r>
    </w:tbl>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通过评分情况，该项目指标完成优秀。</w:t>
      </w:r>
    </w:p>
    <w:p>
      <w:pPr>
        <w:spacing w:line="540" w:lineRule="exact"/>
        <w:ind w:firstLine="640"/>
        <w:rPr>
          <w:rStyle w:val="18"/>
          <w:rFonts w:ascii="黑体" w:hAnsi="黑体" w:eastAsia="黑体"/>
          <w:b w:val="0"/>
          <w:bCs w:val="0"/>
        </w:rPr>
      </w:pPr>
      <w:r>
        <w:rPr>
          <w:rStyle w:val="18"/>
          <w:rFonts w:hint="eastAsia" w:ascii="黑体" w:hAnsi="黑体" w:eastAsia="黑体"/>
          <w:b w:val="0"/>
          <w:bCs w:val="0"/>
          <w:spacing w:val="-4"/>
          <w:sz w:val="32"/>
          <w:szCs w:val="32"/>
        </w:rPr>
        <w:t>四、</w:t>
      </w:r>
      <w:r>
        <w:rPr>
          <w:rStyle w:val="18"/>
          <w:rFonts w:hint="eastAsia"/>
          <w:b w:val="0"/>
          <w:bCs w:val="0"/>
          <w:spacing w:val="-4"/>
          <w:sz w:val="32"/>
          <w:szCs w:val="32"/>
        </w:rPr>
        <w:t>绩效评价指标分析</w:t>
      </w:r>
      <w:r>
        <w:rPr>
          <w:rStyle w:val="18"/>
          <w:rFonts w:hint="eastAsia" w:ascii="黑体" w:hAnsi="黑体" w:eastAsia="黑体"/>
          <w:b w:val="0"/>
          <w:bCs w:val="0"/>
          <w:spacing w:val="-4"/>
          <w:sz w:val="32"/>
          <w:szCs w:val="32"/>
        </w:rPr>
        <w:t xml:space="preserve"> </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（一）项目决策情况。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项目决策类指标包括项目立项、绩效目标和资金投入三方面的内容，由5个三级指标构成，权重分为19分，实际得分19分，得分率为100%。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根据《中国人民政治协商会议章程》，并结合单位职责组织实施。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根据决策依据编制工作计划和经费预算，经后勤工作专题会议筛选确定经费预算计划，上机关党组会议研究确定最终预算方案。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制定了实施方案，明确了总体思路及目标、并对任务进行了详细分解，对目标进行了细化。</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（二）项目过程情况。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2个三级指标构成，权重分为6分，实际得分6分，得分率为100%。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该项目总投资528万元，实际到位资金528万元，其中当年财政拨款528万元，财政资金足额拨付到位。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本项目申请预算金额为528万元，预算批复实际下达金额为528万元，截至 2023年 12 月 31日，资金执行527.85万元，执行率99.97%。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符合预算批复规定用途，不存在截留、挤占、挪用、虚列支出等情况。</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（三）项目产出情况。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主要为产出成本的内容，由7个三级指标构成，权重分为35分，实际得分35分，得分率为100%。有力的保障了委员调研、视察和全国“两会”专项保障工作，完成了文史资料征集和“书香政协”建设，对政协委员进行了培训，有力的提高了政协委员的履职能力。</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（四）项目效益情况。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项目效益类指标主要为产生的效果和影响，由1个三级指标构成，权重分为20分，实际得分20分，得分率为100%。有效提高政协委员履行职责的使命感和责任感，与预期目标一致。</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（五）满意度指标完成情况分析。</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项目满意度指标主要为服务对象或项目受益人及其他相关群体的认可程度，满意度指标权重分为10分，实际得分10分，得分率为100%。满意度指标由2个三级指标构成，政协委员满意率100%，与预期目标一致。</w:t>
      </w:r>
    </w:p>
    <w:p>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lang w:eastAsia="zh-CN"/>
        </w:rPr>
        <w:t>五</w:t>
      </w:r>
      <w:r>
        <w:rPr>
          <w:rStyle w:val="18"/>
          <w:rFonts w:hint="eastAsia" w:ascii="黑体" w:hAnsi="黑体" w:eastAsia="黑体"/>
          <w:b w:val="0"/>
          <w:bCs w:val="0"/>
          <w:spacing w:val="-4"/>
          <w:sz w:val="32"/>
          <w:szCs w:val="32"/>
        </w:rPr>
        <w:t>、</w:t>
      </w:r>
      <w:r>
        <w:rPr>
          <w:rStyle w:val="18"/>
          <w:rFonts w:ascii="黑体" w:hAnsi="黑体" w:eastAsia="黑体"/>
          <w:b w:val="0"/>
          <w:bCs w:val="0"/>
          <w:spacing w:val="-4"/>
          <w:sz w:val="32"/>
          <w:szCs w:val="32"/>
        </w:rPr>
        <w:t>主要经验及做法、存在的问题及原因分析</w:t>
      </w:r>
    </w:p>
    <w:p>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1.严格审核。在项目实施过程中做好定期监督检查，严格按照项目管理规范进行，在项目资金使用过程中，严格落实把关，按照项目资金使用范围做好审核工作，让项目资金落于实处。在项目完成后，做好满意度调查及项目防范工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加强监管。严格坚持先做事、后验收、再拨付的原则，基本杜绝了资金被挤占和挪用现象的发生，跟踪检查到位。加强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1.“全员绩效”意识有待提升。个别预算提报部门及人员，对实施预算绩效管理工作的重视程度不够，进行事前绩效评价和整改绩效监控问题不认真，特别是项目预算存在执行进度偏缓情形。主要是绩效评价结果运用和绩效追责的方法手段还不健全。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2.项目验收资料不全。产出数量和产出成本部分指标未见相关验收资料。建议在项目实施过程中，上一道工序验收未通过不得进入下一道工序，必须收集现场验收影像资料。 </w:t>
      </w:r>
    </w:p>
    <w:p>
      <w:pPr>
        <w:ind w:firstLine="624" w:firstLineChars="200"/>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lang w:eastAsia="zh-CN"/>
        </w:rPr>
        <w:t>六</w:t>
      </w:r>
      <w:r>
        <w:rPr>
          <w:rStyle w:val="18"/>
          <w:rFonts w:ascii="黑体" w:hAnsi="黑体" w:eastAsia="黑体"/>
          <w:b w:val="0"/>
          <w:bCs w:val="0"/>
          <w:spacing w:val="-4"/>
          <w:sz w:val="32"/>
          <w:szCs w:val="32"/>
        </w:rPr>
        <w:t>、有关建议</w:t>
      </w:r>
    </w:p>
    <w:p>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完善绩效管理制度体系。以“预算编制有目标、预算执行有监控、预算完成有评价、评价结果有反馈、反馈结果有应用”为主要目标，继续完善预算绩效管理流程，提高绩效管理质量，建立健全“全方位、全过程、全覆盖”的预算绩效管理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二）强化绩效监控动态纠偏。制订年度绩效管理目标实施方案，明确职责分工、时序进度和目标要求，重点改进绩效监控和绩效自评工作，适时开展监控预警和动态纠偏整改，用“容错纠错”的空间，换取促进机关整体绩效提升的余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三）强化预算绩效考核。进一步强化绩效管理日常监督，采取重点督查、随机抽查等方式，着力推进项目绩效管理扎实推进，将预算绩效结果纳入单位年度绩效和干部政绩考核体系，作为领导干部选拔任用、年度考核的重要参考。坚持问题导向，强化整改落实，切实发挥预算绩效管理在优化财政资源配置和提升资金使用效益上的作用，逐步提高单位预算管理水平和政策实施效果。</w:t>
      </w:r>
    </w:p>
    <w:p>
      <w:pPr>
        <w:spacing w:line="540" w:lineRule="exact"/>
        <w:ind w:firstLine="567"/>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lang w:eastAsia="zh-CN"/>
        </w:rPr>
        <w:t>七</w:t>
      </w:r>
      <w:r>
        <w:rPr>
          <w:rStyle w:val="18"/>
          <w:rFonts w:hint="eastAsia" w:ascii="黑体" w:hAnsi="黑体" w:eastAsia="黑体"/>
          <w:b w:val="0"/>
          <w:bCs w:val="0"/>
          <w:spacing w:val="-4"/>
          <w:sz w:val="32"/>
          <w:szCs w:val="32"/>
        </w:rPr>
        <w:t>、其他需要说明的问题</w:t>
      </w:r>
    </w:p>
    <w:p>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7A"/>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modern"/>
    <w:pitch w:val="default"/>
    <w:sig w:usb0="00000000" w:usb1="00000000" w:usb2="00000000" w:usb3="00000000" w:csb0="2000019F"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D2606A1"/>
    <w:rsid w:val="78667307"/>
    <w:rsid w:val="7FB4F8EE"/>
    <w:rsid w:val="BFED2819"/>
    <w:rsid w:val="FFFE09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3"/>
    <w:qFormat/>
    <w:uiPriority w:val="9"/>
    <w:rPr>
      <w:rFonts w:asciiTheme="majorHAnsi" w:hAnsiTheme="majorHAnsi" w:eastAsiaTheme="majorEastAsia"/>
      <w:b/>
      <w:bCs/>
      <w:kern w:val="32"/>
      <w:sz w:val="32"/>
      <w:szCs w:val="32"/>
    </w:rPr>
  </w:style>
  <w:style w:type="character" w:customStyle="1" w:styleId="21">
    <w:name w:val="标题 2 字符"/>
    <w:basedOn w:val="17"/>
    <w:link w:val="4"/>
    <w:semiHidden/>
    <w:qFormat/>
    <w:uiPriority w:val="9"/>
    <w:rPr>
      <w:rFonts w:asciiTheme="majorHAnsi" w:hAnsiTheme="majorHAnsi" w:eastAsiaTheme="majorEastAsia"/>
      <w:b/>
      <w:bCs/>
      <w:i/>
      <w:iCs/>
      <w:sz w:val="28"/>
      <w:szCs w:val="28"/>
    </w:rPr>
  </w:style>
  <w:style w:type="character" w:customStyle="1" w:styleId="22">
    <w:name w:val="标题 3 字符"/>
    <w:basedOn w:val="17"/>
    <w:link w:val="2"/>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3"/>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 w:type="character" w:customStyle="1" w:styleId="46">
    <w:name w:val="font11"/>
    <w:basedOn w:val="17"/>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2</TotalTime>
  <ScaleCrop>false</ScaleCrop>
  <LinksUpToDate>false</LinksUpToDate>
  <CharactersWithSpaces>760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2018-08-15T18:06:00Z</dcterms:created>
  <dc:creator>赵 恺（预算处）</dc:creator>
  <cp:lastModifiedBy>user</cp:lastModifiedBy>
  <cp:lastPrinted>2019-01-01T02:56:00Z</cp:lastPrinted>
  <dcterms:modified xsi:type="dcterms:W3CDTF">2024-08-26T13:28:29Z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