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val="0"/>
          <w:bCs w:val="0"/>
          <w:kern w:val="0"/>
          <w:sz w:val="52"/>
          <w:szCs w:val="52"/>
        </w:rPr>
      </w:pPr>
    </w:p>
    <w:p>
      <w:pPr>
        <w:pStyle w:val="2"/>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ascii="方正小标宋_GBK" w:hAnsi="华文中宋" w:eastAsia="方正小标宋_GBK" w:cs="宋体"/>
          <w:b w:val="0"/>
          <w:bCs w:val="0"/>
          <w:kern w:val="0"/>
          <w:sz w:val="48"/>
          <w:szCs w:val="48"/>
        </w:rPr>
      </w:pPr>
      <w:r>
        <w:rPr>
          <w:rFonts w:hint="eastAsia" w:ascii="方正小标宋_GBK" w:hAnsi="华文中宋" w:eastAsia="方正小标宋_GBK" w:cs="宋体"/>
          <w:b w:val="0"/>
          <w:bCs w:val="0"/>
          <w:kern w:val="0"/>
          <w:sz w:val="48"/>
          <w:szCs w:val="48"/>
        </w:rPr>
        <w:t>自治区财政项目支出绩效自评报告</w:t>
      </w:r>
    </w:p>
    <w:p>
      <w:pPr>
        <w:spacing w:line="540" w:lineRule="exact"/>
        <w:jc w:val="center"/>
        <w:rPr>
          <w:rFonts w:ascii="华文中宋" w:hAnsi="华文中宋" w:eastAsia="华文中宋" w:cs="宋体"/>
          <w:b w:val="0"/>
          <w:bCs w:val="0"/>
          <w:kern w:val="0"/>
          <w:sz w:val="52"/>
          <w:szCs w:val="52"/>
        </w:rPr>
      </w:pPr>
    </w:p>
    <w:p>
      <w:pPr>
        <w:spacing w:line="540" w:lineRule="exact"/>
        <w:jc w:val="center"/>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r>
        <w:rPr>
          <w:rStyle w:val="18"/>
          <w:rFonts w:hint="eastAsia" w:ascii="楷体" w:hAnsi="楷体" w:eastAsia="楷体"/>
          <w:b w:val="0"/>
          <w:bCs w:val="0"/>
          <w:spacing w:val="-4"/>
          <w:sz w:val="32"/>
          <w:szCs w:val="32"/>
        </w:rPr>
        <w:t>2023</w:t>
      </w:r>
      <w:r>
        <w:rPr>
          <w:rFonts w:hint="eastAsia" w:hAnsi="宋体" w:eastAsia="仿宋_GB2312" w:cs="宋体"/>
          <w:b w:val="0"/>
          <w:bCs w:val="0"/>
          <w:kern w:val="0"/>
          <w:sz w:val="36"/>
          <w:szCs w:val="36"/>
        </w:rPr>
        <w:t xml:space="preserve">  年度）</w:t>
      </w: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jc w:val="center"/>
        <w:rPr>
          <w:rFonts w:hAnsi="宋体" w:eastAsia="仿宋_GB2312" w:cs="宋体"/>
          <w:b w:val="0"/>
          <w:bCs w:val="0"/>
          <w:kern w:val="0"/>
          <w:sz w:val="30"/>
          <w:szCs w:val="30"/>
        </w:rPr>
      </w:pPr>
    </w:p>
    <w:p>
      <w:pPr>
        <w:spacing w:line="540" w:lineRule="exact"/>
        <w:rPr>
          <w:rFonts w:hAnsi="宋体" w:eastAsia="仿宋_GB2312" w:cs="宋体"/>
          <w:b w:val="0"/>
          <w:bCs w:val="0"/>
          <w:kern w:val="0"/>
          <w:sz w:val="30"/>
          <w:szCs w:val="30"/>
        </w:rPr>
      </w:pPr>
    </w:p>
    <w:p>
      <w:pPr>
        <w:spacing w:line="700" w:lineRule="exact"/>
        <w:jc w:val="left"/>
        <w:rPr>
          <w:rFonts w:hAnsi="宋体" w:eastAsia="仿宋_GB2312" w:cs="宋体"/>
          <w:b w:val="0"/>
          <w:bCs w:val="0"/>
          <w:kern w:val="0"/>
          <w:sz w:val="36"/>
          <w:szCs w:val="36"/>
        </w:rPr>
      </w:pPr>
      <w:r>
        <w:rPr>
          <w:rFonts w:hint="eastAsia" w:hAnsi="宋体" w:eastAsia="仿宋_GB2312" w:cs="宋体"/>
          <w:b w:val="0"/>
          <w:bCs w:val="0"/>
          <w:kern w:val="0"/>
          <w:sz w:val="36"/>
          <w:szCs w:val="36"/>
        </w:rPr>
        <w:t xml:space="preserve">     </w:t>
      </w:r>
    </w:p>
    <w:p>
      <w:pPr>
        <w:spacing w:line="700" w:lineRule="exact"/>
        <w:ind w:firstLine="900" w:firstLineChars="250"/>
        <w:jc w:val="left"/>
        <w:rPr>
          <w:rFonts w:hAnsi="宋体" w:eastAsia="仿宋_GB2312" w:cs="宋体"/>
          <w:b w:val="0"/>
          <w:bCs w:val="0"/>
          <w:kern w:val="0"/>
          <w:sz w:val="36"/>
          <w:szCs w:val="36"/>
        </w:rPr>
      </w:pPr>
      <w:r>
        <w:rPr>
          <w:rFonts w:hint="eastAsia" w:hAnsi="宋体" w:eastAsia="仿宋_GB2312" w:cs="宋体"/>
          <w:b w:val="0"/>
          <w:bCs w:val="0"/>
          <w:kern w:val="0"/>
          <w:sz w:val="36"/>
          <w:szCs w:val="36"/>
        </w:rPr>
        <w:t>项目名称：</w:t>
      </w:r>
      <w:r>
        <w:rPr>
          <w:rStyle w:val="18"/>
          <w:rFonts w:hint="eastAsia" w:ascii="楷体" w:hAnsi="楷体" w:eastAsia="楷体"/>
          <w:b w:val="0"/>
          <w:bCs w:val="0"/>
          <w:spacing w:val="-4"/>
          <w:sz w:val="32"/>
          <w:szCs w:val="32"/>
        </w:rPr>
        <w:t>政协会议费</w:t>
      </w:r>
    </w:p>
    <w:p>
      <w:pPr>
        <w:spacing w:line="540" w:lineRule="exact"/>
        <w:ind w:firstLine="567"/>
        <w:rPr>
          <w:rFonts w:ascii="楷体" w:hAnsi="楷体" w:eastAsia="楷体"/>
          <w:b w:val="0"/>
          <w:bCs w:val="0"/>
          <w:spacing w:val="-4"/>
          <w:sz w:val="32"/>
          <w:szCs w:val="32"/>
        </w:rPr>
      </w:pPr>
      <w:r>
        <w:rPr>
          <w:rFonts w:hint="eastAsia" w:hAnsi="宋体" w:eastAsia="仿宋_GB2312" w:cs="宋体"/>
          <w:b w:val="0"/>
          <w:bCs w:val="0"/>
          <w:kern w:val="0"/>
          <w:sz w:val="36"/>
          <w:szCs w:val="36"/>
        </w:rPr>
        <w:t xml:space="preserve">  实施单位（公章）：</w:t>
      </w:r>
      <w:r>
        <w:rPr>
          <w:rStyle w:val="18"/>
          <w:rFonts w:hint="eastAsia" w:ascii="楷体" w:hAnsi="楷体" w:eastAsia="楷体"/>
          <w:b w:val="0"/>
          <w:bCs w:val="0"/>
          <w:spacing w:val="-4"/>
          <w:sz w:val="28"/>
          <w:szCs w:val="28"/>
        </w:rPr>
        <w:t>中国人民政治协商会议新疆维吾尔自治区委员会办公厅</w:t>
      </w:r>
    </w:p>
    <w:p>
      <w:pPr>
        <w:spacing w:line="540" w:lineRule="exact"/>
        <w:ind w:firstLine="900" w:firstLineChars="250"/>
        <w:rPr>
          <w:rFonts w:ascii="楷体" w:hAnsi="楷体" w:eastAsia="楷体"/>
          <w:b w:val="0"/>
          <w:bCs w:val="0"/>
          <w:spacing w:val="-4"/>
          <w:sz w:val="28"/>
          <w:szCs w:val="28"/>
        </w:rPr>
      </w:pPr>
      <w:r>
        <w:rPr>
          <w:rFonts w:hint="eastAsia" w:hAnsi="宋体" w:eastAsia="仿宋_GB2312" w:cs="宋体"/>
          <w:b w:val="0"/>
          <w:bCs w:val="0"/>
          <w:kern w:val="0"/>
          <w:sz w:val="36"/>
          <w:szCs w:val="36"/>
        </w:rPr>
        <w:t>主管部门（公章）：</w:t>
      </w:r>
      <w:r>
        <w:rPr>
          <w:rStyle w:val="18"/>
          <w:rFonts w:hint="eastAsia" w:ascii="楷体" w:hAnsi="楷体" w:eastAsia="楷体"/>
          <w:b w:val="0"/>
          <w:bCs w:val="0"/>
          <w:spacing w:val="-4"/>
          <w:sz w:val="28"/>
          <w:szCs w:val="28"/>
        </w:rPr>
        <w:t>中国人民政治协商会议新疆维吾尔自治区委员会办公厅</w:t>
      </w:r>
    </w:p>
    <w:p>
      <w:pPr>
        <w:spacing w:line="540" w:lineRule="exact"/>
        <w:ind w:firstLine="900" w:firstLineChars="250"/>
        <w:rPr>
          <w:rFonts w:ascii="楷体" w:hAnsi="楷体" w:eastAsia="楷体"/>
          <w:b w:val="0"/>
          <w:bCs w:val="0"/>
          <w:spacing w:val="-4"/>
          <w:sz w:val="32"/>
          <w:szCs w:val="32"/>
        </w:rPr>
      </w:pPr>
      <w:r>
        <w:rPr>
          <w:rFonts w:hint="eastAsia" w:hAnsi="宋体" w:eastAsia="仿宋_GB2312" w:cs="宋体"/>
          <w:b w:val="0"/>
          <w:bCs w:val="0"/>
          <w:kern w:val="0"/>
          <w:sz w:val="36"/>
          <w:szCs w:val="36"/>
        </w:rPr>
        <w:t>项目负责人（签章）：</w:t>
      </w:r>
      <w:r>
        <w:rPr>
          <w:rStyle w:val="18"/>
          <w:rFonts w:hint="eastAsia" w:ascii="楷体" w:hAnsi="楷体" w:eastAsia="楷体"/>
          <w:b w:val="0"/>
          <w:bCs w:val="0"/>
          <w:spacing w:val="-4"/>
          <w:sz w:val="32"/>
          <w:szCs w:val="32"/>
        </w:rPr>
        <w:t>张振伟</w:t>
      </w:r>
    </w:p>
    <w:p>
      <w:pPr>
        <w:spacing w:line="540" w:lineRule="exact"/>
        <w:ind w:left="273" w:firstLine="567"/>
        <w:rPr>
          <w:rStyle w:val="18"/>
          <w:rFonts w:ascii="楷体" w:hAnsi="楷体" w:eastAsia="楷体"/>
          <w:b w:val="0"/>
          <w:bCs w:val="0"/>
          <w:spacing w:val="-4"/>
          <w:sz w:val="32"/>
          <w:szCs w:val="32"/>
        </w:rPr>
      </w:pPr>
      <w:r>
        <w:rPr>
          <w:rFonts w:hint="eastAsia" w:hAnsi="宋体" w:eastAsia="仿宋_GB2312" w:cs="宋体"/>
          <w:b w:val="0"/>
          <w:bCs w:val="0"/>
          <w:kern w:val="0"/>
          <w:sz w:val="36"/>
          <w:szCs w:val="36"/>
        </w:rPr>
        <w:t>填报时间：</w:t>
      </w:r>
      <w:r>
        <w:rPr>
          <w:rStyle w:val="18"/>
          <w:rFonts w:hint="eastAsia" w:ascii="楷体" w:hAnsi="楷体" w:eastAsia="楷体"/>
          <w:b w:val="0"/>
          <w:bCs w:val="0"/>
          <w:spacing w:val="-4"/>
          <w:sz w:val="32"/>
          <w:szCs w:val="32"/>
        </w:rPr>
        <w:t>2024年03月18日</w:t>
      </w:r>
    </w:p>
    <w:p>
      <w:pPr>
        <w:spacing w:line="540" w:lineRule="exact"/>
        <w:rPr>
          <w:rStyle w:val="18"/>
          <w:rFonts w:ascii="黑体" w:hAnsi="黑体" w:eastAsia="黑体"/>
          <w:b w:val="0"/>
          <w:bCs w:val="0"/>
          <w:spacing w:val="-4"/>
          <w:sz w:val="32"/>
          <w:szCs w:val="32"/>
        </w:rPr>
      </w:pPr>
      <w:bookmarkStart w:id="0" w:name="_GoBack"/>
      <w:bookmarkEnd w:id="0"/>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一、基本情况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（一）项目概况。包括项目背景、主要内容及实施情况、资金投入和使用情况等。</w:t>
      </w:r>
    </w:p>
    <w:p>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中国人民政治协商会议新疆维吾尔自治区委员会协商工作规则》（新协发〔2021〕16号），召开以下会议：（1）全体会议，每年举行1次；（2）专题议政性常务委员会会议，按照年度协商计划执行，原则上每年不少于2次；（3）专题协商会，按照年度协商计划执行；（4）月度协商座谈会，按照年度协商计划执行，原则上每年举行4次；（5）专家协商会，根据工作需要不定期举行。为保证政协全体委员会会议、政协常委会、月度协商会、自治区党委批准和自治区政协党组决定召开的协商座谈会顺利召开，设立此专项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（1）主要内容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 一是保障自治区政协全委会会议顺利召开。二是保障自治区政协常委会会议顺利召开。三是保障自治区政协月度协商会会议顺利召开。四是保障自治区党委批准和自治区政协党组决定召开的协商座谈会。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本项目已纳入全口径绩效管理，已按照财政绩效管理规定开展绩效目标设置、自评等工作。按照相关文件要求，强化资金使用监管，严格执行有关财政制度，进一步加强预算绩效管理，在预算执行中做好绩效监控，预算执行完做好绩效评价，切实提高资金使用效益。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3.资金投入和使用情况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2023年度自治区财政厅下达政协会议费项目指标预算资金为471万元，资金到位471万元，到位率100%。截至2023年底，已执行471万元，执行率100%。资金具体使用情况为：（1）全委会会议费354万元，占项目资金的75.16%；（2）常委会会议费108万元，占项目资金的22.93%；（3）月度协商会议费5万元，占项目资金的1.06%；（4）座谈会会议费4万元，占项目资金的0.85%。</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（二）项目绩效目标。包括总体目标和阶段性目标。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（1）项目总体目标：①保障自治区政协全委会会议顺利召开。②保证自治区政协常委会会议顺利召开。③保证自治区政协月度协商会会议顺利召开。④自治区党委批准和自治区政协党组决定召开的协商座谈会。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（2）阶段性目标：1)产出指标①数量指标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参会人数&gt;=100人</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参会天数&gt;=8天</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会议次数&gt;=6次</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参会率&gt;=95%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会议按期完成率&gt;=95%</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全委会预算成本&lt;=354万元</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常委会成本&lt;=108万元</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月度协商会议成本&lt;=5万元</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座谈会成本&lt;=4万元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2）效益指标①社会效益指标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提高委员履职能力&gt;=95%</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参会人员满意度=100%</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rPr>
        <w:t>二、</w:t>
      </w:r>
      <w:r>
        <w:rPr>
          <w:rStyle w:val="18"/>
          <w:rFonts w:hint="eastAsia"/>
          <w:b w:val="0"/>
          <w:bCs w:val="0"/>
          <w:spacing w:val="-4"/>
          <w:sz w:val="32"/>
          <w:szCs w:val="32"/>
        </w:rPr>
        <w:t>绩效评价工作开展情况</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1.绩效评价目的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通过对项目决策、过程、产出、效益进行深入分析，发现本质问题，深挖根本原因，制定高效解决方案。为项目的实施提供建设性的意见与建议，为下一步工作提供有效的决策依据，提高财政资金的使用效益。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2.绩效评价对象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评价对象为政协会议费项目。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本次评价主要从项目立项充分性、规范性，绩效目标合理性、明确性，资金投入及资金管理合规性、合理性，项目管理制度健全性、制度执行有效性，绩效管理执行情况，会计核算规范性，产出情况，最终效果及受益对象满意度等方面开展绩效评价工作。 </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注重财政支出的经济性、效率性和有效性,运用科学合理的方法,按照规范的程序,对项目绩效进行客观、公正的反映。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职责明确,各有侧重,相互衔接。在单位自评的基础上,对项目资金进行绩效评价。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绩效评价结果应与预算安排、政策调整、改进管理实质性挂钩,体现奖优罚劣和激励相容导向。即:有效要保障、？低效要压减、无效要问责。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绩效评价结果应依法依规公开,并自觉接受社会监督公开透明。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严格按照年初预算进行部门整体支出绩效自评,实行了先有预算、后有执行、“用钱必问效、无效必问责”的新常态。在支出过程中,能严格遵守各项规章制度,严格项目支出方案按方案组织实施,并加强了监督,完成了项目目标任务。部门整体支出评价的内容包括产出、效益、满意度指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次绩效评价采取评价组评价（含资料核查和现场评价），征求被评价部门意见，出具正式评价报告的程序开展评价工作。主要采用内控测评法、资料审阅法、成本效益分析法、比较法、因素分析法、公众评判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（1）计划标准：是指以预先制定的目标、计划、预算、定额等数据作为评价的标准。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（2）行业标准：是指参照国家公布的行业指标数据制定的评价标准。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（3）历史标准：是指参照同类指标的历史数据制定的评价标准。</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在接受委托后，评价工作组及时与被评价单位进行沟通，了解项目的基本情况，包括项目实施背景、计划实施内容、预算安排情况、组织实施流程、资金拨付等，并收集相关文件资料。评价组对收集到的文件资料进行研读，并查阅与项目实施密切相关的规章制度、文件规定，力求获取对项目全方位的了解。根据相关文件要求，结合相关项目特点，形成项目评价的总体思路，结合项目计划实施内容，初步形成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2.现场评价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根据初步形成的项目指标体系，评价组就前期所收集的资料及采集的数据与项目负责人进行现场沟通核实，并根据项目负责人及资金管理科室的反馈意见再次修改完善并形成最终指标体系。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3.满意度调查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结合项目情况，编制满意度调查问卷，采取对项目受益对象定向发放调查问卷的方式对项目受益对象满意度进行调查。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4.数据整理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评价组在评价实施过程中，采用适当的方法对收集的基础资料进行分类整理、核实和全面分析，要求被评价单位对欠缺的资料及时补充，对存在疑问的重要基础数据资料进行解释说明，同时利用各种公开的统计数据。通过充分收集、分析和加工数据信息，形成对绩效评价宏观与微观层面的数据信息支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5.绩效分析与评分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按照评价实施方案确定的评价指标、评价标准和评价方法，根据评价基础数据，对评价对象的绩效情况进行全面的定量、定性分析和量化评分。一是绩效评价指标分析，结合评价指标体系中决策、过程、产出、效益四个方面分别分析各指标的评价情况；二是对绩效目标实际完成情况进行量化、具体分析。完成绩效分析后运用既定的评价标准和评价方法，根据收集整理的数据和分析结果，对各项指标进行打分。根据各项指标权重，计算出综合绩效分值，根据绩效得分，确定绩效等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6.综合评价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在对评价对象的绩效情况进行全面的定量、定性分析、量化评分的基础上，总结分析评价对象总体的绩效情况及相关经验与做法，形成初步评价结论。并以事实为依据，认真梳理评价过程中发现的问题，剖析影响绩效的主要问题，分析产生问题的原因。针对存在的问题，总结教训，提出对策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本次评价采用百分制，评价人员根据评价情况对各级指标进行评分，根据最终得分情况将评价结果分为四个等级：90（含）-100 分为优、80（含）-90 分为良、60（含）-80 分为中、60 分以下为差。 </w:t>
      </w:r>
    </w:p>
    <w:p>
      <w:pPr>
        <w:spacing w:line="540" w:lineRule="exact"/>
        <w:ind w:firstLine="640"/>
        <w:rPr>
          <w:rStyle w:val="18"/>
          <w:rFonts w:hint="eastAsia" w:ascii="黑体" w:hAnsi="黑体" w:eastAsia="黑体"/>
          <w:b w:val="0"/>
          <w:bCs w:val="0"/>
          <w:spacing w:val="-4"/>
          <w:sz w:val="32"/>
          <w:szCs w:val="32"/>
        </w:rPr>
      </w:pPr>
      <w:r>
        <w:rPr>
          <w:rStyle w:val="18"/>
          <w:rFonts w:hint="eastAsia" w:ascii="黑体" w:hAnsi="黑体" w:eastAsia="黑体"/>
          <w:b w:val="0"/>
          <w:bCs w:val="0"/>
          <w:spacing w:val="-4"/>
          <w:sz w:val="32"/>
          <w:szCs w:val="32"/>
        </w:rPr>
        <w:t>三、</w:t>
      </w:r>
      <w:r>
        <w:rPr>
          <w:rStyle w:val="18"/>
          <w:rFonts w:hint="eastAsia"/>
          <w:b w:val="0"/>
          <w:bCs w:val="0"/>
          <w:spacing w:val="-4"/>
          <w:sz w:val="32"/>
          <w:szCs w:val="32"/>
        </w:rPr>
        <w:t>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经实地评价，项目绩效评价得分100分，评价等级为“优秀”，一级指标评价得分情况如下表：</w:t>
      </w:r>
      <w:r>
        <w:rPr>
          <w:rStyle w:val="18"/>
          <w:rFonts w:hint="eastAsia" w:ascii="楷体" w:hAnsi="楷体" w:eastAsia="楷体"/>
          <w:b w:val="0"/>
          <w:bCs w:val="0"/>
          <w:spacing w:val="-4"/>
          <w:sz w:val="32"/>
          <w:szCs w:val="32"/>
        </w:rPr>
        <w:br w:type="textWrapping"/>
      </w:r>
    </w:p>
    <w:tbl>
      <w:tblPr>
        <w:tblStyle w:val="16"/>
        <w:tblW w:w="8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64"/>
        <w:gridCol w:w="2009"/>
        <w:gridCol w:w="2009"/>
        <w:gridCol w:w="29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一级指标</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指标分值</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评价得分</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决策</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24</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24</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过程</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default" w:ascii="楷体" w:hAnsi="楷体" w:eastAsia="楷体"/>
                <w:b w:val="0"/>
                <w:bCs w:val="0"/>
                <w:spacing w:val="-4"/>
                <w:sz w:val="32"/>
                <w:szCs w:val="32"/>
                <w:lang w:val="en-US"/>
              </w:rPr>
            </w:pPr>
            <w:r>
              <w:rPr>
                <w:rStyle w:val="18"/>
                <w:rFonts w:hint="eastAsia" w:ascii="楷体" w:hAnsi="楷体" w:eastAsia="楷体"/>
                <w:b w:val="0"/>
                <w:bCs w:val="0"/>
                <w:spacing w:val="-4"/>
                <w:sz w:val="32"/>
                <w:szCs w:val="32"/>
                <w:lang w:val="en-US" w:eastAsia="zh-CN"/>
              </w:rPr>
              <w:t>16</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default" w:ascii="楷体" w:hAnsi="楷体" w:eastAsia="楷体"/>
                <w:b w:val="0"/>
                <w:bCs w:val="0"/>
                <w:spacing w:val="-4"/>
                <w:sz w:val="32"/>
                <w:szCs w:val="32"/>
                <w:lang w:val="en-US"/>
              </w:rPr>
            </w:pPr>
            <w:r>
              <w:rPr>
                <w:rStyle w:val="18"/>
                <w:rFonts w:hint="eastAsia" w:ascii="楷体" w:hAnsi="楷体" w:eastAsia="楷体"/>
                <w:b w:val="0"/>
                <w:bCs w:val="0"/>
                <w:spacing w:val="-4"/>
                <w:sz w:val="32"/>
                <w:szCs w:val="32"/>
                <w:lang w:val="en-US" w:eastAsia="zh-CN"/>
              </w:rPr>
              <w:t>16</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产出</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default" w:ascii="楷体" w:hAnsi="楷体" w:eastAsia="楷体"/>
                <w:b w:val="0"/>
                <w:bCs w:val="0"/>
                <w:spacing w:val="-4"/>
                <w:sz w:val="32"/>
                <w:szCs w:val="32"/>
                <w:lang w:val="en-US" w:eastAsia="zh-CN"/>
              </w:rPr>
            </w:pPr>
            <w:r>
              <w:rPr>
                <w:rStyle w:val="18"/>
                <w:rFonts w:hint="eastAsia" w:ascii="楷体" w:hAnsi="楷体" w:eastAsia="楷体"/>
                <w:b w:val="0"/>
                <w:bCs w:val="0"/>
                <w:spacing w:val="-4"/>
                <w:sz w:val="32"/>
                <w:szCs w:val="32"/>
                <w:lang w:val="en-US" w:eastAsia="zh-CN"/>
              </w:rPr>
              <w:t>30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default" w:ascii="楷体" w:hAnsi="楷体" w:eastAsia="楷体"/>
                <w:b w:val="0"/>
                <w:bCs w:val="0"/>
                <w:spacing w:val="-4"/>
                <w:sz w:val="32"/>
                <w:szCs w:val="32"/>
                <w:lang w:val="en-US"/>
              </w:rPr>
            </w:pPr>
            <w:r>
              <w:rPr>
                <w:rStyle w:val="18"/>
                <w:rFonts w:hint="eastAsia" w:ascii="楷体" w:hAnsi="楷体" w:eastAsia="楷体"/>
                <w:b w:val="0"/>
                <w:bCs w:val="0"/>
                <w:spacing w:val="-4"/>
                <w:sz w:val="32"/>
                <w:szCs w:val="32"/>
                <w:lang w:val="en-US" w:eastAsia="zh-CN"/>
              </w:rPr>
              <w:t>30</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效益</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default" w:ascii="楷体" w:hAnsi="楷体" w:eastAsia="楷体"/>
                <w:b w:val="0"/>
                <w:bCs w:val="0"/>
                <w:spacing w:val="-4"/>
                <w:sz w:val="32"/>
                <w:szCs w:val="32"/>
                <w:lang w:val="en-US"/>
              </w:rPr>
            </w:pPr>
            <w:r>
              <w:rPr>
                <w:rStyle w:val="18"/>
                <w:rFonts w:hint="eastAsia" w:ascii="楷体" w:hAnsi="楷体" w:eastAsia="楷体"/>
                <w:b w:val="0"/>
                <w:bCs w:val="0"/>
                <w:spacing w:val="-4"/>
                <w:sz w:val="32"/>
                <w:szCs w:val="32"/>
                <w:lang w:val="en-US" w:eastAsia="zh-CN"/>
              </w:rPr>
              <w:t>30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default" w:ascii="楷体" w:hAnsi="楷体" w:eastAsia="楷体"/>
                <w:b w:val="0"/>
                <w:bCs w:val="0"/>
                <w:spacing w:val="-4"/>
                <w:sz w:val="32"/>
                <w:szCs w:val="32"/>
                <w:lang w:val="en-US"/>
              </w:rPr>
            </w:pPr>
            <w:r>
              <w:rPr>
                <w:rStyle w:val="18"/>
                <w:rFonts w:hint="eastAsia" w:ascii="楷体" w:hAnsi="楷体" w:eastAsia="楷体"/>
                <w:b w:val="0"/>
                <w:bCs w:val="0"/>
                <w:spacing w:val="-4"/>
                <w:sz w:val="32"/>
                <w:szCs w:val="32"/>
                <w:lang w:val="en-US" w:eastAsia="zh-CN"/>
              </w:rPr>
              <w:t>30</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合计</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100</w:t>
            </w:r>
          </w:p>
        </w:tc>
        <w:tc>
          <w:tcPr>
            <w:tcW w:w="20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100</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40" w:lineRule="exact"/>
              <w:ind w:firstLine="567"/>
              <w:jc w:val="center"/>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100.00%</w:t>
            </w:r>
          </w:p>
        </w:tc>
      </w:tr>
    </w:tbl>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通过评分情况，该项目指标完成优秀。</w:t>
      </w:r>
    </w:p>
    <w:p>
      <w:pPr>
        <w:spacing w:line="540" w:lineRule="exact"/>
        <w:ind w:firstLine="640"/>
        <w:rPr>
          <w:rStyle w:val="18"/>
          <w:rFonts w:ascii="黑体" w:hAnsi="黑体" w:eastAsia="黑体"/>
          <w:b w:val="0"/>
          <w:bCs w:val="0"/>
        </w:rPr>
      </w:pPr>
      <w:r>
        <w:rPr>
          <w:rStyle w:val="18"/>
          <w:rFonts w:hint="eastAsia" w:ascii="黑体" w:hAnsi="黑体" w:eastAsia="黑体"/>
          <w:b w:val="0"/>
          <w:bCs w:val="0"/>
          <w:spacing w:val="-4"/>
          <w:sz w:val="32"/>
          <w:szCs w:val="32"/>
        </w:rPr>
        <w:t>四、</w:t>
      </w:r>
      <w:r>
        <w:rPr>
          <w:rStyle w:val="18"/>
          <w:rFonts w:hint="eastAsia"/>
          <w:b w:val="0"/>
          <w:bCs w:val="0"/>
          <w:spacing w:val="-4"/>
          <w:sz w:val="32"/>
          <w:szCs w:val="32"/>
        </w:rPr>
        <w:t>绩效评价指标分析</w:t>
      </w:r>
      <w:r>
        <w:rPr>
          <w:rStyle w:val="18"/>
          <w:rFonts w:hint="eastAsia" w:ascii="黑体" w:hAnsi="黑体" w:eastAsia="黑体"/>
          <w:b w:val="0"/>
          <w:bCs w:val="0"/>
          <w:spacing w:val="-4"/>
          <w:sz w:val="32"/>
          <w:szCs w:val="32"/>
        </w:rPr>
        <w:t xml:space="preserve"> </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（一）项目决策情况。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项目决策类指标包括项目立项、绩效目标和资金投入三方面的内容，由3个三级指标构成，权重分为 24分，实际得分24分，得分率为100%。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根据《中国人民政治协商会议新疆维吾尔自治区委员会协商工作规则》，并结合单位职责组织实施。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根据决策依据编制工作计划和经费预算，经后勤工作专题会议筛选确定经费预算计划，上机关党组会议研究确定最终预算方案。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制定了实施方案，明确了总体思路及目标、并对任务进行了详细分解，对目标进行了细化。</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（二）项目过程情况。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2个三级指标构成，权重分为16分，实际得分16分，得分率为100%。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该项目总投资471万元，实际到位资金471万元，其中当年财政拨款471万元，财政资金足额拨付到位。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本项目申请预算金额为471万元，预算批复实际下达金额为471万元，截至 2023年 12 月 31日，资金执行471万元，资金执行率100.00%。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符合预算批复规定用途，不存在截留、挤占、挪用、虚列支出等情况。</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（三）项目产出情况。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项目产出类指标主要为产出成本的内容，由4个三级指标构成，权重分为20分，实际得分20分，得分率为100%。严格控制会议成本，精减会议规模、压缩会议天数、减少会议工作人员，确保会议成本控制在预算范围内。</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（四）项目效益情况。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项目效益类指标主要为产生的效果和影响，由1个三级指标构成，权重分为20分，实际得分20分，得分率为100%。有效提高委员履职能力，与预期目标一致。</w:t>
      </w:r>
    </w:p>
    <w:p>
      <w:pPr>
        <w:spacing w:line="540" w:lineRule="exact"/>
        <w:ind w:firstLine="564" w:firstLineChars="181"/>
        <w:rPr>
          <w:rFonts w:ascii="楷体" w:hAnsi="楷体" w:eastAsia="楷体"/>
          <w:b w:val="0"/>
          <w:bCs w:val="0"/>
          <w:spacing w:val="-4"/>
          <w:sz w:val="32"/>
          <w:szCs w:val="32"/>
        </w:rPr>
      </w:pPr>
      <w:r>
        <w:rPr>
          <w:rFonts w:hint="eastAsia" w:ascii="楷体" w:hAnsi="楷体" w:eastAsia="楷体"/>
          <w:b w:val="0"/>
          <w:bCs w:val="0"/>
          <w:spacing w:val="-4"/>
          <w:sz w:val="32"/>
          <w:szCs w:val="32"/>
        </w:rPr>
        <w:t>（五）满意度指标完成情况分析。</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项目满意度指标主要为服务对象或项目受益人及其他相关群体的认可程度，权重分为10分，实际得分10分，得分率为100%。参会人员满意度100%，与预期目标一致。</w:t>
      </w:r>
    </w:p>
    <w:p>
      <w:pPr>
        <w:spacing w:line="540" w:lineRule="exact"/>
        <w:ind w:firstLine="64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五</w:t>
      </w:r>
      <w:r>
        <w:rPr>
          <w:rStyle w:val="18"/>
          <w:rFonts w:hint="eastAsia" w:ascii="黑体" w:hAnsi="黑体" w:eastAsia="黑体"/>
          <w:b w:val="0"/>
          <w:bCs w:val="0"/>
          <w:spacing w:val="-4"/>
          <w:sz w:val="32"/>
          <w:szCs w:val="32"/>
        </w:rPr>
        <w:t>、</w:t>
      </w:r>
      <w:r>
        <w:rPr>
          <w:rStyle w:val="18"/>
          <w:rFonts w:ascii="黑体" w:hAnsi="黑体" w:eastAsia="黑体"/>
          <w:b w:val="0"/>
          <w:bCs w:val="0"/>
          <w:spacing w:val="-4"/>
          <w:sz w:val="32"/>
          <w:szCs w:val="32"/>
        </w:rPr>
        <w:t>主要经验及做法、存在的问题及原因分析</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严格审核。在项目实施过程中做好定期监督检查，严格按照项目管理规范进行，在项目资金使用过程中，严格落实把关，按照项目资金使用范围做好审核工作，让项目资金落于实处。在项目完成后，做好满意度调查及项目防范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加强监管。严格坚持先做事、后验收、再拨付的原则，基本杜绝了资金被挤占和挪用现象的发生，跟踪检查到位。加强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全员绩效”意识有待提升。个别预算提报部门及人员，对实施预算绩效管理工作的重视程度不够，进行事前绩效评价和整改绩效监控问题不认真，特别是项目预算存在执行进度偏缓情形。主要是绩效评价结果运用和绩效追责的方法手段还不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2.项目验收资料不全。产出数量和产出成本部分指标未见相关验收资料。建议在项目实施过程中，上一道工序验收未通过不得进入下一道工序，必须收集现场验收影像资料。 </w:t>
      </w:r>
    </w:p>
    <w:p>
      <w:pPr>
        <w:ind w:firstLine="624" w:firstLineChars="200"/>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六</w:t>
      </w:r>
      <w:r>
        <w:rPr>
          <w:rStyle w:val="18"/>
          <w:rFonts w:ascii="黑体" w:hAnsi="黑体" w:eastAsia="黑体"/>
          <w:b w:val="0"/>
          <w:bCs w:val="0"/>
          <w:spacing w:val="-4"/>
          <w:sz w:val="32"/>
          <w:szCs w:val="32"/>
        </w:rPr>
        <w:t>、有关建议</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 完善绩效管理制度体系。以“预算编制有目标、预算执行有监控、预算完成有评价、评价结果有反馈、反馈结果有应用”为主要目标，继续完善预算绩效管理流程，提高绩效管理质量，建立健全“全方位、全过程、全覆盖”的预算绩效管理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 强化绩效监控动态纠偏。制订年度绩效管理目标实施方案，明确职责分工、时序进度和目标要求，重点改进绩效监控和绩效自评工作，适时开展监控预警和动态纠偏整改，用“容错纠错”的空间，换取促进机关整体绩效提升的余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三）强化预算绩效考核。进一步强化绩效管理日常监督，采取重点督查、随机抽查等方式，着力推进项目绩效管理扎实推进，将预算绩效结果纳入单位年度绩效和干部政绩考核体系，作为领导干部选拔任用、年度考核的重要参考。坚持问题导向，强化整改落实，切实发挥预算绩效管理在优化财政资源配置和提升资金使用效益上的作用，逐步提高单位预算管理水平和政策实施效果。</w:t>
      </w:r>
    </w:p>
    <w:p>
      <w:pPr>
        <w:spacing w:line="540" w:lineRule="exact"/>
        <w:ind w:firstLine="567"/>
        <w:rPr>
          <w:rStyle w:val="18"/>
          <w:rFonts w:ascii="黑体" w:hAnsi="黑体" w:eastAsia="黑体"/>
          <w:b w:val="0"/>
          <w:bCs w:val="0"/>
          <w:spacing w:val="-4"/>
          <w:sz w:val="32"/>
          <w:szCs w:val="32"/>
        </w:rPr>
      </w:pPr>
      <w:r>
        <w:rPr>
          <w:rStyle w:val="18"/>
          <w:rFonts w:hint="eastAsia" w:ascii="黑体" w:hAnsi="黑体" w:eastAsia="黑体"/>
          <w:b w:val="0"/>
          <w:bCs w:val="0"/>
          <w:spacing w:val="-4"/>
          <w:sz w:val="32"/>
          <w:szCs w:val="32"/>
          <w:lang w:eastAsia="zh-CN"/>
        </w:rPr>
        <w:t>七</w:t>
      </w:r>
      <w:r>
        <w:rPr>
          <w:rStyle w:val="18"/>
          <w:rFonts w:hint="eastAsia" w:ascii="黑体" w:hAnsi="黑体" w:eastAsia="黑体"/>
          <w:b w:val="0"/>
          <w:bCs w:val="0"/>
          <w:spacing w:val="-4"/>
          <w:sz w:val="32"/>
          <w:szCs w:val="32"/>
        </w:rPr>
        <w:t>、其他需要说明的问题</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p>
      <w:pPr>
        <w:spacing w:line="540" w:lineRule="exact"/>
        <w:ind w:firstLine="567"/>
        <w:rPr>
          <w:rStyle w:val="18"/>
          <w:rFonts w:ascii="仿宋" w:hAnsi="仿宋"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modern"/>
    <w:pitch w:val="default"/>
    <w:sig w:usb0="00000000" w:usb1="00000000" w:usb2="00000000" w:usb3="00000000" w:csb0="2000019F" w:csb1="00000000"/>
  </w:font>
  <w:font w:name="仿宋">
    <w:panose1 w:val="02010609060101010101"/>
    <w:charset w:val="86"/>
    <w:family w:val="swiss"/>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4444B00"/>
    <w:rsid w:val="4D2606A1"/>
    <w:rsid w:val="65FEC2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2"/>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character" w:customStyle="1" w:styleId="46">
    <w:name w:val="font11"/>
    <w:basedOn w:val="1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2024-08-26T13:25:19Z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