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bidi w:val="0"/>
        <w:adjustRightInd/>
        <w:jc w:val="both"/>
        <w:textAlignment w:val="auto"/>
        <w:rPr>
          <w:rFonts w:ascii="黑体" w:hAnsi="黑体" w:eastAsia="黑体"/>
          <w:sz w:val="32"/>
          <w:szCs w:val="32"/>
        </w:rPr>
      </w:pPr>
    </w:p>
    <w:p>
      <w:pPr>
        <w:keepNext w:val="0"/>
        <w:keepLines w:val="0"/>
        <w:pageBreakBefore w:val="0"/>
        <w:kinsoku/>
        <w:wordWrap/>
        <w:overflowPunct/>
        <w:topLinePunct w:val="0"/>
        <w:bidi w:val="0"/>
        <w:adjustRightInd/>
        <w:jc w:val="both"/>
        <w:textAlignment w:val="auto"/>
        <w:rPr>
          <w:rFonts w:ascii="方正小标宋_GBK" w:hAnsi="宋体" w:eastAsia="方正小标宋_GBK"/>
          <w:sz w:val="44"/>
          <w:szCs w:val="44"/>
        </w:rPr>
      </w:pPr>
    </w:p>
    <w:p>
      <w:pPr>
        <w:keepNext w:val="0"/>
        <w:keepLines w:val="0"/>
        <w:pageBreakBefore w:val="0"/>
        <w:kinsoku/>
        <w:wordWrap/>
        <w:overflowPunct/>
        <w:topLinePunct w:val="0"/>
        <w:bidi w:val="0"/>
        <w:adjustRightInd/>
        <w:jc w:val="center"/>
        <w:textAlignment w:val="auto"/>
        <w:rPr>
          <w:rFonts w:ascii="方正小标宋_GBK" w:hAnsi="宋体" w:eastAsia="方正小标宋_GBK"/>
          <w:sz w:val="44"/>
          <w:szCs w:val="44"/>
        </w:rPr>
      </w:pPr>
      <w:r>
        <w:rPr>
          <w:rFonts w:hint="eastAsia" w:ascii="方正小标宋_GBK" w:hAnsi="宋体" w:eastAsia="方正小标宋_GBK"/>
          <w:sz w:val="44"/>
          <w:szCs w:val="44"/>
        </w:rPr>
        <w:t>中共新疆维吾尔自治区委员会组织部</w:t>
      </w:r>
    </w:p>
    <w:p>
      <w:pPr>
        <w:keepNext w:val="0"/>
        <w:keepLines w:val="0"/>
        <w:pageBreakBefore w:val="0"/>
        <w:kinsoku/>
        <w:wordWrap/>
        <w:overflowPunct/>
        <w:topLinePunct w:val="0"/>
        <w:bidi w:val="0"/>
        <w:adjustRightInd/>
        <w:jc w:val="center"/>
        <w:textAlignment w:val="auto"/>
        <w:rPr>
          <w:rFonts w:ascii="方正小标宋_GBK" w:hAnsi="宋体" w:eastAsia="方正小标宋_GBK"/>
          <w:sz w:val="44"/>
          <w:szCs w:val="44"/>
        </w:rPr>
      </w:pPr>
      <w:r>
        <w:rPr>
          <w:rFonts w:hint="eastAsia" w:ascii="方正小标宋_GBK" w:hAnsi="宋体" w:eastAsia="方正小标宋_GBK"/>
          <w:sz w:val="44"/>
          <w:szCs w:val="44"/>
        </w:rPr>
        <w:t>2023年度部门决算</w:t>
      </w:r>
    </w:p>
    <w:p>
      <w:pPr>
        <w:keepNext w:val="0"/>
        <w:keepLines w:val="0"/>
        <w:pageBreakBefore w:val="0"/>
        <w:kinsoku/>
        <w:wordWrap/>
        <w:overflowPunct/>
        <w:topLinePunct w:val="0"/>
        <w:bidi w:val="0"/>
        <w:adjustRightInd/>
        <w:jc w:val="center"/>
        <w:textAlignment w:val="auto"/>
        <w:rPr>
          <w:rFonts w:ascii="方正小标宋_GBK" w:hAnsi="宋体" w:eastAsia="方正小标宋_GBK"/>
          <w:sz w:val="44"/>
          <w:szCs w:val="44"/>
        </w:rPr>
      </w:pPr>
      <w:r>
        <w:rPr>
          <w:rFonts w:hint="eastAsia" w:ascii="方正小标宋_GBK" w:hAnsi="宋体" w:eastAsia="方正小标宋_GBK"/>
          <w:sz w:val="44"/>
          <w:szCs w:val="44"/>
        </w:rPr>
        <w:t>公开说明</w:t>
      </w:r>
    </w:p>
    <w:p>
      <w:pPr>
        <w:keepNext w:val="0"/>
        <w:keepLines w:val="0"/>
        <w:pageBreakBefore w:val="0"/>
        <w:kinsoku/>
        <w:wordWrap/>
        <w:overflowPunct/>
        <w:topLinePunct w:val="0"/>
        <w:bidi w:val="0"/>
        <w:adjustRightInd/>
        <w:jc w:val="both"/>
        <w:textAlignment w:val="auto"/>
        <w:rPr>
          <w:rFonts w:ascii="方正小标宋_GBK" w:hAnsi="宋体" w:eastAsia="方正小标宋_GBK"/>
          <w:sz w:val="44"/>
          <w:szCs w:val="44"/>
        </w:rPr>
      </w:pPr>
      <w:r>
        <w:rPr>
          <w:rFonts w:hint="eastAsia" w:ascii="方正小标宋_GBK" w:hAnsi="宋体" w:eastAsia="方正小标宋_GBK"/>
          <w:sz w:val="44"/>
          <w:szCs w:val="44"/>
        </w:rPr>
        <w:br w:type="page"/>
      </w:r>
    </w:p>
    <w:p>
      <w:pPr>
        <w:keepNext w:val="0"/>
        <w:keepLines w:val="0"/>
        <w:pageBreakBefore w:val="0"/>
        <w:kinsoku/>
        <w:wordWrap/>
        <w:overflowPunct/>
        <w:topLinePunct w:val="0"/>
        <w:bidi w:val="0"/>
        <w:adjustRightInd/>
        <w:jc w:val="center"/>
        <w:textAlignment w:val="auto"/>
        <w:rPr>
          <w:rFonts w:ascii="仿宋_GB2312" w:hAnsi="仿宋_GB2312" w:eastAsia="仿宋_GB2312" w:cs="仿宋_GB2312"/>
          <w:bCs/>
          <w:kern w:val="0"/>
          <w:sz w:val="32"/>
          <w:szCs w:val="32"/>
        </w:rPr>
      </w:pPr>
      <w:r>
        <w:rPr>
          <w:rFonts w:hint="eastAsia" w:ascii="仿宋_GB2312" w:hAnsi="仿宋_GB2312" w:eastAsia="仿宋_GB2312" w:cs="仿宋_GB2312"/>
          <w:b/>
          <w:kern w:val="0"/>
          <w:sz w:val="36"/>
          <w:szCs w:val="36"/>
        </w:rPr>
        <w:t>目  录</w:t>
      </w:r>
    </w:p>
    <w:p>
      <w:pPr>
        <w:pStyle w:val="6"/>
        <w:keepNext w:val="0"/>
        <w:keepLines w:val="0"/>
        <w:pageBreakBefore w:val="0"/>
        <w:tabs>
          <w:tab w:val="right" w:pos="8306"/>
        </w:tabs>
        <w:kinsoku/>
        <w:wordWrap/>
        <w:overflowPunct/>
        <w:topLinePunct w:val="0"/>
        <w:bidi w:val="0"/>
        <w:adjustRightInd/>
        <w:jc w:val="both"/>
        <w:textAlignment w:val="auto"/>
        <w:rPr>
          <w:rFonts w:ascii="仿宋_GB2312" w:hAnsi="仿宋_GB2312" w:eastAsia="仿宋_GB2312" w:cs="仿宋_GB2312"/>
          <w:b/>
          <w:bCs/>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TOC \o "1-3" \n  \h \u </w:instrText>
      </w:r>
      <w:r>
        <w:rPr>
          <w:rFonts w:hint="eastAsia" w:ascii="仿宋_GB2312" w:hAnsi="仿宋_GB2312" w:eastAsia="仿宋_GB2312" w:cs="仿宋_GB2312"/>
          <w:sz w:val="32"/>
          <w:szCs w:val="32"/>
        </w:rPr>
        <w:fldChar w:fldCharType="separate"/>
      </w:r>
      <w:r>
        <w:fldChar w:fldCharType="begin"/>
      </w:r>
      <w:r>
        <w:instrText xml:space="preserve"> HYPERLINK \l "_Toc32314" </w:instrText>
      </w:r>
      <w:r>
        <w:fldChar w:fldCharType="separate"/>
      </w:r>
      <w:r>
        <w:rPr>
          <w:rFonts w:hint="eastAsia" w:ascii="仿宋_GB2312" w:hAnsi="仿宋_GB2312" w:eastAsia="仿宋_GB2312" w:cs="仿宋_GB2312"/>
          <w:b/>
          <w:bCs/>
          <w:sz w:val="32"/>
          <w:szCs w:val="32"/>
        </w:rPr>
        <w:t>第一部分 部门概况</w:t>
      </w:r>
      <w:r>
        <w:rPr>
          <w:rFonts w:hint="eastAsia" w:ascii="仿宋_GB2312" w:hAnsi="仿宋_GB2312" w:eastAsia="仿宋_GB2312" w:cs="仿宋_GB2312"/>
          <w:b/>
          <w:bCs/>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"_Toc30567" </w:instrText>
      </w:r>
      <w:r>
        <w:fldChar w:fldCharType="separate"/>
      </w:r>
      <w:r>
        <w:rPr>
          <w:rFonts w:hint="eastAsia" w:ascii="仿宋_GB2312" w:hAnsi="仿宋_GB2312" w:eastAsia="仿宋_GB2312" w:cs="仿宋_GB2312"/>
          <w:bCs/>
          <w:kern w:val="0"/>
          <w:sz w:val="32"/>
          <w:szCs w:val="32"/>
        </w:rPr>
        <w:t>一、主要职能</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"_Toc2151" </w:instrText>
      </w:r>
      <w:r>
        <w:fldChar w:fldCharType="separate"/>
      </w:r>
      <w:r>
        <w:rPr>
          <w:rFonts w:hint="eastAsia" w:ascii="仿宋_GB2312" w:hAnsi="仿宋_GB2312" w:eastAsia="仿宋_GB2312" w:cs="仿宋_GB2312"/>
          <w:bCs/>
          <w:kern w:val="0"/>
          <w:sz w:val="32"/>
          <w:szCs w:val="32"/>
        </w:rPr>
        <w:t>二、机构设置及人员情况</w:t>
      </w:r>
      <w:r>
        <w:rPr>
          <w:rFonts w:hint="eastAsia" w:ascii="仿宋_GB2312" w:hAnsi="仿宋_GB2312" w:eastAsia="仿宋_GB2312" w:cs="仿宋_GB2312"/>
          <w:bCs/>
          <w:kern w:val="0"/>
          <w:sz w:val="32"/>
          <w:szCs w:val="32"/>
        </w:rPr>
        <w:fldChar w:fldCharType="end"/>
      </w:r>
    </w:p>
    <w:p>
      <w:pPr>
        <w:pStyle w:val="6"/>
        <w:keepNext w:val="0"/>
        <w:keepLines w:val="0"/>
        <w:pageBreakBefore w:val="0"/>
        <w:tabs>
          <w:tab w:val="right" w:pos="8306"/>
        </w:tabs>
        <w:kinsoku/>
        <w:wordWrap/>
        <w:overflowPunct/>
        <w:topLinePunct w:val="0"/>
        <w:bidi w:val="0"/>
        <w:adjustRightInd/>
        <w:jc w:val="both"/>
        <w:textAlignment w:val="auto"/>
        <w:rPr>
          <w:rFonts w:ascii="仿宋_GB2312" w:hAnsi="仿宋_GB2312" w:eastAsia="仿宋_GB2312" w:cs="仿宋_GB2312"/>
          <w:b/>
          <w:bCs/>
          <w:sz w:val="32"/>
          <w:szCs w:val="32"/>
        </w:rPr>
      </w:pPr>
      <w:r>
        <w:fldChar w:fldCharType="begin"/>
      </w:r>
      <w:r>
        <w:instrText xml:space="preserve"> HYPERLINK \l "_Toc29374" </w:instrText>
      </w:r>
      <w:r>
        <w:fldChar w:fldCharType="separate"/>
      </w:r>
      <w:r>
        <w:rPr>
          <w:rFonts w:hint="eastAsia" w:ascii="仿宋_GB2312" w:hAnsi="仿宋_GB2312" w:eastAsia="仿宋_GB2312" w:cs="仿宋_GB2312"/>
          <w:b/>
          <w:bCs/>
          <w:sz w:val="32"/>
          <w:szCs w:val="32"/>
        </w:rPr>
        <w:t>第二部分 部门决算情况说明</w:t>
      </w:r>
      <w:r>
        <w:rPr>
          <w:rFonts w:hint="eastAsia" w:ascii="仿宋_GB2312" w:hAnsi="仿宋_GB2312" w:eastAsia="仿宋_GB2312" w:cs="仿宋_GB2312"/>
          <w:b/>
          <w:bCs/>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"_Toc25314" </w:instrText>
      </w:r>
      <w:r>
        <w:fldChar w:fldCharType="separate"/>
      </w:r>
      <w:r>
        <w:rPr>
          <w:rFonts w:hint="eastAsia" w:ascii="仿宋_GB2312" w:hAnsi="仿宋_GB2312" w:eastAsia="仿宋_GB2312" w:cs="仿宋_GB2312"/>
          <w:bCs/>
          <w:kern w:val="0"/>
          <w:sz w:val="32"/>
          <w:szCs w:val="32"/>
        </w:rPr>
        <w:t>一、收入支出决算总体情况说明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"_Toc12142" </w:instrText>
      </w:r>
      <w:r>
        <w:fldChar w:fldCharType="separate"/>
      </w:r>
      <w:r>
        <w:rPr>
          <w:rFonts w:hint="eastAsia" w:ascii="仿宋_GB2312" w:hAnsi="仿宋_GB2312" w:eastAsia="仿宋_GB2312" w:cs="仿宋_GB2312"/>
          <w:bCs/>
          <w:kern w:val="0"/>
          <w:sz w:val="32"/>
          <w:szCs w:val="32"/>
        </w:rPr>
        <w:t>二、收入决算情况说明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"_Toc13201" </w:instrText>
      </w:r>
      <w:r>
        <w:fldChar w:fldCharType="separate"/>
      </w:r>
      <w:r>
        <w:rPr>
          <w:rFonts w:hint="eastAsia" w:ascii="仿宋_GB2312" w:hAnsi="仿宋_GB2312" w:eastAsia="仿宋_GB2312" w:cs="仿宋_GB2312"/>
          <w:bCs/>
          <w:kern w:val="0"/>
          <w:sz w:val="32"/>
          <w:szCs w:val="32"/>
        </w:rPr>
        <w:t>三、支出决算情况说明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"_Toc26564" </w:instrText>
      </w:r>
      <w:r>
        <w:fldChar w:fldCharType="separate"/>
      </w:r>
      <w:r>
        <w:rPr>
          <w:rFonts w:hint="eastAsia" w:ascii="仿宋_GB2312" w:hAnsi="仿宋_GB2312" w:eastAsia="仿宋_GB2312" w:cs="仿宋_GB2312"/>
          <w:bCs/>
          <w:kern w:val="0"/>
          <w:sz w:val="32"/>
          <w:szCs w:val="32"/>
        </w:rPr>
        <w:t>四、财政拨款收入支出决算总体情况说明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"_Toc20360" </w:instrText>
      </w:r>
      <w:r>
        <w:fldChar w:fldCharType="separate"/>
      </w:r>
      <w:r>
        <w:rPr>
          <w:rFonts w:hint="eastAsia" w:ascii="仿宋_GB2312" w:hAnsi="仿宋_GB2312" w:eastAsia="仿宋_GB2312" w:cs="仿宋_GB2312"/>
          <w:bCs/>
          <w:kern w:val="0"/>
          <w:sz w:val="32"/>
          <w:szCs w:val="32"/>
        </w:rPr>
        <w:t>五、一般公共预算财政拨款支出决算情况说明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"_Toc30870" </w:instrText>
      </w:r>
      <w:r>
        <w:fldChar w:fldCharType="separate"/>
      </w:r>
      <w:r>
        <w:rPr>
          <w:rFonts w:hint="eastAsia" w:ascii="仿宋_GB2312" w:hAnsi="仿宋_GB2312" w:eastAsia="仿宋_GB2312" w:cs="仿宋_GB2312"/>
          <w:bCs/>
          <w:kern w:val="0"/>
          <w:sz w:val="32"/>
          <w:szCs w:val="32"/>
        </w:rPr>
        <w:t>六、一般公共预算财政拨款基本支出决算情况说明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"_Toc21518" </w:instrText>
      </w:r>
      <w:r>
        <w:fldChar w:fldCharType="separate"/>
      </w:r>
      <w:r>
        <w:rPr>
          <w:rFonts w:hint="eastAsia" w:ascii="仿宋_GB2312" w:hAnsi="仿宋_GB2312" w:eastAsia="仿宋_GB2312" w:cs="仿宋_GB2312"/>
          <w:bCs/>
          <w:kern w:val="0"/>
          <w:sz w:val="32"/>
          <w:szCs w:val="32"/>
        </w:rPr>
        <w:t>七、财政拨款“三公”经费支出决算情况说明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"_Toc5810" </w:instrText>
      </w:r>
      <w:r>
        <w:fldChar w:fldCharType="separate"/>
      </w:r>
      <w:r>
        <w:rPr>
          <w:rFonts w:hint="eastAsia" w:ascii="仿宋_GB2312" w:hAnsi="仿宋_GB2312" w:eastAsia="仿宋_GB2312" w:cs="仿宋_GB2312"/>
          <w:bCs/>
          <w:kern w:val="0"/>
          <w:sz w:val="32"/>
          <w:szCs w:val="32"/>
        </w:rPr>
        <w:t>八、政府性基金预算财政拨款收入支出决算情况说明</w:t>
      </w:r>
      <w:r>
        <w:rPr>
          <w:rFonts w:hint="eastAsia" w:ascii="仿宋_GB2312" w:hAnsi="仿宋_GB2312" w:eastAsia="仿宋_GB2312" w:cs="仿宋_GB2312"/>
          <w:bCs/>
          <w:kern w:val="0"/>
          <w:sz w:val="32"/>
          <w:szCs w:val="32"/>
        </w:rPr>
        <w:fldChar w:fldCharType="end"/>
      </w:r>
    </w:p>
    <w:p>
      <w:pPr>
        <w:keepNext w:val="0"/>
        <w:keepLines w:val="0"/>
        <w:pageBreakBefore w:val="0"/>
        <w:kinsoku/>
        <w:wordWrap/>
        <w:overflowPunct/>
        <w:topLinePunct w:val="0"/>
        <w:bidi w:val="0"/>
        <w:adjustRightInd/>
        <w:jc w:val="both"/>
        <w:textAlignment w:val="auto"/>
      </w:pPr>
      <w:r>
        <w:fldChar w:fldCharType="begin"/>
      </w:r>
      <w:r>
        <w:instrText xml:space="preserve"> HYPERLINK \l "_Toc5810" </w:instrText>
      </w:r>
      <w:r>
        <w:fldChar w:fldCharType="separate"/>
      </w:r>
      <w:r>
        <w:rPr>
          <w:rFonts w:hint="eastAsia" w:ascii="仿宋_GB2312" w:hAnsi="仿宋_GB2312" w:eastAsia="仿宋_GB2312" w:cs="仿宋_GB2312"/>
          <w:bCs/>
          <w:kern w:val="0"/>
          <w:sz w:val="32"/>
          <w:szCs w:val="32"/>
        </w:rPr>
        <w:t>九、国有资本经营预算财政拨款收入支出决算情况说明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"_Toc1235" </w:instrText>
      </w:r>
      <w:r>
        <w:fldChar w:fldCharType="separate"/>
      </w:r>
      <w:r>
        <w:rPr>
          <w:rFonts w:hint="eastAsia" w:ascii="仿宋_GB2312" w:hAnsi="仿宋_GB2312" w:eastAsia="仿宋_GB2312" w:cs="仿宋_GB2312"/>
          <w:sz w:val="32"/>
          <w:szCs w:val="32"/>
        </w:rPr>
        <w:t>十</w:t>
      </w:r>
      <w:r>
        <w:rPr>
          <w:rFonts w:hint="eastAsia" w:ascii="仿宋_GB2312" w:hAnsi="仿宋_GB2312" w:eastAsia="仿宋_GB2312" w:cs="仿宋_GB2312"/>
          <w:bCs/>
          <w:kern w:val="0"/>
          <w:sz w:val="32"/>
          <w:szCs w:val="32"/>
        </w:rPr>
        <w:t>、其他重要事项的情况说明</w:t>
      </w:r>
      <w:r>
        <w:rPr>
          <w:rFonts w:hint="eastAsia" w:ascii="仿宋_GB2312" w:hAnsi="仿宋_GB2312" w:eastAsia="仿宋_GB2312" w:cs="仿宋_GB2312"/>
          <w:bCs/>
          <w:kern w:val="0"/>
          <w:sz w:val="32"/>
          <w:szCs w:val="32"/>
        </w:rPr>
        <w:fldChar w:fldCharType="end"/>
      </w:r>
    </w:p>
    <w:p>
      <w:pPr>
        <w:pStyle w:val="3"/>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"_Toc14519" </w:instrText>
      </w:r>
      <w:r>
        <w:fldChar w:fldCharType="separate"/>
      </w:r>
      <w:r>
        <w:rPr>
          <w:rFonts w:hint="eastAsia" w:ascii="仿宋_GB2312" w:hAnsi="仿宋_GB2312" w:eastAsia="仿宋_GB2312" w:cs="仿宋_GB2312"/>
          <w:sz w:val="32"/>
          <w:szCs w:val="32"/>
        </w:rPr>
        <w:t>（一）机关运行经费支出情况</w:t>
      </w:r>
      <w:r>
        <w:rPr>
          <w:rFonts w:hint="eastAsia" w:ascii="仿宋_GB2312" w:hAnsi="仿宋_GB2312" w:eastAsia="仿宋_GB2312" w:cs="仿宋_GB2312"/>
          <w:sz w:val="32"/>
          <w:szCs w:val="32"/>
        </w:rPr>
        <w:fldChar w:fldCharType="end"/>
      </w:r>
    </w:p>
    <w:p>
      <w:pPr>
        <w:pStyle w:val="3"/>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"_Toc227" </w:instrText>
      </w:r>
      <w:r>
        <w:fldChar w:fldCharType="separate"/>
      </w:r>
      <w:r>
        <w:rPr>
          <w:rFonts w:hint="eastAsia" w:ascii="仿宋_GB2312" w:hAnsi="仿宋_GB2312" w:eastAsia="仿宋_GB2312" w:cs="仿宋_GB2312"/>
          <w:sz w:val="32"/>
          <w:szCs w:val="32"/>
        </w:rPr>
        <w:t>（二）政府采购情况</w:t>
      </w:r>
      <w:r>
        <w:rPr>
          <w:rFonts w:hint="eastAsia" w:ascii="仿宋_GB2312" w:hAnsi="仿宋_GB2312" w:eastAsia="仿宋_GB2312" w:cs="仿宋_GB2312"/>
          <w:sz w:val="32"/>
          <w:szCs w:val="32"/>
        </w:rPr>
        <w:fldChar w:fldCharType="end"/>
      </w:r>
    </w:p>
    <w:p>
      <w:pPr>
        <w:pStyle w:val="3"/>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"_Toc8391" </w:instrText>
      </w:r>
      <w:r>
        <w:fldChar w:fldCharType="separate"/>
      </w:r>
      <w:r>
        <w:rPr>
          <w:rFonts w:hint="eastAsia" w:ascii="仿宋_GB2312" w:hAnsi="仿宋_GB2312" w:eastAsia="仿宋_GB2312" w:cs="仿宋_GB2312"/>
          <w:sz w:val="32"/>
          <w:szCs w:val="32"/>
        </w:rPr>
        <w:t>（三）国有资产占用情况说明</w:t>
      </w:r>
      <w:r>
        <w:rPr>
          <w:rFonts w:hint="eastAsia" w:ascii="仿宋_GB2312" w:hAnsi="仿宋_GB2312" w:eastAsia="仿宋_GB2312" w:cs="仿宋_GB2312"/>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"_Toc11283" </w:instrText>
      </w:r>
      <w:r>
        <w:fldChar w:fldCharType="separate"/>
      </w:r>
      <w:r>
        <w:rPr>
          <w:rFonts w:hint="eastAsia" w:ascii="仿宋_GB2312" w:hAnsi="仿宋_GB2312" w:eastAsia="仿宋_GB2312" w:cs="仿宋_GB2312"/>
          <w:bCs/>
          <w:kern w:val="0"/>
          <w:sz w:val="32"/>
          <w:szCs w:val="32"/>
        </w:rPr>
        <w:t>十一、预算绩效的情况说明</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rPr>
          <w:rFonts w:hint="eastAsia" w:ascii="仿宋_GB2312" w:hAnsi="仿宋_GB2312" w:eastAsia="仿宋_GB2312" w:cs="仿宋_GB2312"/>
          <w:sz w:val="32"/>
          <w:szCs w:val="32"/>
        </w:rPr>
        <w:t>十二、其他需说明的事项</w:t>
      </w:r>
    </w:p>
    <w:p>
      <w:pPr>
        <w:pStyle w:val="6"/>
        <w:keepNext w:val="0"/>
        <w:keepLines w:val="0"/>
        <w:pageBreakBefore w:val="0"/>
        <w:tabs>
          <w:tab w:val="right" w:pos="8306"/>
        </w:tabs>
        <w:kinsoku/>
        <w:wordWrap/>
        <w:overflowPunct/>
        <w:topLinePunct w:val="0"/>
        <w:bidi w:val="0"/>
        <w:adjustRightInd/>
        <w:jc w:val="both"/>
        <w:textAlignment w:val="auto"/>
        <w:rPr>
          <w:rFonts w:ascii="仿宋_GB2312" w:hAnsi="仿宋_GB2312" w:eastAsia="仿宋_GB2312" w:cs="仿宋_GB2312"/>
          <w:b/>
          <w:bCs/>
          <w:sz w:val="32"/>
          <w:szCs w:val="32"/>
        </w:rPr>
      </w:pPr>
      <w:r>
        <w:fldChar w:fldCharType="begin"/>
      </w:r>
      <w:r>
        <w:instrText xml:space="preserve"> HYPERLINK \l "_Toc3250" </w:instrText>
      </w:r>
      <w:r>
        <w:fldChar w:fldCharType="separate"/>
      </w:r>
      <w:r>
        <w:rPr>
          <w:rFonts w:hint="eastAsia" w:ascii="仿宋_GB2312" w:hAnsi="仿宋_GB2312" w:eastAsia="仿宋_GB2312" w:cs="仿宋_GB2312"/>
          <w:b/>
          <w:bCs/>
          <w:sz w:val="32"/>
          <w:szCs w:val="32"/>
        </w:rPr>
        <w:t>第三部分 专业名词解释</w:t>
      </w:r>
      <w:r>
        <w:rPr>
          <w:rFonts w:hint="eastAsia" w:ascii="仿宋_GB2312" w:hAnsi="仿宋_GB2312" w:eastAsia="仿宋_GB2312" w:cs="仿宋_GB2312"/>
          <w:b/>
          <w:bCs/>
          <w:sz w:val="32"/>
          <w:szCs w:val="32"/>
        </w:rPr>
        <w:fldChar w:fldCharType="end"/>
      </w:r>
    </w:p>
    <w:p>
      <w:pPr>
        <w:pStyle w:val="6"/>
        <w:keepNext w:val="0"/>
        <w:keepLines w:val="0"/>
        <w:pageBreakBefore w:val="0"/>
        <w:tabs>
          <w:tab w:val="right" w:pos="8306"/>
        </w:tabs>
        <w:kinsoku/>
        <w:wordWrap/>
        <w:overflowPunct/>
        <w:topLinePunct w:val="0"/>
        <w:bidi w:val="0"/>
        <w:adjustRightInd/>
        <w:jc w:val="both"/>
        <w:textAlignment w:val="auto"/>
        <w:rPr>
          <w:rFonts w:ascii="仿宋_GB2312" w:hAnsi="仿宋_GB2312" w:eastAsia="仿宋_GB2312" w:cs="仿宋_GB2312"/>
          <w:b/>
          <w:bCs/>
          <w:sz w:val="32"/>
          <w:szCs w:val="32"/>
        </w:rPr>
      </w:pPr>
      <w:r>
        <w:fldChar w:fldCharType="begin"/>
      </w:r>
      <w:r>
        <w:instrText xml:space="preserve"> HYPERLINK \l "_Toc22784" </w:instrText>
      </w:r>
      <w:r>
        <w:fldChar w:fldCharType="separate"/>
      </w:r>
      <w:r>
        <w:rPr>
          <w:rFonts w:hint="eastAsia" w:ascii="仿宋_GB2312" w:hAnsi="仿宋_GB2312" w:eastAsia="仿宋_GB2312" w:cs="仿宋_GB2312"/>
          <w:b/>
          <w:bCs/>
          <w:sz w:val="32"/>
          <w:szCs w:val="32"/>
        </w:rPr>
        <w:t>第四部分 部门决算报表（见附表）</w:t>
      </w:r>
      <w:r>
        <w:rPr>
          <w:rFonts w:hint="eastAsia" w:ascii="仿宋_GB2312" w:hAnsi="仿宋_GB2312" w:eastAsia="仿宋_GB2312" w:cs="仿宋_GB2312"/>
          <w:b/>
          <w:bCs/>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"_Toc2183" </w:instrText>
      </w:r>
      <w:r>
        <w:fldChar w:fldCharType="separate"/>
      </w:r>
      <w:r>
        <w:rPr>
          <w:rFonts w:hint="eastAsia" w:ascii="仿宋_GB2312" w:hAnsi="仿宋_GB2312" w:eastAsia="仿宋_GB2312" w:cs="仿宋_GB2312"/>
          <w:bCs/>
          <w:kern w:val="0"/>
          <w:sz w:val="32"/>
          <w:szCs w:val="32"/>
        </w:rPr>
        <w:t>一、《收入支出决算总表》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"_Toc24532" </w:instrText>
      </w:r>
      <w:r>
        <w:fldChar w:fldCharType="separate"/>
      </w:r>
      <w:r>
        <w:rPr>
          <w:rFonts w:hint="eastAsia" w:ascii="仿宋_GB2312" w:hAnsi="仿宋_GB2312" w:eastAsia="仿宋_GB2312" w:cs="仿宋_GB2312"/>
          <w:bCs/>
          <w:kern w:val="0"/>
          <w:sz w:val="32"/>
          <w:szCs w:val="32"/>
        </w:rPr>
        <w:t>二、《收入决算表》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"_Toc32434" </w:instrText>
      </w:r>
      <w:r>
        <w:fldChar w:fldCharType="separate"/>
      </w:r>
      <w:r>
        <w:rPr>
          <w:rFonts w:hint="eastAsia" w:ascii="仿宋_GB2312" w:hAnsi="仿宋_GB2312" w:eastAsia="仿宋_GB2312" w:cs="仿宋_GB2312"/>
          <w:bCs/>
          <w:kern w:val="0"/>
          <w:sz w:val="32"/>
          <w:szCs w:val="32"/>
        </w:rPr>
        <w:t>三、《支出决算表》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"_Toc28786" </w:instrText>
      </w:r>
      <w:r>
        <w:fldChar w:fldCharType="separate"/>
      </w:r>
      <w:r>
        <w:rPr>
          <w:rFonts w:hint="eastAsia" w:ascii="仿宋_GB2312" w:hAnsi="仿宋_GB2312" w:eastAsia="仿宋_GB2312" w:cs="仿宋_GB2312"/>
          <w:bCs/>
          <w:kern w:val="0"/>
          <w:sz w:val="32"/>
          <w:szCs w:val="32"/>
        </w:rPr>
        <w:t>四、《财政拨款收入支出决算总表》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"_Toc14869" </w:instrText>
      </w:r>
      <w:r>
        <w:fldChar w:fldCharType="separate"/>
      </w:r>
      <w:r>
        <w:rPr>
          <w:rFonts w:hint="eastAsia" w:ascii="仿宋_GB2312" w:hAnsi="仿宋_GB2312" w:eastAsia="仿宋_GB2312" w:cs="仿宋_GB2312"/>
          <w:bCs/>
          <w:kern w:val="0"/>
          <w:sz w:val="32"/>
          <w:szCs w:val="32"/>
        </w:rPr>
        <w:t>五、《一般公共预算财政拨款支出决算表》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"_Toc8884" </w:instrText>
      </w:r>
      <w:r>
        <w:fldChar w:fldCharType="separate"/>
      </w:r>
      <w:r>
        <w:rPr>
          <w:rFonts w:hint="eastAsia" w:ascii="仿宋_GB2312" w:hAnsi="仿宋_GB2312" w:eastAsia="仿宋_GB2312" w:cs="仿宋_GB2312"/>
          <w:bCs/>
          <w:kern w:val="0"/>
          <w:sz w:val="32"/>
          <w:szCs w:val="32"/>
        </w:rPr>
        <w:t>六、《一般公共预算财政拨款基本支出决算表》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sz w:val="32"/>
          <w:szCs w:val="32"/>
        </w:rPr>
      </w:pPr>
      <w:r>
        <w:fldChar w:fldCharType="begin"/>
      </w:r>
      <w:r>
        <w:instrText xml:space="preserve"> HYPERLINK \l "_Toc29106" </w:instrText>
      </w:r>
      <w:r>
        <w:fldChar w:fldCharType="separate"/>
      </w:r>
      <w:r>
        <w:rPr>
          <w:rFonts w:hint="eastAsia" w:ascii="仿宋_GB2312" w:hAnsi="仿宋_GB2312" w:eastAsia="仿宋_GB2312" w:cs="仿宋_GB2312"/>
          <w:bCs/>
          <w:kern w:val="0"/>
          <w:sz w:val="32"/>
          <w:szCs w:val="32"/>
        </w:rPr>
        <w:t>七、《财政拨款“三公”经费支出决算表》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bCs/>
          <w:kern w:val="0"/>
          <w:sz w:val="32"/>
          <w:szCs w:val="32"/>
        </w:rPr>
      </w:pPr>
      <w:r>
        <w:fldChar w:fldCharType="begin"/>
      </w:r>
      <w:r>
        <w:instrText xml:space="preserve"> HYPERLINK \l "_Toc7643" </w:instrText>
      </w:r>
      <w:r>
        <w:fldChar w:fldCharType="separate"/>
      </w:r>
      <w:r>
        <w:rPr>
          <w:rFonts w:hint="eastAsia" w:ascii="仿宋_GB2312" w:hAnsi="仿宋_GB2312" w:eastAsia="仿宋_GB2312" w:cs="仿宋_GB2312"/>
          <w:bCs/>
          <w:kern w:val="0"/>
          <w:sz w:val="32"/>
          <w:szCs w:val="32"/>
        </w:rPr>
        <w:t>八、《政府性基金预算财政拨款收入支出决算表》</w:t>
      </w:r>
      <w:r>
        <w:rPr>
          <w:rFonts w:hint="eastAsia" w:ascii="仿宋_GB2312" w:hAnsi="仿宋_GB2312" w:eastAsia="仿宋_GB2312" w:cs="仿宋_GB2312"/>
          <w:bCs/>
          <w:kern w:val="0"/>
          <w:sz w:val="32"/>
          <w:szCs w:val="32"/>
        </w:rPr>
        <w:fldChar w:fldCharType="end"/>
      </w:r>
    </w:p>
    <w:p>
      <w:pPr>
        <w:pStyle w:val="8"/>
        <w:keepNext w:val="0"/>
        <w:keepLines w:val="0"/>
        <w:pageBreakBefore w:val="0"/>
        <w:tabs>
          <w:tab w:val="right" w:pos="8306"/>
        </w:tabs>
        <w:kinsoku/>
        <w:wordWrap/>
        <w:overflowPunct/>
        <w:topLinePunct w:val="0"/>
        <w:bidi w:val="0"/>
        <w:adjustRightInd/>
        <w:ind w:left="0" w:leftChars="0"/>
        <w:jc w:val="both"/>
        <w:textAlignment w:val="auto"/>
        <w:rPr>
          <w:rFonts w:ascii="仿宋_GB2312" w:hAnsi="仿宋_GB2312" w:eastAsia="仿宋_GB2312" w:cs="仿宋_GB2312"/>
          <w:bCs/>
          <w:kern w:val="0"/>
          <w:sz w:val="32"/>
          <w:szCs w:val="32"/>
        </w:rPr>
      </w:pPr>
      <w:r>
        <w:rPr>
          <w:rFonts w:hint="eastAsia" w:ascii="仿宋_GB2312" w:hAnsi="仿宋_GB2312" w:eastAsia="仿宋_GB2312" w:cs="仿宋_GB2312"/>
          <w:bCs/>
          <w:kern w:val="0"/>
          <w:sz w:val="32"/>
          <w:szCs w:val="32"/>
        </w:rPr>
        <w:t>九、《国有资本经营预算财政拨款收入支出决算表》</w:t>
      </w:r>
    </w:p>
    <w:p>
      <w:pPr>
        <w:keepNext w:val="0"/>
        <w:keepLines w:val="0"/>
        <w:pageBreakBefore w:val="0"/>
        <w:kinsoku/>
        <w:wordWrap/>
        <w:overflowPunct/>
        <w:topLinePunct w:val="0"/>
        <w:bidi w:val="0"/>
        <w:adjustRightInd/>
        <w:jc w:val="both"/>
        <w:textAlignment w:val="auto"/>
      </w:pPr>
      <w:r>
        <w:rPr>
          <w:rFonts w:hint="eastAsia" w:ascii="仿宋_GB2312" w:hAnsi="仿宋_GB2312" w:eastAsia="仿宋_GB2312" w:cs="仿宋_GB2312"/>
          <w:sz w:val="32"/>
          <w:szCs w:val="32"/>
        </w:rPr>
        <w:fldChar w:fldCharType="end"/>
      </w:r>
    </w:p>
    <w:p>
      <w:pPr>
        <w:keepNext w:val="0"/>
        <w:keepLines w:val="0"/>
        <w:pageBreakBefore w:val="0"/>
        <w:kinsoku/>
        <w:wordWrap/>
        <w:overflowPunct/>
        <w:topLinePunct w:val="0"/>
        <w:bidi w:val="0"/>
        <w:adjustRightInd/>
        <w:jc w:val="both"/>
        <w:textAlignment w:val="auto"/>
        <w:rPr>
          <w:rFonts w:ascii="仿宋_GB2312" w:eastAsia="仿宋_GB2312"/>
          <w:sz w:val="32"/>
          <w:szCs w:val="32"/>
        </w:rPr>
      </w:pPr>
      <w:r>
        <w:rPr>
          <w:rFonts w:hint="eastAsia" w:ascii="仿宋_GB2312" w:eastAsia="仿宋_GB2312"/>
          <w:sz w:val="32"/>
          <w:szCs w:val="32"/>
        </w:rPr>
        <w:br w:type="page"/>
      </w:r>
    </w:p>
    <w:p>
      <w:pPr>
        <w:keepNext w:val="0"/>
        <w:keepLines w:val="0"/>
        <w:pageBreakBefore w:val="0"/>
        <w:kinsoku/>
        <w:wordWrap/>
        <w:overflowPunct/>
        <w:topLinePunct w:val="0"/>
        <w:bidi w:val="0"/>
        <w:adjustRightInd/>
        <w:jc w:val="both"/>
        <w:textAlignment w:val="auto"/>
        <w:outlineLvl w:val="0"/>
        <w:rPr>
          <w:rFonts w:ascii="黑体" w:hAnsi="黑体" w:eastAsia="黑体"/>
          <w:sz w:val="32"/>
          <w:szCs w:val="32"/>
        </w:rPr>
      </w:pPr>
      <w:bookmarkStart w:id="0" w:name="_Toc24028"/>
      <w:bookmarkStart w:id="1" w:name="_Toc32314"/>
      <w:r>
        <w:rPr>
          <w:rFonts w:hint="eastAsia" w:ascii="黑体" w:hAnsi="黑体" w:eastAsia="黑体"/>
          <w:sz w:val="32"/>
          <w:szCs w:val="32"/>
        </w:rPr>
        <w:t>第一部分 部门概况</w:t>
      </w:r>
      <w:bookmarkEnd w:id="0"/>
      <w:bookmarkEnd w:id="1"/>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2" w:name="_Toc30738"/>
      <w:bookmarkStart w:id="3" w:name="_Toc30567"/>
      <w:r>
        <w:rPr>
          <w:rFonts w:hint="eastAsia" w:ascii="黑体" w:hAnsi="黑体" w:eastAsia="黑体" w:cs="宋体"/>
          <w:bCs/>
          <w:kern w:val="0"/>
          <w:sz w:val="32"/>
          <w:szCs w:val="32"/>
        </w:rPr>
        <w:t>一、主要职能</w:t>
      </w:r>
      <w:bookmarkEnd w:id="2"/>
      <w:bookmarkEnd w:id="3"/>
    </w:p>
    <w:p>
      <w:pPr>
        <w:pStyle w:val="17"/>
        <w:keepNext w:val="0"/>
        <w:keepLines w:val="0"/>
        <w:pageBreakBefore w:val="0"/>
        <w:kinsoku/>
        <w:wordWrap/>
        <w:overflowPunct/>
        <w:topLinePunct w:val="0"/>
        <w:bidi w:val="0"/>
        <w:adjustRightInd/>
        <w:spacing w:line="578" w:lineRule="exact"/>
        <w:ind w:firstLine="640"/>
        <w:jc w:val="both"/>
        <w:textAlignment w:val="auto"/>
        <w:rPr>
          <w:rFonts w:eastAsia="仿宋_GB2312"/>
          <w:color w:val="000000"/>
          <w:sz w:val="32"/>
          <w:szCs w:val="32"/>
        </w:rPr>
      </w:pPr>
      <w:bookmarkStart w:id="4" w:name="_Toc31238"/>
      <w:bookmarkStart w:id="5" w:name="_Toc2151"/>
      <w:r>
        <w:rPr>
          <w:rFonts w:eastAsia="仿宋_GB2312"/>
          <w:bCs/>
          <w:sz w:val="32"/>
          <w:szCs w:val="32"/>
        </w:rPr>
        <w:t>（1）负责党的组织制度建设；</w:t>
      </w:r>
      <w:r>
        <w:rPr>
          <w:rFonts w:eastAsia="仿宋_GB2312"/>
          <w:bCs/>
          <w:sz w:val="32"/>
          <w:szCs w:val="32"/>
        </w:rPr>
        <w:cr/>
      </w:r>
      <w:r>
        <w:rPr>
          <w:rFonts w:eastAsia="仿宋_GB2312"/>
          <w:bCs/>
          <w:sz w:val="32"/>
          <w:szCs w:val="32"/>
        </w:rPr>
        <w:t xml:space="preserve">    （2）负责基层组织和党员队伍建设；</w:t>
      </w:r>
      <w:r>
        <w:rPr>
          <w:rFonts w:eastAsia="仿宋_GB2312"/>
          <w:bCs/>
          <w:sz w:val="32"/>
          <w:szCs w:val="32"/>
        </w:rPr>
        <w:cr/>
      </w:r>
      <w:r>
        <w:rPr>
          <w:rFonts w:eastAsia="仿宋_GB2312"/>
          <w:bCs/>
          <w:sz w:val="32"/>
          <w:szCs w:val="32"/>
        </w:rPr>
        <w:t xml:space="preserve">    （3）负责领导班子和领导干部队伍特别是优秀年轻干部队伍建设；</w:t>
      </w:r>
    </w:p>
    <w:p>
      <w:pPr>
        <w:keepNext w:val="0"/>
        <w:keepLines w:val="0"/>
        <w:pageBreakBefore w:val="0"/>
        <w:kinsoku/>
        <w:wordWrap/>
        <w:overflowPunct/>
        <w:topLinePunct w:val="0"/>
        <w:bidi w:val="0"/>
        <w:adjustRightInd/>
        <w:snapToGrid w:val="0"/>
        <w:spacing w:line="578" w:lineRule="exact"/>
        <w:ind w:firstLine="640" w:firstLineChars="200"/>
        <w:jc w:val="both"/>
        <w:textAlignment w:val="auto"/>
        <w:rPr>
          <w:rFonts w:eastAsia="仿宋_GB2312"/>
          <w:bCs/>
          <w:sz w:val="32"/>
          <w:szCs w:val="32"/>
        </w:rPr>
      </w:pPr>
      <w:r>
        <w:rPr>
          <w:rFonts w:eastAsia="仿宋_GB2312"/>
          <w:bCs/>
          <w:sz w:val="32"/>
          <w:szCs w:val="32"/>
        </w:rPr>
        <w:t>（4）负责公务员队伍建设；</w:t>
      </w:r>
      <w:r>
        <w:rPr>
          <w:rFonts w:eastAsia="仿宋_GB2312"/>
          <w:bCs/>
          <w:sz w:val="32"/>
          <w:szCs w:val="32"/>
        </w:rPr>
        <w:cr/>
      </w:r>
      <w:r>
        <w:rPr>
          <w:rFonts w:eastAsia="仿宋_GB2312"/>
          <w:bCs/>
          <w:sz w:val="32"/>
          <w:szCs w:val="32"/>
        </w:rPr>
        <w:t xml:space="preserve">    （5）负责人才工作；</w:t>
      </w:r>
      <w:r>
        <w:rPr>
          <w:rFonts w:eastAsia="仿宋_GB2312"/>
          <w:bCs/>
          <w:sz w:val="32"/>
          <w:szCs w:val="32"/>
        </w:rPr>
        <w:cr/>
      </w:r>
      <w:r>
        <w:rPr>
          <w:rFonts w:eastAsia="仿宋_GB2312"/>
          <w:bCs/>
          <w:sz w:val="32"/>
          <w:szCs w:val="32"/>
        </w:rPr>
        <w:t xml:space="preserve">    （6）负责干部队伍建设宏观指导和干部队伍教育培训、管理监督工作；</w:t>
      </w:r>
      <w:r>
        <w:rPr>
          <w:rFonts w:eastAsia="仿宋_GB2312"/>
          <w:bCs/>
          <w:sz w:val="32"/>
          <w:szCs w:val="32"/>
        </w:rPr>
        <w:cr/>
      </w:r>
      <w:r>
        <w:rPr>
          <w:rFonts w:eastAsia="仿宋_GB2312"/>
          <w:bCs/>
          <w:sz w:val="32"/>
          <w:szCs w:val="32"/>
        </w:rPr>
        <w:t xml:space="preserve">    （7）负责干部人才援疆工作；</w:t>
      </w:r>
      <w:r>
        <w:rPr>
          <w:rFonts w:eastAsia="仿宋_GB2312"/>
          <w:bCs/>
          <w:sz w:val="32"/>
          <w:szCs w:val="32"/>
        </w:rPr>
        <w:cr/>
      </w:r>
      <w:r>
        <w:rPr>
          <w:rFonts w:eastAsia="仿宋_GB2312"/>
          <w:bCs/>
          <w:sz w:val="32"/>
          <w:szCs w:val="32"/>
        </w:rPr>
        <w:t xml:space="preserve">    （8）负责党的建设和组织工作研究；</w:t>
      </w:r>
      <w:r>
        <w:rPr>
          <w:rFonts w:eastAsia="仿宋_GB2312"/>
          <w:bCs/>
          <w:sz w:val="32"/>
          <w:szCs w:val="32"/>
        </w:rPr>
        <w:cr/>
      </w:r>
      <w:r>
        <w:rPr>
          <w:rFonts w:eastAsia="仿宋_GB2312"/>
          <w:bCs/>
          <w:sz w:val="32"/>
          <w:szCs w:val="32"/>
        </w:rPr>
        <w:t xml:space="preserve">    （9）统一管理中共新疆维吾尔自治区机构编制委员会办公室，归口管理中共新疆维吾尔自治区委员会老干部局；</w:t>
      </w:r>
      <w:r>
        <w:rPr>
          <w:rFonts w:eastAsia="仿宋_GB2312"/>
          <w:bCs/>
          <w:sz w:val="32"/>
          <w:szCs w:val="32"/>
        </w:rPr>
        <w:cr/>
      </w:r>
      <w:r>
        <w:rPr>
          <w:rFonts w:eastAsia="仿宋_GB2312"/>
          <w:bCs/>
          <w:sz w:val="32"/>
          <w:szCs w:val="32"/>
        </w:rPr>
        <w:t xml:space="preserve">    （10）承办自治区党委交办的其他任务。</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r>
        <w:rPr>
          <w:rFonts w:hint="eastAsia" w:ascii="黑体" w:hAnsi="黑体" w:eastAsia="黑体" w:cs="宋体"/>
          <w:bCs/>
          <w:kern w:val="0"/>
          <w:sz w:val="32"/>
          <w:szCs w:val="32"/>
        </w:rPr>
        <w:t>二、机构设置及</w:t>
      </w:r>
      <w:bookmarkEnd w:id="4"/>
      <w:r>
        <w:rPr>
          <w:rFonts w:hint="eastAsia" w:ascii="黑体" w:hAnsi="黑体" w:eastAsia="黑体" w:cs="宋体"/>
          <w:bCs/>
          <w:kern w:val="0"/>
          <w:sz w:val="32"/>
          <w:szCs w:val="32"/>
        </w:rPr>
        <w:t>人员情况</w:t>
      </w:r>
      <w:bookmarkEnd w:id="5"/>
    </w:p>
    <w:p>
      <w:pPr>
        <w:keepNext w:val="0"/>
        <w:keepLines w:val="0"/>
        <w:pageBreakBefore w:val="0"/>
        <w:kinsoku/>
        <w:wordWrap/>
        <w:overflowPunct/>
        <w:topLinePunct w:val="0"/>
        <w:bidi w:val="0"/>
        <w:adjustRightInd/>
        <w:ind w:firstLine="640" w:firstLineChars="200"/>
        <w:jc w:val="both"/>
        <w:textAlignment w:val="auto"/>
        <w:rPr>
          <w:rFonts w:eastAsia="仿宋_GB2312"/>
          <w:b/>
          <w:sz w:val="32"/>
          <w:szCs w:val="32"/>
        </w:rPr>
      </w:pPr>
      <w:r>
        <w:rPr>
          <w:rFonts w:eastAsia="仿宋_GB2312"/>
          <w:sz w:val="32"/>
          <w:szCs w:val="32"/>
        </w:rPr>
        <w:t>中共新疆维吾尔自治区委员会组织部2023年度，实有人数</w:t>
      </w:r>
      <w:r>
        <w:rPr>
          <w:rFonts w:eastAsia="仿宋_GB2312"/>
          <w:sz w:val="32"/>
          <w:szCs w:val="32"/>
          <w:lang w:val="zh-CN"/>
        </w:rPr>
        <w:t>355</w:t>
      </w:r>
      <w:r>
        <w:rPr>
          <w:rFonts w:eastAsia="仿宋_GB2312"/>
          <w:sz w:val="32"/>
          <w:szCs w:val="32"/>
        </w:rPr>
        <w:t>人，其中：在职人员</w:t>
      </w:r>
      <w:r>
        <w:rPr>
          <w:rFonts w:eastAsia="仿宋_GB2312"/>
          <w:sz w:val="32"/>
          <w:szCs w:val="32"/>
          <w:lang w:val="zh-CN"/>
        </w:rPr>
        <w:t>216</w:t>
      </w:r>
      <w:r>
        <w:rPr>
          <w:rFonts w:eastAsia="仿宋_GB2312"/>
          <w:sz w:val="32"/>
          <w:szCs w:val="32"/>
        </w:rPr>
        <w:t>人，离休人员</w:t>
      </w:r>
      <w:r>
        <w:rPr>
          <w:rFonts w:eastAsia="仿宋_GB2312"/>
          <w:sz w:val="32"/>
          <w:szCs w:val="32"/>
          <w:lang w:val="zh-CN"/>
        </w:rPr>
        <w:t>1</w:t>
      </w:r>
      <w:r>
        <w:rPr>
          <w:rFonts w:eastAsia="仿宋_GB2312"/>
          <w:sz w:val="32"/>
          <w:szCs w:val="32"/>
        </w:rPr>
        <w:t>人，退休人员</w:t>
      </w:r>
      <w:r>
        <w:rPr>
          <w:rFonts w:eastAsia="仿宋_GB2312"/>
          <w:sz w:val="32"/>
          <w:szCs w:val="32"/>
          <w:lang w:val="zh-CN"/>
        </w:rPr>
        <w:t>138</w:t>
      </w:r>
      <w:r>
        <w:rPr>
          <w:rFonts w:eastAsia="仿宋_GB2312"/>
          <w:sz w:val="32"/>
          <w:szCs w:val="32"/>
        </w:rPr>
        <w:t>人。</w:t>
      </w:r>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rPr>
      </w:pPr>
      <w:r>
        <w:rPr>
          <w:rFonts w:hint="eastAsia" w:ascii="仿宋_GB2312" w:eastAsia="仿宋_GB2312"/>
          <w:sz w:val="32"/>
          <w:szCs w:val="32"/>
        </w:rPr>
        <w:t>从部门决算单位构成看，</w:t>
      </w:r>
      <w:r>
        <w:rPr>
          <w:rFonts w:eastAsia="仿宋_GB2312"/>
          <w:sz w:val="32"/>
          <w:szCs w:val="32"/>
        </w:rPr>
        <w:t>中共新疆维吾尔自治区委员会组织部</w:t>
      </w:r>
      <w:r>
        <w:rPr>
          <w:rFonts w:hint="eastAsia" w:ascii="仿宋_GB2312" w:eastAsia="仿宋_GB2312"/>
          <w:sz w:val="32"/>
          <w:szCs w:val="32"/>
        </w:rPr>
        <w:t>部门决算包括：本级决算及</w:t>
      </w:r>
      <w:r>
        <w:rPr>
          <w:rFonts w:hint="eastAsia" w:eastAsia="仿宋_GB2312"/>
          <w:bCs/>
          <w:spacing w:val="-6"/>
          <w:sz w:val="32"/>
          <w:szCs w:val="32"/>
        </w:rPr>
        <w:t>4家</w:t>
      </w:r>
      <w:r>
        <w:rPr>
          <w:rFonts w:hint="eastAsia" w:ascii="仿宋_GB2312" w:eastAsia="仿宋_GB2312"/>
          <w:sz w:val="32"/>
          <w:szCs w:val="32"/>
        </w:rPr>
        <w:t>所属单位决算。</w:t>
      </w:r>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rPr>
      </w:pPr>
      <w:r>
        <w:rPr>
          <w:rFonts w:eastAsia="仿宋_GB2312"/>
          <w:sz w:val="32"/>
          <w:szCs w:val="32"/>
        </w:rPr>
        <w:t>中共新疆维吾尔自治区委员会组织部</w:t>
      </w:r>
      <w:r>
        <w:rPr>
          <w:rFonts w:hint="eastAsia" w:ascii="仿宋_GB2312" w:hAnsi="宋体" w:eastAsia="仿宋_GB2312" w:cs="宋体"/>
          <w:kern w:val="0"/>
          <w:sz w:val="32"/>
          <w:szCs w:val="32"/>
        </w:rPr>
        <w:t>本级</w:t>
      </w:r>
      <w:r>
        <w:rPr>
          <w:rFonts w:hint="eastAsia" w:ascii="仿宋_GB2312" w:hAnsi="黑体" w:eastAsia="仿宋_GB2312" w:cs="宋体"/>
          <w:bCs/>
          <w:kern w:val="0"/>
          <w:sz w:val="32"/>
          <w:szCs w:val="32"/>
        </w:rPr>
        <w:t>下设</w:t>
      </w:r>
      <w:r>
        <w:rPr>
          <w:rFonts w:eastAsia="仿宋_GB2312"/>
          <w:bCs/>
          <w:sz w:val="32"/>
          <w:szCs w:val="32"/>
        </w:rPr>
        <w:t>26</w:t>
      </w:r>
      <w:r>
        <w:rPr>
          <w:rFonts w:hint="eastAsia" w:ascii="仿宋_GB2312" w:hAnsi="黑体" w:eastAsia="仿宋_GB2312" w:cs="宋体"/>
          <w:bCs/>
          <w:kern w:val="0"/>
          <w:sz w:val="32"/>
          <w:szCs w:val="32"/>
        </w:rPr>
        <w:t>个处室，分别是：</w:t>
      </w:r>
      <w:r>
        <w:rPr>
          <w:rFonts w:eastAsia="仿宋_GB2312"/>
          <w:bCs/>
          <w:sz w:val="32"/>
          <w:szCs w:val="32"/>
        </w:rPr>
        <w:t>办公室、调查研究室、组织一处、组织二处、组织三处、干部一处、干部二处、干部三处、干部四处、干部五处、</w:t>
      </w:r>
      <w:r>
        <w:rPr>
          <w:rFonts w:eastAsia="仿宋_GB2312"/>
          <w:color w:val="000000"/>
          <w:sz w:val="32"/>
          <w:szCs w:val="32"/>
        </w:rPr>
        <w:t>干部六处、</w:t>
      </w:r>
      <w:r>
        <w:rPr>
          <w:rFonts w:eastAsia="仿宋_GB2312"/>
          <w:bCs/>
          <w:sz w:val="32"/>
          <w:szCs w:val="32"/>
        </w:rPr>
        <w:t>干部考核处、公务员一处、公务员二处、公务员三处、</w:t>
      </w:r>
      <w:r>
        <w:rPr>
          <w:rFonts w:eastAsia="仿宋_GB2312"/>
          <w:color w:val="000000"/>
          <w:sz w:val="32"/>
          <w:szCs w:val="32"/>
        </w:rPr>
        <w:t>人才工作一处、</w:t>
      </w:r>
      <w:r>
        <w:rPr>
          <w:rFonts w:eastAsia="仿宋_GB2312"/>
          <w:bCs/>
          <w:sz w:val="32"/>
          <w:szCs w:val="32"/>
        </w:rPr>
        <w:t>干部教育处、干部监督处、援疆干部处、</w:t>
      </w:r>
      <w:r>
        <w:rPr>
          <w:rFonts w:eastAsia="仿宋_GB2312"/>
          <w:color w:val="000000"/>
          <w:sz w:val="32"/>
          <w:szCs w:val="32"/>
        </w:rPr>
        <w:t>援疆人才处（人才工作二处）、</w:t>
      </w:r>
      <w:r>
        <w:rPr>
          <w:rFonts w:eastAsia="仿宋_GB2312"/>
          <w:bCs/>
          <w:sz w:val="32"/>
          <w:szCs w:val="32"/>
        </w:rPr>
        <w:t>机关党委（人事处）、离退休干部工作处、</w:t>
      </w:r>
      <w:r>
        <w:rPr>
          <w:rFonts w:eastAsia="仿宋_GB2312"/>
          <w:color w:val="000000"/>
          <w:sz w:val="32"/>
          <w:szCs w:val="32"/>
        </w:rPr>
        <w:t>领导干部考试与测评中心、</w:t>
      </w:r>
      <w:r>
        <w:rPr>
          <w:rFonts w:eastAsia="仿宋_GB2312"/>
          <w:bCs/>
          <w:sz w:val="32"/>
          <w:szCs w:val="32"/>
        </w:rPr>
        <w:t>信息管理中心、机关服务中心、新疆党建研究会秘书处。</w:t>
      </w:r>
    </w:p>
    <w:p>
      <w:pPr>
        <w:keepNext w:val="0"/>
        <w:keepLines w:val="0"/>
        <w:pageBreakBefore w:val="0"/>
        <w:kinsoku/>
        <w:wordWrap/>
        <w:overflowPunct/>
        <w:topLinePunct w:val="0"/>
        <w:bidi w:val="0"/>
        <w:adjustRightInd/>
        <w:ind w:firstLine="640" w:firstLineChars="200"/>
        <w:jc w:val="both"/>
        <w:textAlignment w:val="auto"/>
        <w:rPr>
          <w:rFonts w:hint="default" w:ascii="仿宋_GB2312" w:eastAsia="仿宋_GB2312"/>
          <w:sz w:val="32"/>
          <w:szCs w:val="32"/>
          <w:lang w:val="en-US" w:eastAsia="zh-CN"/>
        </w:rPr>
      </w:pPr>
      <w:r>
        <w:rPr>
          <w:rFonts w:hint="eastAsia" w:ascii="仿宋_GB2312" w:eastAsia="仿宋_GB2312"/>
          <w:sz w:val="32"/>
          <w:szCs w:val="32"/>
        </w:rPr>
        <w:t>纳入</w:t>
      </w:r>
      <w:r>
        <w:rPr>
          <w:rFonts w:eastAsia="仿宋_GB2312"/>
          <w:sz w:val="32"/>
          <w:szCs w:val="32"/>
        </w:rPr>
        <w:t>中共新疆维吾尔自治区委员会组织部</w:t>
      </w:r>
      <w:r>
        <w:rPr>
          <w:rFonts w:hint="eastAsia" w:ascii="仿宋_GB2312" w:eastAsia="仿宋_GB2312"/>
          <w:sz w:val="32"/>
          <w:szCs w:val="32"/>
        </w:rPr>
        <w:t>部门</w:t>
      </w:r>
      <w:r>
        <w:rPr>
          <w:rFonts w:eastAsia="仿宋_GB2312"/>
          <w:sz w:val="32"/>
          <w:szCs w:val="32"/>
        </w:rPr>
        <w:t>2023</w:t>
      </w:r>
      <w:r>
        <w:rPr>
          <w:rFonts w:hint="eastAsia" w:ascii="仿宋_GB2312" w:eastAsia="仿宋_GB2312"/>
          <w:sz w:val="32"/>
          <w:szCs w:val="32"/>
        </w:rPr>
        <w:t>年度部门决算编制范围的下属预算单位包括：</w:t>
      </w:r>
    </w:p>
    <w:p>
      <w:pPr>
        <w:keepNext w:val="0"/>
        <w:keepLines w:val="0"/>
        <w:pageBreakBefore w:val="0"/>
        <w:kinsoku/>
        <w:wordWrap/>
        <w:overflowPunct/>
        <w:topLinePunct w:val="0"/>
        <w:bidi w:val="0"/>
        <w:adjustRightInd/>
        <w:ind w:firstLine="640" w:firstLineChars="200"/>
        <w:jc w:val="both"/>
        <w:textAlignment w:val="auto"/>
        <w:rPr>
          <w:rFonts w:eastAsia="仿宋_GB2312"/>
          <w:bCs/>
          <w:sz w:val="32"/>
          <w:szCs w:val="32"/>
        </w:rPr>
      </w:pPr>
      <w:r>
        <w:rPr>
          <w:rFonts w:eastAsia="仿宋_GB2312"/>
          <w:sz w:val="32"/>
          <w:szCs w:val="32"/>
        </w:rPr>
        <w:t>1.</w:t>
      </w:r>
      <w:r>
        <w:rPr>
          <w:rFonts w:eastAsia="仿宋_GB2312"/>
          <w:bCs/>
          <w:sz w:val="32"/>
          <w:szCs w:val="32"/>
        </w:rPr>
        <w:t xml:space="preserve"> </w:t>
      </w:r>
      <w:r>
        <w:rPr>
          <w:rFonts w:hint="eastAsia" w:eastAsia="仿宋_GB2312"/>
          <w:bCs/>
          <w:spacing w:val="-6"/>
          <w:sz w:val="32"/>
          <w:szCs w:val="32"/>
          <w:lang w:val="en-US" w:eastAsia="zh-CN"/>
        </w:rPr>
        <w:t>中共新疆维吾尔自治区委员会组织部（本级）</w:t>
      </w:r>
    </w:p>
    <w:p>
      <w:pPr>
        <w:keepNext w:val="0"/>
        <w:keepLines w:val="0"/>
        <w:pageBreakBefore w:val="0"/>
        <w:kinsoku/>
        <w:wordWrap/>
        <w:overflowPunct/>
        <w:topLinePunct w:val="0"/>
        <w:bidi w:val="0"/>
        <w:adjustRightInd/>
        <w:ind w:firstLine="640" w:firstLineChars="200"/>
        <w:jc w:val="both"/>
        <w:textAlignment w:val="auto"/>
        <w:rPr>
          <w:rFonts w:eastAsia="仿宋_GB2312"/>
          <w:bCs/>
          <w:spacing w:val="-6"/>
          <w:sz w:val="32"/>
          <w:szCs w:val="32"/>
        </w:rPr>
      </w:pPr>
      <w:r>
        <w:rPr>
          <w:rFonts w:eastAsia="仿宋_GB2312"/>
          <w:sz w:val="32"/>
          <w:szCs w:val="32"/>
        </w:rPr>
        <w:t>2.</w:t>
      </w:r>
      <w:r>
        <w:rPr>
          <w:rFonts w:eastAsia="仿宋_GB2312"/>
          <w:bCs/>
          <w:spacing w:val="-6"/>
          <w:sz w:val="32"/>
          <w:szCs w:val="32"/>
        </w:rPr>
        <w:t xml:space="preserve"> 新疆干部学院（中共新疆维吾尔自治区委员会党校分校）</w:t>
      </w:r>
    </w:p>
    <w:p>
      <w:pPr>
        <w:keepNext w:val="0"/>
        <w:keepLines w:val="0"/>
        <w:pageBreakBefore w:val="0"/>
        <w:kinsoku/>
        <w:wordWrap/>
        <w:overflowPunct/>
        <w:topLinePunct w:val="0"/>
        <w:bidi w:val="0"/>
        <w:adjustRightInd/>
        <w:ind w:firstLine="616" w:firstLineChars="200"/>
        <w:jc w:val="both"/>
        <w:textAlignment w:val="auto"/>
        <w:rPr>
          <w:rFonts w:eastAsia="仿宋_GB2312"/>
          <w:bCs/>
          <w:sz w:val="32"/>
          <w:szCs w:val="32"/>
        </w:rPr>
      </w:pPr>
      <w:r>
        <w:rPr>
          <w:rFonts w:hint="eastAsia" w:eastAsia="仿宋_GB2312"/>
          <w:bCs/>
          <w:spacing w:val="-6"/>
          <w:sz w:val="32"/>
          <w:szCs w:val="32"/>
        </w:rPr>
        <w:t>3.</w:t>
      </w:r>
      <w:r>
        <w:rPr>
          <w:rFonts w:eastAsia="仿宋_GB2312"/>
          <w:bCs/>
          <w:sz w:val="32"/>
          <w:szCs w:val="32"/>
        </w:rPr>
        <w:t xml:space="preserve"> 《党员之友》杂志社</w:t>
      </w:r>
    </w:p>
    <w:p>
      <w:pPr>
        <w:keepNext w:val="0"/>
        <w:keepLines w:val="0"/>
        <w:pageBreakBefore w:val="0"/>
        <w:kinsoku/>
        <w:wordWrap/>
        <w:overflowPunct/>
        <w:topLinePunct w:val="0"/>
        <w:bidi w:val="0"/>
        <w:adjustRightInd/>
        <w:ind w:firstLine="640" w:firstLineChars="200"/>
        <w:jc w:val="both"/>
        <w:textAlignment w:val="auto"/>
        <w:rPr>
          <w:rFonts w:eastAsia="仿宋_GB2312"/>
          <w:bCs/>
          <w:spacing w:val="-6"/>
          <w:sz w:val="32"/>
          <w:szCs w:val="32"/>
        </w:rPr>
      </w:pPr>
      <w:r>
        <w:rPr>
          <w:rFonts w:hint="eastAsia" w:eastAsia="仿宋_GB2312"/>
          <w:bCs/>
          <w:sz w:val="32"/>
          <w:szCs w:val="32"/>
        </w:rPr>
        <w:t>4.</w:t>
      </w:r>
      <w:r>
        <w:rPr>
          <w:rFonts w:eastAsia="仿宋_GB2312"/>
          <w:bCs/>
          <w:spacing w:val="-6"/>
          <w:sz w:val="32"/>
          <w:szCs w:val="32"/>
        </w:rPr>
        <w:t xml:space="preserve"> 中共新疆维吾尔自治区委员会组织部援疆干部服务中心</w:t>
      </w:r>
    </w:p>
    <w:p>
      <w:pPr>
        <w:keepNext w:val="0"/>
        <w:keepLines w:val="0"/>
        <w:pageBreakBefore w:val="0"/>
        <w:kinsoku/>
        <w:wordWrap/>
        <w:overflowPunct/>
        <w:topLinePunct w:val="0"/>
        <w:bidi w:val="0"/>
        <w:adjustRightInd/>
        <w:ind w:firstLine="616" w:firstLineChars="200"/>
        <w:jc w:val="both"/>
        <w:textAlignment w:val="auto"/>
        <w:rPr>
          <w:rFonts w:hint="default" w:eastAsia="仿宋_GB2312"/>
          <w:bCs/>
          <w:spacing w:val="-6"/>
          <w:sz w:val="32"/>
          <w:szCs w:val="32"/>
          <w:lang w:val="en-US" w:eastAsia="zh-CN"/>
        </w:rPr>
      </w:pPr>
      <w:r>
        <w:rPr>
          <w:rFonts w:hint="eastAsia" w:eastAsia="仿宋_GB2312"/>
          <w:bCs/>
          <w:spacing w:val="-6"/>
          <w:sz w:val="32"/>
          <w:szCs w:val="32"/>
          <w:lang w:val="en-US" w:eastAsia="zh-CN"/>
        </w:rPr>
        <w:t xml:space="preserve">5. </w:t>
      </w:r>
      <w:r>
        <w:rPr>
          <w:rFonts w:eastAsia="仿宋_GB2312"/>
          <w:bCs/>
          <w:sz w:val="32"/>
          <w:szCs w:val="32"/>
        </w:rPr>
        <w:t>自治区党员教育中心（自治区党员干部远程教育工作办公室）</w:t>
      </w: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bookmarkStart w:id="6" w:name="_Toc29374"/>
      <w:bookmarkStart w:id="7" w:name="_Toc3092"/>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仿宋_GB2312" w:eastAsia="仿宋_GB2312"/>
          <w:b/>
          <w:bCs/>
          <w:sz w:val="32"/>
          <w:szCs w:val="32"/>
        </w:rPr>
      </w:pPr>
    </w:p>
    <w:p>
      <w:pPr>
        <w:keepNext w:val="0"/>
        <w:keepLines w:val="0"/>
        <w:pageBreakBefore w:val="0"/>
        <w:kinsoku/>
        <w:wordWrap/>
        <w:overflowPunct/>
        <w:topLinePunct w:val="0"/>
        <w:bidi w:val="0"/>
        <w:adjustRightInd/>
        <w:jc w:val="both"/>
        <w:textAlignment w:val="auto"/>
        <w:outlineLvl w:val="0"/>
        <w:rPr>
          <w:rFonts w:ascii="黑体" w:hAnsi="黑体" w:eastAsia="黑体"/>
          <w:sz w:val="32"/>
          <w:szCs w:val="32"/>
        </w:rPr>
      </w:pPr>
      <w:r>
        <w:rPr>
          <w:rFonts w:hint="eastAsia" w:ascii="黑体" w:hAnsi="黑体" w:eastAsia="黑体"/>
          <w:sz w:val="32"/>
          <w:szCs w:val="32"/>
        </w:rPr>
        <w:t>第二部分 部门决算情况说明</w:t>
      </w:r>
      <w:bookmarkEnd w:id="6"/>
      <w:bookmarkEnd w:id="7"/>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8" w:name="_Toc12566"/>
      <w:bookmarkStart w:id="9" w:name="_Toc25314"/>
      <w:r>
        <w:rPr>
          <w:rFonts w:hint="eastAsia" w:ascii="黑体" w:hAnsi="黑体" w:eastAsia="黑体" w:cs="宋体"/>
          <w:bCs/>
          <w:kern w:val="0"/>
          <w:sz w:val="32"/>
          <w:szCs w:val="32"/>
        </w:rPr>
        <w:t>一、收入支出决算总体情况说明</w:t>
      </w:r>
      <w:bookmarkEnd w:id="8"/>
      <w:bookmarkEnd w:id="9"/>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2023年度收入总计29,690.11万元，其中：本年收入合计22,419.72万元，使用非财政拨款结余0.00万元，年初结转和结余7,270.39万元。</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2023年度支出总计29,690.11万元，其中：本年支出合计23,331.73万元，结余分配0.00万元，年末结转和结余6,358.38万元。</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收入支出总体与上年相比，</w:t>
      </w:r>
      <w:r>
        <w:rPr>
          <w:rFonts w:eastAsia="仿宋_GB2312"/>
          <w:sz w:val="32"/>
          <w:szCs w:val="32"/>
          <w:lang w:val="zh-CN"/>
        </w:rPr>
        <w:t>增加5,154.61万元</w:t>
      </w:r>
      <w:r>
        <w:rPr>
          <w:rFonts w:eastAsia="仿宋_GB2312"/>
          <w:sz w:val="32"/>
          <w:szCs w:val="32"/>
        </w:rPr>
        <w:t>，</w:t>
      </w:r>
      <w:r>
        <w:rPr>
          <w:rFonts w:eastAsia="仿宋_GB2312"/>
          <w:sz w:val="32"/>
          <w:szCs w:val="32"/>
          <w:lang w:val="zh-CN"/>
        </w:rPr>
        <w:t>增长21.01%</w:t>
      </w:r>
      <w:r>
        <w:rPr>
          <w:rFonts w:eastAsia="仿宋_GB2312"/>
          <w:sz w:val="32"/>
          <w:szCs w:val="32"/>
        </w:rPr>
        <w:t>，主要原因是：</w:t>
      </w:r>
      <w:r>
        <w:rPr>
          <w:rFonts w:hint="eastAsia" w:eastAsia="仿宋_GB2312"/>
          <w:sz w:val="32"/>
          <w:szCs w:val="32"/>
        </w:rPr>
        <w:t>2023年，按照自治区党委工作安排，追加</w:t>
      </w:r>
      <w:r>
        <w:rPr>
          <w:rFonts w:hint="eastAsia" w:eastAsia="仿宋_GB2312" w:cs="仿宋_GB2312"/>
          <w:sz w:val="32"/>
          <w:szCs w:val="32"/>
        </w:rPr>
        <w:t>自治区学习贯彻习近平新时代中国特色社会主义思想主题教育工作经费、第五届自治区“人民满意的公务员”和“人民满意的公务员集体”表彰奖励经费、第十、十一批援疆干部人才批次轮换工作项目经费等项目资金</w:t>
      </w:r>
      <w:r>
        <w:rPr>
          <w:rFonts w:eastAsia="仿宋_GB2312"/>
          <w:sz w:val="32"/>
          <w:szCs w:val="32"/>
        </w:rPr>
        <w:t>。</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10" w:name="_Toc1979"/>
      <w:bookmarkStart w:id="11" w:name="_Toc12142"/>
      <w:r>
        <w:rPr>
          <w:rFonts w:hint="eastAsia" w:ascii="黑体" w:hAnsi="黑体" w:eastAsia="黑体" w:cs="宋体"/>
          <w:bCs/>
          <w:kern w:val="0"/>
          <w:sz w:val="32"/>
          <w:szCs w:val="32"/>
        </w:rPr>
        <w:t>二、收入决算情况说明</w:t>
      </w:r>
      <w:bookmarkEnd w:id="10"/>
      <w:bookmarkEnd w:id="11"/>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本年收入22,419.72万元，其中：财政拨款收入</w:t>
      </w:r>
      <w:r>
        <w:rPr>
          <w:rFonts w:eastAsia="仿宋_GB2312"/>
          <w:sz w:val="32"/>
          <w:szCs w:val="32"/>
          <w:lang w:val="zh-CN"/>
        </w:rPr>
        <w:t>22,330.31</w:t>
      </w:r>
      <w:r>
        <w:rPr>
          <w:rFonts w:eastAsia="仿宋_GB2312"/>
          <w:sz w:val="32"/>
          <w:szCs w:val="32"/>
        </w:rPr>
        <w:t>万元，占</w:t>
      </w:r>
      <w:r>
        <w:rPr>
          <w:rFonts w:eastAsia="仿宋_GB2312"/>
          <w:sz w:val="32"/>
          <w:szCs w:val="32"/>
          <w:lang w:val="zh-CN"/>
        </w:rPr>
        <w:t>99.60</w:t>
      </w:r>
      <w:r>
        <w:rPr>
          <w:rFonts w:eastAsia="仿宋_GB2312"/>
          <w:sz w:val="32"/>
          <w:szCs w:val="32"/>
        </w:rPr>
        <w:t>%；上级补助收入</w:t>
      </w:r>
      <w:r>
        <w:rPr>
          <w:rFonts w:eastAsia="仿宋_GB2312"/>
          <w:sz w:val="32"/>
          <w:szCs w:val="32"/>
          <w:lang w:val="zh-CN"/>
        </w:rPr>
        <w:t>0.00</w:t>
      </w:r>
      <w:r>
        <w:rPr>
          <w:rFonts w:eastAsia="仿宋_GB2312"/>
          <w:sz w:val="32"/>
          <w:szCs w:val="32"/>
        </w:rPr>
        <w:t>万元，占</w:t>
      </w:r>
      <w:r>
        <w:rPr>
          <w:rFonts w:eastAsia="仿宋_GB2312"/>
          <w:sz w:val="32"/>
          <w:szCs w:val="32"/>
          <w:lang w:val="zh-CN"/>
        </w:rPr>
        <w:t>0.00</w:t>
      </w:r>
      <w:r>
        <w:rPr>
          <w:rFonts w:eastAsia="仿宋_GB2312"/>
          <w:sz w:val="32"/>
          <w:szCs w:val="32"/>
        </w:rPr>
        <w:t>%；事业收入</w:t>
      </w:r>
      <w:r>
        <w:rPr>
          <w:rFonts w:eastAsia="仿宋_GB2312"/>
          <w:sz w:val="32"/>
          <w:szCs w:val="32"/>
          <w:lang w:val="zh-CN"/>
        </w:rPr>
        <w:t>0.00</w:t>
      </w:r>
      <w:r>
        <w:rPr>
          <w:rFonts w:eastAsia="仿宋_GB2312"/>
          <w:sz w:val="32"/>
          <w:szCs w:val="32"/>
        </w:rPr>
        <w:t>万元，占</w:t>
      </w:r>
      <w:r>
        <w:rPr>
          <w:rFonts w:eastAsia="仿宋_GB2312"/>
          <w:sz w:val="32"/>
          <w:szCs w:val="32"/>
          <w:lang w:val="zh-CN"/>
        </w:rPr>
        <w:t>0.00</w:t>
      </w:r>
      <w:r>
        <w:rPr>
          <w:rFonts w:eastAsia="仿宋_GB2312"/>
          <w:sz w:val="32"/>
          <w:szCs w:val="32"/>
        </w:rPr>
        <w:t>%；经营收入</w:t>
      </w:r>
      <w:r>
        <w:rPr>
          <w:rFonts w:eastAsia="仿宋_GB2312"/>
          <w:sz w:val="32"/>
          <w:szCs w:val="32"/>
          <w:lang w:val="zh-CN"/>
        </w:rPr>
        <w:t>0.00</w:t>
      </w:r>
      <w:r>
        <w:rPr>
          <w:rFonts w:eastAsia="仿宋_GB2312"/>
          <w:sz w:val="32"/>
          <w:szCs w:val="32"/>
        </w:rPr>
        <w:t>万元，占</w:t>
      </w:r>
      <w:r>
        <w:rPr>
          <w:rFonts w:eastAsia="仿宋_GB2312"/>
          <w:sz w:val="32"/>
          <w:szCs w:val="32"/>
          <w:lang w:val="zh-CN"/>
        </w:rPr>
        <w:t>0.00</w:t>
      </w:r>
      <w:r>
        <w:rPr>
          <w:rFonts w:eastAsia="仿宋_GB2312"/>
          <w:sz w:val="32"/>
          <w:szCs w:val="32"/>
        </w:rPr>
        <w:t>%；附属单位上缴收入</w:t>
      </w:r>
      <w:r>
        <w:rPr>
          <w:rFonts w:eastAsia="仿宋_GB2312"/>
          <w:sz w:val="32"/>
          <w:szCs w:val="32"/>
          <w:lang w:val="zh-CN"/>
        </w:rPr>
        <w:t>0.00</w:t>
      </w:r>
      <w:r>
        <w:rPr>
          <w:rFonts w:eastAsia="仿宋_GB2312"/>
          <w:sz w:val="32"/>
          <w:szCs w:val="32"/>
        </w:rPr>
        <w:t>万元，占</w:t>
      </w:r>
      <w:r>
        <w:rPr>
          <w:rFonts w:eastAsia="仿宋_GB2312"/>
          <w:sz w:val="32"/>
          <w:szCs w:val="32"/>
          <w:lang w:val="zh-CN"/>
        </w:rPr>
        <w:t>0.00</w:t>
      </w:r>
      <w:r>
        <w:rPr>
          <w:rFonts w:eastAsia="仿宋_GB2312"/>
          <w:sz w:val="32"/>
          <w:szCs w:val="32"/>
        </w:rPr>
        <w:t>%；其他收入</w:t>
      </w:r>
      <w:r>
        <w:rPr>
          <w:rFonts w:eastAsia="仿宋_GB2312"/>
          <w:sz w:val="32"/>
          <w:szCs w:val="32"/>
          <w:lang w:val="zh-CN"/>
        </w:rPr>
        <w:t>89.41</w:t>
      </w:r>
      <w:r>
        <w:rPr>
          <w:rFonts w:eastAsia="仿宋_GB2312"/>
          <w:sz w:val="32"/>
          <w:szCs w:val="32"/>
        </w:rPr>
        <w:t>万元，占</w:t>
      </w:r>
      <w:r>
        <w:rPr>
          <w:rFonts w:eastAsia="仿宋_GB2312"/>
          <w:sz w:val="32"/>
          <w:szCs w:val="32"/>
          <w:lang w:val="zh-CN"/>
        </w:rPr>
        <w:t>0.40</w:t>
      </w:r>
      <w:r>
        <w:rPr>
          <w:rFonts w:eastAsia="仿宋_GB2312"/>
          <w:sz w:val="32"/>
          <w:szCs w:val="32"/>
        </w:rPr>
        <w:t>%。</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12" w:name="_Toc13201"/>
      <w:bookmarkStart w:id="13" w:name="_Toc27961"/>
      <w:r>
        <w:rPr>
          <w:rFonts w:hint="eastAsia" w:ascii="黑体" w:hAnsi="黑体" w:eastAsia="黑体" w:cs="宋体"/>
          <w:bCs/>
          <w:kern w:val="0"/>
          <w:sz w:val="32"/>
          <w:szCs w:val="32"/>
        </w:rPr>
        <w:t>三、支出决算情况说明</w:t>
      </w:r>
      <w:bookmarkEnd w:id="12"/>
      <w:bookmarkEnd w:id="13"/>
    </w:p>
    <w:p>
      <w:pPr>
        <w:keepNext w:val="0"/>
        <w:keepLines w:val="0"/>
        <w:pageBreakBefore w:val="0"/>
        <w:kinsoku/>
        <w:wordWrap/>
        <w:overflowPunct/>
        <w:topLinePunct w:val="0"/>
        <w:bidi w:val="0"/>
        <w:adjustRightInd/>
        <w:ind w:firstLine="640" w:firstLineChars="200"/>
        <w:jc w:val="both"/>
        <w:textAlignment w:val="auto"/>
        <w:rPr>
          <w:rFonts w:eastAsia="仿宋_GB2312" w:cs="仿宋_GB2312"/>
          <w:sz w:val="30"/>
          <w:szCs w:val="30"/>
          <w:lang w:val="zh-CN"/>
        </w:rPr>
      </w:pPr>
      <w:r>
        <w:rPr>
          <w:rFonts w:hint="eastAsia" w:eastAsia="仿宋_GB2312" w:cs="仿宋_GB2312"/>
          <w:sz w:val="32"/>
          <w:szCs w:val="32"/>
          <w:lang w:val="zh-CN"/>
        </w:rPr>
        <w:t>本年支出23,331.73万元，其中：基本支出5,766.47万元，占24.72%；项目支出17,565.26万元，占75.28%；上缴上级支出0.00万元，占0.00%；经营支出0.00万元，占0.00%；对附属单位补助支出0.00万元，占0.00%。</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14" w:name="_Toc4393"/>
      <w:bookmarkStart w:id="15" w:name="_Toc26564"/>
      <w:r>
        <w:rPr>
          <w:rFonts w:hint="eastAsia" w:ascii="黑体" w:hAnsi="黑体" w:eastAsia="黑体" w:cs="宋体"/>
          <w:bCs/>
          <w:kern w:val="0"/>
          <w:sz w:val="32"/>
          <w:szCs w:val="32"/>
        </w:rPr>
        <w:t>四、财政拨款收入支出决算总体情况说明</w:t>
      </w:r>
      <w:bookmarkEnd w:id="14"/>
      <w:bookmarkEnd w:id="15"/>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2023年度财政拨款收入总计</w:t>
      </w:r>
      <w:r>
        <w:rPr>
          <w:rFonts w:eastAsia="仿宋_GB2312"/>
          <w:sz w:val="32"/>
          <w:szCs w:val="32"/>
          <w:lang w:val="zh-CN"/>
        </w:rPr>
        <w:t>23,719.18</w:t>
      </w:r>
      <w:r>
        <w:rPr>
          <w:rFonts w:eastAsia="仿宋_GB2312"/>
          <w:sz w:val="32"/>
          <w:szCs w:val="32"/>
        </w:rPr>
        <w:t>万元，其中：年初财政拨款结转和结余</w:t>
      </w:r>
      <w:r>
        <w:rPr>
          <w:rFonts w:eastAsia="仿宋_GB2312"/>
          <w:sz w:val="32"/>
          <w:szCs w:val="32"/>
          <w:lang w:val="zh-CN"/>
        </w:rPr>
        <w:t>1,388.87</w:t>
      </w:r>
      <w:r>
        <w:rPr>
          <w:rFonts w:eastAsia="仿宋_GB2312"/>
          <w:sz w:val="32"/>
          <w:szCs w:val="32"/>
        </w:rPr>
        <w:t>万元，本年财政拨款收入</w:t>
      </w:r>
      <w:r>
        <w:rPr>
          <w:rFonts w:eastAsia="仿宋_GB2312"/>
          <w:sz w:val="32"/>
          <w:szCs w:val="32"/>
          <w:lang w:val="zh-CN"/>
        </w:rPr>
        <w:t>22,330.31</w:t>
      </w:r>
      <w:r>
        <w:rPr>
          <w:rFonts w:eastAsia="仿宋_GB2312"/>
          <w:sz w:val="32"/>
          <w:szCs w:val="32"/>
        </w:rPr>
        <w:t>万元。财政拨款支出总计</w:t>
      </w:r>
      <w:r>
        <w:rPr>
          <w:rFonts w:eastAsia="仿宋_GB2312"/>
          <w:sz w:val="32"/>
          <w:szCs w:val="32"/>
          <w:lang w:val="zh-CN"/>
        </w:rPr>
        <w:t>23,719.18</w:t>
      </w:r>
      <w:r>
        <w:rPr>
          <w:rFonts w:eastAsia="仿宋_GB2312"/>
          <w:sz w:val="32"/>
          <w:szCs w:val="32"/>
        </w:rPr>
        <w:t>万元，其中：年末财政拨款结转和结余</w:t>
      </w:r>
      <w:r>
        <w:rPr>
          <w:rFonts w:eastAsia="仿宋_GB2312"/>
          <w:sz w:val="32"/>
          <w:szCs w:val="32"/>
          <w:lang w:val="zh-CN"/>
        </w:rPr>
        <w:t>1,106.47</w:t>
      </w:r>
      <w:r>
        <w:rPr>
          <w:rFonts w:eastAsia="仿宋_GB2312"/>
          <w:sz w:val="32"/>
          <w:szCs w:val="32"/>
        </w:rPr>
        <w:t>万元，本年财政拨款支出</w:t>
      </w:r>
      <w:r>
        <w:rPr>
          <w:rFonts w:eastAsia="仿宋_GB2312"/>
          <w:sz w:val="32"/>
          <w:szCs w:val="32"/>
          <w:lang w:val="zh-CN"/>
        </w:rPr>
        <w:t>22,612.71</w:t>
      </w:r>
      <w:r>
        <w:rPr>
          <w:rFonts w:eastAsia="仿宋_GB2312"/>
          <w:sz w:val="32"/>
          <w:szCs w:val="32"/>
        </w:rPr>
        <w:t>万元。</w:t>
      </w:r>
    </w:p>
    <w:p>
      <w:pPr>
        <w:keepNext w:val="0"/>
        <w:keepLines w:val="0"/>
        <w:pageBreakBefore w:val="0"/>
        <w:kinsoku/>
        <w:wordWrap/>
        <w:overflowPunct/>
        <w:topLinePunct w:val="0"/>
        <w:bidi w:val="0"/>
        <w:adjustRightInd/>
        <w:jc w:val="both"/>
        <w:textAlignment w:val="auto"/>
      </w:pPr>
      <w:r>
        <w:rPr>
          <w:rFonts w:hint="eastAsia" w:eastAsia="仿宋_GB2312"/>
          <w:sz w:val="32"/>
          <w:szCs w:val="32"/>
        </w:rPr>
        <w:t xml:space="preserve">    </w:t>
      </w:r>
      <w:r>
        <w:rPr>
          <w:rFonts w:eastAsia="仿宋_GB2312"/>
          <w:sz w:val="32"/>
          <w:szCs w:val="32"/>
        </w:rPr>
        <w:t>财政拨款收入支出总体与上年相比,</w:t>
      </w:r>
      <w:r>
        <w:rPr>
          <w:rFonts w:eastAsia="仿宋_GB2312"/>
          <w:sz w:val="32"/>
          <w:szCs w:val="32"/>
          <w:lang w:val="zh-CN"/>
        </w:rPr>
        <w:t>增加5,947.75万元</w:t>
      </w:r>
      <w:r>
        <w:rPr>
          <w:rFonts w:eastAsia="仿宋_GB2312"/>
          <w:sz w:val="32"/>
          <w:szCs w:val="32"/>
        </w:rPr>
        <w:t>，</w:t>
      </w:r>
      <w:r>
        <w:rPr>
          <w:rFonts w:eastAsia="仿宋_GB2312"/>
          <w:sz w:val="32"/>
          <w:szCs w:val="32"/>
          <w:lang w:val="zh-CN"/>
        </w:rPr>
        <w:t>增长33.47%，</w:t>
      </w:r>
      <w:r>
        <w:rPr>
          <w:rFonts w:eastAsia="仿宋_GB2312"/>
          <w:sz w:val="32"/>
          <w:szCs w:val="32"/>
        </w:rPr>
        <w:t>主要原因是：2023年，按照自治区党委工作安排，追加自治区学习贯彻习近平新时代中国特色社会主义思想主题教育工作经费、第五届自治区“人民满意的公务员”和“人民满意的公务员集体”表彰奖励经费、第十、十一批援疆干部人才批次轮换工作项目经费等项目资金。与年初预算相比，年初预算数</w:t>
      </w:r>
      <w:r>
        <w:rPr>
          <w:rFonts w:eastAsia="仿宋_GB2312"/>
          <w:sz w:val="32"/>
          <w:szCs w:val="32"/>
          <w:lang w:val="zh-CN"/>
        </w:rPr>
        <w:t>14,638.11</w:t>
      </w:r>
      <w:r>
        <w:rPr>
          <w:rFonts w:eastAsia="仿宋_GB2312"/>
          <w:sz w:val="32"/>
          <w:szCs w:val="32"/>
        </w:rPr>
        <w:t>万元，决算数</w:t>
      </w:r>
      <w:r>
        <w:rPr>
          <w:rFonts w:eastAsia="仿宋_GB2312"/>
          <w:sz w:val="32"/>
          <w:szCs w:val="32"/>
          <w:lang w:val="zh-CN"/>
        </w:rPr>
        <w:t>23,719.18</w:t>
      </w:r>
      <w:r>
        <w:rPr>
          <w:rFonts w:eastAsia="仿宋_GB2312"/>
          <w:sz w:val="32"/>
          <w:szCs w:val="32"/>
        </w:rPr>
        <w:t>万元，预决算差异率62.04%，主要原因是：</w:t>
      </w:r>
      <w:r>
        <w:rPr>
          <w:rFonts w:hint="eastAsia" w:eastAsia="仿宋_GB2312"/>
          <w:sz w:val="32"/>
          <w:szCs w:val="32"/>
        </w:rPr>
        <w:t>一是年中工资标准调增，基本支出</w:t>
      </w:r>
      <w:r>
        <w:rPr>
          <w:rFonts w:ascii="仿宋_GB2312" w:eastAsia="仿宋_GB2312"/>
          <w:sz w:val="32"/>
          <w:szCs w:val="32"/>
        </w:rPr>
        <w:t>相应增加</w:t>
      </w:r>
      <w:r>
        <w:rPr>
          <w:rFonts w:hint="eastAsia" w:eastAsia="仿宋_GB2312"/>
          <w:sz w:val="32"/>
          <w:szCs w:val="32"/>
        </w:rPr>
        <w:t>。二是年中</w:t>
      </w:r>
      <w:r>
        <w:rPr>
          <w:rFonts w:ascii="仿宋_GB2312" w:eastAsia="仿宋_GB2312"/>
          <w:sz w:val="32"/>
          <w:szCs w:val="32"/>
        </w:rPr>
        <w:t>追加项目经费，</w:t>
      </w:r>
      <w:r>
        <w:rPr>
          <w:rFonts w:hint="eastAsia" w:ascii="仿宋_GB2312" w:eastAsia="仿宋_GB2312"/>
          <w:sz w:val="32"/>
          <w:szCs w:val="32"/>
        </w:rPr>
        <w:t>项目</w:t>
      </w:r>
      <w:r>
        <w:rPr>
          <w:rFonts w:ascii="仿宋_GB2312" w:eastAsia="仿宋_GB2312"/>
          <w:sz w:val="32"/>
          <w:szCs w:val="32"/>
        </w:rPr>
        <w:t>支出相应增加</w:t>
      </w:r>
      <w:r>
        <w:rPr>
          <w:rFonts w:eastAsia="仿宋_GB2312"/>
          <w:sz w:val="32"/>
          <w:szCs w:val="32"/>
        </w:rPr>
        <w:t>。</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16" w:name="_Toc13833"/>
      <w:bookmarkStart w:id="17" w:name="_Toc20360"/>
      <w:r>
        <w:rPr>
          <w:rFonts w:hint="eastAsia" w:ascii="黑体" w:hAnsi="黑体" w:eastAsia="黑体" w:cs="宋体"/>
          <w:bCs/>
          <w:kern w:val="0"/>
          <w:sz w:val="32"/>
          <w:szCs w:val="32"/>
        </w:rPr>
        <w:t>五、一般公共预算财政拨款支出决算情况说明</w:t>
      </w:r>
      <w:bookmarkEnd w:id="16"/>
      <w:bookmarkEnd w:id="17"/>
    </w:p>
    <w:p>
      <w:pPr>
        <w:keepNext w:val="0"/>
        <w:keepLines w:val="0"/>
        <w:pageBreakBefore w:val="0"/>
        <w:kinsoku/>
        <w:wordWrap/>
        <w:overflowPunct/>
        <w:topLinePunct w:val="0"/>
        <w:bidi w:val="0"/>
        <w:adjustRightInd/>
        <w:ind w:firstLine="640" w:firstLineChars="200"/>
        <w:jc w:val="both"/>
        <w:textAlignment w:val="auto"/>
        <w:outlineLvl w:val="2"/>
        <w:rPr>
          <w:rFonts w:ascii="黑体" w:hAnsi="黑体" w:eastAsia="黑体"/>
          <w:sz w:val="32"/>
          <w:szCs w:val="32"/>
        </w:rPr>
      </w:pPr>
      <w:r>
        <w:rPr>
          <w:rFonts w:hint="eastAsia" w:ascii="黑体" w:hAnsi="黑体" w:eastAsia="黑体"/>
          <w:sz w:val="32"/>
          <w:szCs w:val="32"/>
        </w:rPr>
        <w:t>（一）一般公共预算财政拨款支出决算总体情况</w:t>
      </w:r>
    </w:p>
    <w:p>
      <w:pPr>
        <w:keepNext w:val="0"/>
        <w:keepLines w:val="0"/>
        <w:pageBreakBefore w:val="0"/>
        <w:kinsoku/>
        <w:wordWrap/>
        <w:overflowPunct/>
        <w:topLinePunct w:val="0"/>
        <w:bidi w:val="0"/>
        <w:adjustRightInd/>
        <w:spacing w:line="600" w:lineRule="exact"/>
        <w:ind w:firstLine="640" w:firstLineChars="200"/>
        <w:jc w:val="both"/>
        <w:textAlignment w:val="auto"/>
        <w:rPr>
          <w:rFonts w:eastAsia="仿宋_GB2312"/>
          <w:sz w:val="32"/>
          <w:szCs w:val="32"/>
        </w:rPr>
      </w:pPr>
      <w:r>
        <w:rPr>
          <w:rFonts w:eastAsia="仿宋_GB2312"/>
          <w:sz w:val="32"/>
          <w:szCs w:val="32"/>
        </w:rPr>
        <w:t>2023年度一般公共预算财政拨款支出22,612.71万元，占本年支出合计的</w:t>
      </w:r>
      <w:r>
        <w:rPr>
          <w:rFonts w:eastAsia="仿宋_GB2312"/>
          <w:sz w:val="32"/>
          <w:szCs w:val="32"/>
          <w:lang w:val="zh-CN"/>
        </w:rPr>
        <w:t>96.92%</w:t>
      </w:r>
      <w:r>
        <w:rPr>
          <w:rFonts w:eastAsia="仿宋_GB2312"/>
          <w:sz w:val="32"/>
          <w:szCs w:val="32"/>
        </w:rPr>
        <w:t>。与上年相比，</w:t>
      </w:r>
      <w:r>
        <w:rPr>
          <w:rFonts w:eastAsia="仿宋_GB2312"/>
          <w:sz w:val="32"/>
          <w:szCs w:val="32"/>
          <w:lang w:val="zh-CN"/>
        </w:rPr>
        <w:t>增加6,230.15万元</w:t>
      </w:r>
      <w:r>
        <w:rPr>
          <w:rFonts w:eastAsia="仿宋_GB2312"/>
          <w:sz w:val="32"/>
          <w:szCs w:val="32"/>
        </w:rPr>
        <w:t>，</w:t>
      </w:r>
      <w:r>
        <w:rPr>
          <w:rFonts w:eastAsia="仿宋_GB2312"/>
          <w:sz w:val="32"/>
          <w:szCs w:val="32"/>
          <w:lang w:val="zh-CN"/>
        </w:rPr>
        <w:t>增长38.03%，</w:t>
      </w:r>
      <w:r>
        <w:rPr>
          <w:rFonts w:eastAsia="仿宋_GB2312"/>
          <w:sz w:val="32"/>
          <w:szCs w:val="32"/>
        </w:rPr>
        <w:t>主要原因是：2023年，按照自治区党委工作安排，追加自治区学习贯彻习近平新时代中国特色社会主义思想主题教育工作经费、第五届自治区“人民满意的公务员”和“人民满意的公务员集体”表彰奖励经费、第十、十一批援疆干部人才批次轮换工作项目经费等项目资金。与年初预算相比，年初预算数</w:t>
      </w:r>
      <w:r>
        <w:rPr>
          <w:rFonts w:eastAsia="仿宋_GB2312"/>
          <w:sz w:val="32"/>
          <w:szCs w:val="32"/>
          <w:lang w:val="zh-CN"/>
        </w:rPr>
        <w:t>14,638.11</w:t>
      </w:r>
      <w:r>
        <w:rPr>
          <w:rFonts w:eastAsia="仿宋_GB2312"/>
          <w:sz w:val="32"/>
          <w:szCs w:val="32"/>
        </w:rPr>
        <w:t>万元，决算数</w:t>
      </w:r>
      <w:r>
        <w:rPr>
          <w:rFonts w:eastAsia="仿宋_GB2312"/>
          <w:sz w:val="32"/>
          <w:szCs w:val="32"/>
          <w:lang w:val="zh-CN"/>
        </w:rPr>
        <w:t>22,612.71</w:t>
      </w:r>
      <w:r>
        <w:rPr>
          <w:rFonts w:eastAsia="仿宋_GB2312"/>
          <w:sz w:val="32"/>
          <w:szCs w:val="32"/>
        </w:rPr>
        <w:t>万元，预决算差异率</w:t>
      </w:r>
      <w:r>
        <w:rPr>
          <w:rFonts w:eastAsia="仿宋_GB2312"/>
          <w:sz w:val="32"/>
          <w:szCs w:val="32"/>
          <w:lang w:val="zh-CN"/>
        </w:rPr>
        <w:t>54.48%</w:t>
      </w:r>
      <w:r>
        <w:rPr>
          <w:rFonts w:eastAsia="仿宋_GB2312"/>
          <w:sz w:val="32"/>
          <w:szCs w:val="32"/>
        </w:rPr>
        <w:t>，主要原因是：</w:t>
      </w:r>
      <w:r>
        <w:rPr>
          <w:rFonts w:hint="eastAsia" w:eastAsia="仿宋_GB2312"/>
          <w:sz w:val="32"/>
          <w:szCs w:val="32"/>
        </w:rPr>
        <w:t>一是年中工资标准调增，基本支出</w:t>
      </w:r>
      <w:r>
        <w:rPr>
          <w:rFonts w:ascii="仿宋_GB2312" w:eastAsia="仿宋_GB2312"/>
          <w:sz w:val="32"/>
          <w:szCs w:val="32"/>
        </w:rPr>
        <w:t>相应增加</w:t>
      </w:r>
      <w:r>
        <w:rPr>
          <w:rFonts w:hint="eastAsia" w:eastAsia="仿宋_GB2312"/>
          <w:sz w:val="32"/>
          <w:szCs w:val="32"/>
        </w:rPr>
        <w:t>。二是年中</w:t>
      </w:r>
      <w:r>
        <w:rPr>
          <w:rFonts w:ascii="仿宋_GB2312" w:eastAsia="仿宋_GB2312"/>
          <w:sz w:val="32"/>
          <w:szCs w:val="32"/>
        </w:rPr>
        <w:t>追加项目经费，</w:t>
      </w:r>
      <w:r>
        <w:rPr>
          <w:rFonts w:hint="eastAsia" w:ascii="仿宋_GB2312" w:eastAsia="仿宋_GB2312"/>
          <w:sz w:val="32"/>
          <w:szCs w:val="32"/>
        </w:rPr>
        <w:t>项目</w:t>
      </w:r>
      <w:r>
        <w:rPr>
          <w:rFonts w:ascii="仿宋_GB2312" w:eastAsia="仿宋_GB2312"/>
          <w:sz w:val="32"/>
          <w:szCs w:val="32"/>
        </w:rPr>
        <w:t>支出相应增加</w:t>
      </w:r>
      <w:r>
        <w:rPr>
          <w:rFonts w:eastAsia="仿宋_GB2312"/>
          <w:sz w:val="32"/>
          <w:szCs w:val="32"/>
        </w:rPr>
        <w:t>。</w:t>
      </w:r>
    </w:p>
    <w:p>
      <w:pPr>
        <w:keepNext w:val="0"/>
        <w:keepLines w:val="0"/>
        <w:pageBreakBefore w:val="0"/>
        <w:numPr>
          <w:ilvl w:val="0"/>
          <w:numId w:val="1"/>
        </w:numPr>
        <w:kinsoku/>
        <w:wordWrap/>
        <w:overflowPunct/>
        <w:topLinePunct w:val="0"/>
        <w:bidi w:val="0"/>
        <w:adjustRightInd/>
        <w:ind w:firstLine="640" w:firstLineChars="200"/>
        <w:jc w:val="both"/>
        <w:textAlignment w:val="auto"/>
        <w:outlineLvl w:val="2"/>
        <w:rPr>
          <w:rFonts w:ascii="黑体" w:hAnsi="黑体" w:eastAsia="黑体"/>
          <w:sz w:val="32"/>
          <w:szCs w:val="32"/>
        </w:rPr>
      </w:pPr>
      <w:r>
        <w:rPr>
          <w:rFonts w:hint="eastAsia" w:ascii="黑体" w:hAnsi="黑体" w:eastAsia="黑体"/>
          <w:sz w:val="32"/>
          <w:szCs w:val="32"/>
        </w:rPr>
        <w:t>一般公共预算财政拨款支出决算结构情况</w:t>
      </w:r>
    </w:p>
    <w:p>
      <w:pPr>
        <w:pStyle w:val="9"/>
        <w:keepNext w:val="0"/>
        <w:keepLines w:val="0"/>
        <w:pageBreakBefore w:val="0"/>
        <w:widowControl/>
        <w:kinsoku/>
        <w:wordWrap/>
        <w:overflowPunct/>
        <w:topLinePunct w:val="0"/>
        <w:bidi w:val="0"/>
        <w:adjustRightInd/>
        <w:spacing w:before="0" w:beforeAutospacing="0" w:after="0" w:afterAutospacing="0"/>
        <w:ind w:firstLine="640" w:firstLineChars="200"/>
        <w:jc w:val="both"/>
        <w:textAlignment w:val="auto"/>
        <w:rPr>
          <w:rFonts w:eastAsia="仿宋_GB2312"/>
          <w:kern w:val="2"/>
          <w:sz w:val="32"/>
          <w:szCs w:val="32"/>
          <w:lang w:val="zh-CN"/>
        </w:rPr>
      </w:pPr>
      <w:r>
        <w:rPr>
          <w:rFonts w:eastAsia="仿宋_GB2312"/>
          <w:kern w:val="2"/>
          <w:sz w:val="32"/>
          <w:szCs w:val="32"/>
          <w:lang w:val="zh-CN"/>
        </w:rPr>
        <w:t>1.一般公共服务支出（类）20,988.52万元，占92.82%；</w:t>
      </w:r>
    </w:p>
    <w:p>
      <w:pPr>
        <w:pStyle w:val="9"/>
        <w:keepNext w:val="0"/>
        <w:keepLines w:val="0"/>
        <w:pageBreakBefore w:val="0"/>
        <w:widowControl/>
        <w:kinsoku/>
        <w:wordWrap/>
        <w:overflowPunct/>
        <w:topLinePunct w:val="0"/>
        <w:bidi w:val="0"/>
        <w:adjustRightInd/>
        <w:spacing w:before="0" w:beforeAutospacing="0" w:after="0" w:afterAutospacing="0"/>
        <w:ind w:firstLine="640" w:firstLineChars="200"/>
        <w:jc w:val="both"/>
        <w:textAlignment w:val="auto"/>
        <w:rPr>
          <w:rFonts w:eastAsia="仿宋_GB2312"/>
          <w:kern w:val="2"/>
          <w:sz w:val="32"/>
          <w:szCs w:val="32"/>
          <w:lang w:val="zh-CN"/>
        </w:rPr>
      </w:pPr>
      <w:r>
        <w:rPr>
          <w:rFonts w:eastAsia="仿宋_GB2312"/>
          <w:kern w:val="2"/>
          <w:sz w:val="32"/>
          <w:szCs w:val="32"/>
          <w:lang w:val="zh-CN"/>
        </w:rPr>
        <w:t>2.社会保障和就业支出（类）911.90万元，占4.03%；</w:t>
      </w:r>
    </w:p>
    <w:p>
      <w:pPr>
        <w:pStyle w:val="9"/>
        <w:keepNext w:val="0"/>
        <w:keepLines w:val="0"/>
        <w:pageBreakBefore w:val="0"/>
        <w:widowControl/>
        <w:kinsoku/>
        <w:wordWrap/>
        <w:overflowPunct/>
        <w:topLinePunct w:val="0"/>
        <w:bidi w:val="0"/>
        <w:adjustRightInd/>
        <w:spacing w:before="0" w:beforeAutospacing="0" w:after="0" w:afterAutospacing="0"/>
        <w:ind w:firstLine="640" w:firstLineChars="200"/>
        <w:jc w:val="both"/>
        <w:textAlignment w:val="auto"/>
        <w:rPr>
          <w:rFonts w:eastAsia="仿宋_GB2312"/>
          <w:kern w:val="2"/>
          <w:sz w:val="32"/>
          <w:szCs w:val="32"/>
          <w:lang w:val="zh-CN"/>
        </w:rPr>
      </w:pPr>
      <w:r>
        <w:rPr>
          <w:rFonts w:eastAsia="仿宋_GB2312"/>
          <w:kern w:val="2"/>
          <w:sz w:val="32"/>
          <w:szCs w:val="32"/>
          <w:lang w:val="zh-CN"/>
        </w:rPr>
        <w:t>3.卫生健康支出（类）393.99万元，占1.74%；</w:t>
      </w:r>
    </w:p>
    <w:p>
      <w:pPr>
        <w:pStyle w:val="9"/>
        <w:keepNext w:val="0"/>
        <w:keepLines w:val="0"/>
        <w:pageBreakBefore w:val="0"/>
        <w:widowControl/>
        <w:kinsoku/>
        <w:wordWrap/>
        <w:overflowPunct/>
        <w:topLinePunct w:val="0"/>
        <w:bidi w:val="0"/>
        <w:adjustRightInd/>
        <w:spacing w:before="0" w:beforeAutospacing="0" w:after="0" w:afterAutospacing="0"/>
        <w:ind w:firstLine="640" w:firstLineChars="200"/>
        <w:jc w:val="both"/>
        <w:textAlignment w:val="auto"/>
        <w:rPr>
          <w:rFonts w:eastAsia="仿宋_GB2312"/>
          <w:kern w:val="2"/>
          <w:sz w:val="32"/>
          <w:szCs w:val="32"/>
          <w:lang w:val="zh-CN"/>
        </w:rPr>
      </w:pPr>
      <w:r>
        <w:rPr>
          <w:rFonts w:eastAsia="仿宋_GB2312"/>
          <w:kern w:val="2"/>
          <w:sz w:val="32"/>
          <w:szCs w:val="32"/>
          <w:lang w:val="zh-CN"/>
        </w:rPr>
        <w:t>4.住房保障支出（类）318.30万元，占1.41%。</w:t>
      </w:r>
    </w:p>
    <w:p>
      <w:pPr>
        <w:keepNext w:val="0"/>
        <w:keepLines w:val="0"/>
        <w:pageBreakBefore w:val="0"/>
        <w:kinsoku/>
        <w:wordWrap/>
        <w:overflowPunct/>
        <w:topLinePunct w:val="0"/>
        <w:bidi w:val="0"/>
        <w:adjustRightInd/>
        <w:ind w:firstLine="640" w:firstLineChars="200"/>
        <w:jc w:val="both"/>
        <w:textAlignment w:val="auto"/>
        <w:outlineLvl w:val="2"/>
        <w:rPr>
          <w:rFonts w:ascii="黑体" w:hAnsi="黑体" w:eastAsia="黑体"/>
          <w:sz w:val="32"/>
          <w:szCs w:val="32"/>
        </w:rPr>
      </w:pPr>
      <w:r>
        <w:rPr>
          <w:rFonts w:hint="eastAsia" w:ascii="黑体" w:hAnsi="黑体" w:eastAsia="黑体"/>
          <w:sz w:val="32"/>
          <w:szCs w:val="32"/>
        </w:rPr>
        <w:t>（三）一般公共预算财政拨款支出决算具体情况</w:t>
      </w:r>
    </w:p>
    <w:p>
      <w:pPr>
        <w:keepNext w:val="0"/>
        <w:keepLines w:val="0"/>
        <w:pageBreakBefore w:val="0"/>
        <w:widowControl/>
        <w:kinsoku/>
        <w:wordWrap/>
        <w:overflowPunct/>
        <w:topLinePunct w:val="0"/>
        <w:bidi w:val="0"/>
        <w:adjustRightInd/>
        <w:spacing w:line="560" w:lineRule="exact"/>
        <w:ind w:firstLine="640" w:firstLineChars="200"/>
        <w:jc w:val="both"/>
        <w:textAlignment w:val="auto"/>
        <w:rPr>
          <w:rFonts w:eastAsia="仿宋_GB2312"/>
          <w:sz w:val="32"/>
          <w:szCs w:val="32"/>
        </w:rPr>
      </w:pPr>
      <w:r>
        <w:rPr>
          <w:rFonts w:hint="eastAsia" w:eastAsia="仿宋_GB2312"/>
          <w:sz w:val="32"/>
          <w:szCs w:val="32"/>
        </w:rPr>
        <w:t>1.卫生健康支出（类）行政事业单位医疗（款）行政单位医疗（项）:支出决算数为159.25万元，比上年决算增加10.59万元，增长7.13%，主要原因是：</w:t>
      </w:r>
      <w:r>
        <w:rPr>
          <w:rFonts w:eastAsia="仿宋_GB2312"/>
          <w:sz w:val="32"/>
          <w:szCs w:val="32"/>
        </w:rPr>
        <w:t>人员调整，工资增长，</w:t>
      </w:r>
      <w:r>
        <w:rPr>
          <w:rFonts w:hint="eastAsia" w:eastAsia="仿宋_GB2312"/>
          <w:sz w:val="32"/>
          <w:szCs w:val="32"/>
        </w:rPr>
        <w:t>行政单位医疗</w:t>
      </w:r>
      <w:r>
        <w:rPr>
          <w:rFonts w:eastAsia="仿宋_GB2312"/>
          <w:sz w:val="32"/>
          <w:szCs w:val="32"/>
        </w:rPr>
        <w:t>支出相应增加。</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2.卫生健康支出（类）行政事业单位医疗（款）事业单位医疗（项）:支出决算数为44.54万元，比上年决算增加4.06万元，增长10.03%，主要原因是：</w:t>
      </w:r>
      <w:r>
        <w:rPr>
          <w:rFonts w:eastAsia="仿宋_GB2312"/>
          <w:sz w:val="32"/>
          <w:szCs w:val="32"/>
        </w:rPr>
        <w:t>人员调整，工资增长，</w:t>
      </w:r>
      <w:r>
        <w:rPr>
          <w:rFonts w:hint="eastAsia" w:eastAsia="仿宋_GB2312"/>
          <w:sz w:val="32"/>
          <w:szCs w:val="32"/>
        </w:rPr>
        <w:t>事业单位医疗</w:t>
      </w:r>
      <w:r>
        <w:rPr>
          <w:rFonts w:eastAsia="仿宋_GB2312"/>
          <w:sz w:val="32"/>
          <w:szCs w:val="32"/>
        </w:rPr>
        <w:t>支出相应增加</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3.卫生健康支出（类）行政事业单位医疗（款）公务员医疗补助（项）:支出决算数为190.20万元，比上年决算增加43.04万元，增长29.25%，主要原因是：</w:t>
      </w:r>
      <w:r>
        <w:rPr>
          <w:rFonts w:eastAsia="仿宋_GB2312"/>
          <w:sz w:val="32"/>
          <w:szCs w:val="32"/>
        </w:rPr>
        <w:t>人员调整，工资增长，</w:t>
      </w:r>
      <w:r>
        <w:rPr>
          <w:rFonts w:hint="eastAsia" w:eastAsia="仿宋_GB2312"/>
          <w:sz w:val="32"/>
          <w:szCs w:val="32"/>
        </w:rPr>
        <w:t>公务员医疗补助</w:t>
      </w:r>
      <w:r>
        <w:rPr>
          <w:rFonts w:eastAsia="仿宋_GB2312"/>
          <w:sz w:val="32"/>
          <w:szCs w:val="32"/>
        </w:rPr>
        <w:t>支出相应增加</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4.住房保障支出（类）住房改革支出（款）住房公积金（项）:支出决算数为318.30万元，比上年决算增加56.05万元，增长21.37%，主要原因是：</w:t>
      </w:r>
      <w:r>
        <w:rPr>
          <w:rFonts w:eastAsia="仿宋_GB2312"/>
          <w:sz w:val="32"/>
          <w:szCs w:val="32"/>
        </w:rPr>
        <w:t>人员调整，工资增长，</w:t>
      </w:r>
      <w:r>
        <w:rPr>
          <w:rFonts w:hint="eastAsia" w:eastAsia="仿宋_GB2312"/>
          <w:sz w:val="32"/>
          <w:szCs w:val="32"/>
        </w:rPr>
        <w:t>住房公积金</w:t>
      </w:r>
      <w:r>
        <w:rPr>
          <w:rFonts w:eastAsia="仿宋_GB2312"/>
          <w:sz w:val="32"/>
          <w:szCs w:val="32"/>
        </w:rPr>
        <w:t>支出相应增加</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pPr>
      <w:r>
        <w:rPr>
          <w:rFonts w:hint="eastAsia" w:eastAsia="仿宋_GB2312"/>
          <w:sz w:val="32"/>
          <w:szCs w:val="32"/>
        </w:rPr>
        <w:t>5.一般公共服务支出（类）组织事务（款）事业运行（项）:支出决算数为925.85万元，比上年决算增加49.51万元，增长5.65%，主要原因是：</w:t>
      </w:r>
      <w:r>
        <w:rPr>
          <w:rFonts w:eastAsia="仿宋_GB2312"/>
          <w:sz w:val="32"/>
          <w:szCs w:val="32"/>
        </w:rPr>
        <w:t>人员调整，</w:t>
      </w:r>
      <w:r>
        <w:rPr>
          <w:rFonts w:hint="eastAsia" w:eastAsia="仿宋_GB2312"/>
          <w:sz w:val="32"/>
          <w:szCs w:val="32"/>
        </w:rPr>
        <w:t>事业运行</w:t>
      </w:r>
      <w:r>
        <w:rPr>
          <w:rFonts w:eastAsia="仿宋_GB2312"/>
          <w:sz w:val="32"/>
          <w:szCs w:val="32"/>
        </w:rPr>
        <w:t>基本支出增加。</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6.一般公共服务支出（类）组织事务（款）其他组织事务支出（项）:支出决算数为15,871.00万元，比上年决算增加6,243.32万元，增长64.85%，主要原因是：年中</w:t>
      </w:r>
      <w:r>
        <w:rPr>
          <w:rFonts w:ascii="仿宋_GB2312" w:eastAsia="仿宋_GB2312"/>
          <w:sz w:val="32"/>
          <w:szCs w:val="32"/>
        </w:rPr>
        <w:t>追加项目经费，</w:t>
      </w:r>
      <w:r>
        <w:rPr>
          <w:rFonts w:hint="eastAsia" w:ascii="仿宋_GB2312" w:eastAsia="仿宋_GB2312"/>
          <w:sz w:val="32"/>
          <w:szCs w:val="32"/>
        </w:rPr>
        <w:t>项目</w:t>
      </w:r>
      <w:r>
        <w:rPr>
          <w:rFonts w:ascii="仿宋_GB2312" w:eastAsia="仿宋_GB2312"/>
          <w:sz w:val="32"/>
          <w:szCs w:val="32"/>
        </w:rPr>
        <w:t>支出相应增加</w:t>
      </w:r>
      <w:r>
        <w:rPr>
          <w:rFonts w:hint="eastAsia" w:eastAsia="仿宋_GB2312"/>
          <w:sz w:val="32"/>
          <w:szCs w:val="32"/>
          <w:lang w:val="zh-CN"/>
        </w:rPr>
        <w:t>。</w:t>
      </w:r>
    </w:p>
    <w:p>
      <w:pPr>
        <w:keepNext w:val="0"/>
        <w:keepLines w:val="0"/>
        <w:pageBreakBefore w:val="0"/>
        <w:kinsoku/>
        <w:wordWrap/>
        <w:overflowPunct/>
        <w:topLinePunct w:val="0"/>
        <w:bidi w:val="0"/>
        <w:adjustRightInd/>
        <w:ind w:firstLine="480" w:firstLineChars="150"/>
        <w:jc w:val="both"/>
        <w:textAlignment w:val="auto"/>
        <w:rPr>
          <w:rFonts w:eastAsia="仿宋_GB2312"/>
          <w:sz w:val="32"/>
          <w:szCs w:val="32"/>
        </w:rPr>
      </w:pPr>
      <w:r>
        <w:rPr>
          <w:rFonts w:hint="eastAsia" w:eastAsia="仿宋_GB2312"/>
          <w:sz w:val="32"/>
          <w:szCs w:val="32"/>
        </w:rPr>
        <w:t>7.一般公共服务支出（类）组织事务（款）行政运行（项）:支出决算数为3,216.43万元，比上年决算减少177.14万元，下降5.22%，主要原因是：</w:t>
      </w:r>
      <w:r>
        <w:rPr>
          <w:rFonts w:eastAsia="仿宋_GB2312"/>
          <w:sz w:val="32"/>
          <w:szCs w:val="32"/>
        </w:rPr>
        <w:t>按照自治区财政“过紧日子”要求，压缩</w:t>
      </w:r>
      <w:r>
        <w:rPr>
          <w:rFonts w:hint="eastAsia" w:eastAsia="仿宋_GB2312"/>
          <w:sz w:val="32"/>
          <w:szCs w:val="32"/>
        </w:rPr>
        <w:t>行政运行</w:t>
      </w:r>
      <w:r>
        <w:rPr>
          <w:rFonts w:eastAsia="仿宋_GB2312"/>
          <w:sz w:val="32"/>
          <w:szCs w:val="32"/>
        </w:rPr>
        <w:t>支出</w:t>
      </w:r>
      <w:r>
        <w:rPr>
          <w:rFonts w:hint="eastAsia" w:eastAsia="仿宋_GB2312"/>
          <w:sz w:val="32"/>
          <w:szCs w:val="32"/>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8.社会保障和就业支出（类）行政事业单位养老支出（款）事业单位离退休（项）:支出决算数为282.43万元，比上年决算减少88.05万元，下降23.77%，主要原因是：</w:t>
      </w:r>
      <w:r>
        <w:rPr>
          <w:rFonts w:hint="eastAsia" w:eastAsia="仿宋_GB2312"/>
          <w:sz w:val="32"/>
          <w:szCs w:val="32"/>
          <w:lang w:val="zh-CN"/>
        </w:rPr>
        <w:t>本年度部门退休人员总数较上年度退休人员减少，</w:t>
      </w:r>
      <w:r>
        <w:rPr>
          <w:rFonts w:hint="eastAsia" w:eastAsia="仿宋_GB2312"/>
          <w:sz w:val="32"/>
          <w:szCs w:val="32"/>
        </w:rPr>
        <w:t>事业单位离退休经费</w:t>
      </w:r>
      <w:r>
        <w:rPr>
          <w:rFonts w:hint="eastAsia" w:eastAsia="仿宋_GB2312"/>
          <w:sz w:val="32"/>
          <w:szCs w:val="32"/>
          <w:lang w:val="zh-CN"/>
        </w:rPr>
        <w:t>较上年减少。</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9.社会保障和就业支出（类）行政事业单位养老支出（款）行政单位离退休（项）:支出决算数为102.85万元，比上年决算减少45.30万元，下降30.57%，主要原因是：</w:t>
      </w:r>
      <w:r>
        <w:rPr>
          <w:rFonts w:hint="eastAsia" w:eastAsia="仿宋_GB2312"/>
          <w:sz w:val="32"/>
          <w:szCs w:val="32"/>
          <w:lang w:val="zh-CN"/>
        </w:rPr>
        <w:t>本年度部门退休人员总数较上年度退休人员减少，</w:t>
      </w:r>
      <w:r>
        <w:rPr>
          <w:rFonts w:hint="eastAsia" w:eastAsia="仿宋_GB2312"/>
          <w:sz w:val="32"/>
          <w:szCs w:val="32"/>
        </w:rPr>
        <w:t>行政单位离退休经费</w:t>
      </w:r>
      <w:r>
        <w:rPr>
          <w:rFonts w:hint="eastAsia" w:eastAsia="仿宋_GB2312"/>
          <w:sz w:val="32"/>
          <w:szCs w:val="32"/>
          <w:lang w:val="zh-CN"/>
        </w:rPr>
        <w:t>较上年减少。</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10.一般公共服务支出（类）组织事务（款）公务员事务（项）:支出决算数为975.24万元，比上年决算增加86.77万元，增长9.77%，主要原因是：</w:t>
      </w:r>
      <w:r>
        <w:rPr>
          <w:rFonts w:hint="eastAsia" w:eastAsia="仿宋_GB2312"/>
          <w:sz w:val="32"/>
          <w:szCs w:val="32"/>
          <w:lang w:val="zh-CN"/>
        </w:rPr>
        <w:t>公务员考核、招考、管理、履职能力提升等支出增加。</w:t>
      </w:r>
    </w:p>
    <w:p>
      <w:pPr>
        <w:keepNext w:val="0"/>
        <w:keepLines w:val="0"/>
        <w:pageBreakBefore w:val="0"/>
        <w:kinsoku/>
        <w:wordWrap/>
        <w:overflowPunct/>
        <w:topLinePunct w:val="0"/>
        <w:bidi w:val="0"/>
        <w:adjustRightInd/>
        <w:spacing w:line="640" w:lineRule="exact"/>
        <w:ind w:firstLine="640" w:firstLineChars="200"/>
        <w:jc w:val="both"/>
        <w:textAlignment w:val="auto"/>
        <w:outlineLvl w:val="1"/>
        <w:rPr>
          <w:rFonts w:eastAsia="仿宋_GB2312"/>
          <w:sz w:val="32"/>
          <w:szCs w:val="32"/>
        </w:rPr>
      </w:pPr>
      <w:r>
        <w:rPr>
          <w:rFonts w:hint="eastAsia" w:eastAsia="仿宋_GB2312"/>
          <w:sz w:val="32"/>
          <w:szCs w:val="32"/>
        </w:rPr>
        <w:t>11.社会保障和就业支出（类）行政事业单位养老支出（款）机关事业单位职业年金缴费支出（项）:支出决算数为101.96万元，比上年决算增加52.64万元，增长106.73%，主要原因是：</w:t>
      </w:r>
      <w:r>
        <w:rPr>
          <w:rFonts w:eastAsia="仿宋_GB2312"/>
          <w:sz w:val="32"/>
          <w:szCs w:val="32"/>
        </w:rPr>
        <w:t>退休、调出人数增多，职业年金缴费相应增加。</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12.社会保障和就业支出（类）行政事业单位养老支出（款）机关事业单位基本养老保险缴费支出（项）:支出决算数为424.66万元，比上年决算增加74.99万元，增长21.45%，主要原因是：</w:t>
      </w:r>
      <w:r>
        <w:rPr>
          <w:rFonts w:eastAsia="仿宋_GB2312"/>
          <w:sz w:val="32"/>
          <w:szCs w:val="32"/>
        </w:rPr>
        <w:t>人员增加、工资增长，养老保险缴费相应增加</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13.一般公共服务支出（类）人大事务（款）事业运行（项）:支出决算数为0.00万元，比上年决算减少5.22万元，下降100%，主要原因是：本年度无此项支出</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14.一般公共服务支出（类）组织事务（款）一般行政管理事务（项）:支出决算数为0.00万元，比上年决算减少75.12万元，下降100%，主要原因是：本年度无此项支出</w:t>
      </w:r>
      <w:r>
        <w:rPr>
          <w:rFonts w:hint="eastAsia"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r>
        <w:rPr>
          <w:rFonts w:hint="eastAsia" w:ascii="黑体" w:hAnsi="黑体" w:eastAsia="黑体" w:cs="宋体"/>
          <w:bCs/>
          <w:kern w:val="0"/>
          <w:sz w:val="32"/>
          <w:szCs w:val="32"/>
        </w:rPr>
        <w:t>六、一般公共预算财政拨款基本支出决算情况说明</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rPr>
        <w:t>2023年度一般公共预算财政拨款基本支出5,766.47万元，其中：人员经费5,048.90万元，包括：基本工资、津贴补贴、奖金、机关事业单位基本养老保险缴费、职业年金缴费、职工基本医疗保险缴费、公务员医疗补助缴费、</w:t>
      </w:r>
      <w:r>
        <w:rPr>
          <w:rFonts w:hint="eastAsia" w:eastAsia="仿宋_GB2312"/>
          <w:sz w:val="32"/>
          <w:szCs w:val="32"/>
          <w:lang w:eastAsia="zh-CN"/>
        </w:rPr>
        <w:t>其他社会保障缴费、</w:t>
      </w:r>
      <w:r>
        <w:rPr>
          <w:rFonts w:eastAsia="仿宋_GB2312"/>
          <w:sz w:val="32"/>
          <w:szCs w:val="32"/>
        </w:rPr>
        <w:t>住房公积金、其他工资福利支出、</w:t>
      </w:r>
      <w:r>
        <w:rPr>
          <w:rFonts w:hint="eastAsia" w:eastAsia="仿宋_GB2312"/>
          <w:sz w:val="32"/>
          <w:szCs w:val="32"/>
          <w:lang w:eastAsia="zh-CN"/>
        </w:rPr>
        <w:t>离休费、</w:t>
      </w:r>
      <w:r>
        <w:rPr>
          <w:rFonts w:eastAsia="仿宋_GB2312"/>
          <w:sz w:val="32"/>
          <w:szCs w:val="32"/>
        </w:rPr>
        <w:t>退休费、</w:t>
      </w:r>
      <w:r>
        <w:rPr>
          <w:rFonts w:hint="eastAsia" w:eastAsia="仿宋_GB2312"/>
          <w:sz w:val="32"/>
          <w:szCs w:val="32"/>
          <w:lang w:eastAsia="zh-CN"/>
        </w:rPr>
        <w:t>抚恤金、</w:t>
      </w:r>
      <w:r>
        <w:rPr>
          <w:rFonts w:eastAsia="仿宋_GB2312"/>
          <w:sz w:val="32"/>
          <w:szCs w:val="32"/>
        </w:rPr>
        <w:t>生活补助、其他对个人和家庭的补助。</w:t>
      </w:r>
    </w:p>
    <w:p>
      <w:pPr>
        <w:keepNext w:val="0"/>
        <w:keepLines w:val="0"/>
        <w:pageBreakBefore w:val="0"/>
        <w:kinsoku/>
        <w:wordWrap/>
        <w:overflowPunct/>
        <w:topLinePunct w:val="0"/>
        <w:bidi w:val="0"/>
        <w:adjustRightInd/>
        <w:ind w:firstLine="640" w:firstLineChars="200"/>
        <w:jc w:val="both"/>
        <w:textAlignment w:val="auto"/>
        <w:rPr>
          <w:rFonts w:ascii="仿宋_GB2312" w:hAnsi="Times New Roman" w:eastAsia="仿宋_GB2312" w:cs="Times New Roman"/>
          <w:sz w:val="32"/>
          <w:szCs w:val="32"/>
        </w:rPr>
      </w:pPr>
      <w:r>
        <w:rPr>
          <w:rFonts w:eastAsia="仿宋_GB2312"/>
          <w:sz w:val="32"/>
          <w:szCs w:val="32"/>
        </w:rPr>
        <w:t>公用经费717.57万元，包括：</w:t>
      </w:r>
      <w:r>
        <w:rPr>
          <w:rFonts w:ascii="仿宋_GB2312" w:eastAsia="仿宋_GB2312"/>
          <w:sz w:val="32"/>
          <w:szCs w:val="32"/>
        </w:rPr>
        <w:t>办公费、水费、</w:t>
      </w:r>
      <w:r>
        <w:rPr>
          <w:rFonts w:hint="eastAsia" w:ascii="仿宋_GB2312" w:eastAsia="仿宋_GB2312"/>
          <w:sz w:val="32"/>
          <w:szCs w:val="32"/>
          <w:lang w:eastAsia="zh-CN"/>
        </w:rPr>
        <w:t>电费、</w:t>
      </w:r>
      <w:r>
        <w:rPr>
          <w:rFonts w:ascii="仿宋_GB2312" w:eastAsia="仿宋_GB2312"/>
          <w:sz w:val="32"/>
          <w:szCs w:val="32"/>
        </w:rPr>
        <w:t>邮电费、取暖费、物业管理费、差旅费、维修（护）</w:t>
      </w:r>
      <w:r>
        <w:rPr>
          <w:rFonts w:ascii="仿宋_GB2312" w:hAnsi="Times New Roman" w:eastAsia="仿宋_GB2312" w:cs="Times New Roman"/>
          <w:sz w:val="32"/>
          <w:szCs w:val="32"/>
        </w:rPr>
        <w:t>费、租赁费、</w:t>
      </w:r>
      <w:r>
        <w:rPr>
          <w:rFonts w:hint="eastAsia" w:ascii="仿宋_GB2312" w:hAnsi="Times New Roman" w:eastAsia="仿宋_GB2312" w:cs="Times New Roman"/>
          <w:sz w:val="32"/>
          <w:szCs w:val="32"/>
          <w:lang w:val="en-US" w:eastAsia="zh-CN"/>
        </w:rPr>
        <w:t>咨询费、公务接待费、其他交通费用</w:t>
      </w:r>
      <w:r>
        <w:rPr>
          <w:rFonts w:ascii="仿宋_GB2312" w:hAnsi="Times New Roman" w:eastAsia="仿宋_GB2312" w:cs="Times New Roman"/>
          <w:sz w:val="32"/>
          <w:szCs w:val="32"/>
        </w:rPr>
        <w:t>、劳务费、委托业务费、工会经费、福利费、公务用车运行维护费、其他商品和服务支出。</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r>
        <w:rPr>
          <w:rFonts w:hint="eastAsia" w:ascii="黑体" w:hAnsi="黑体" w:eastAsia="黑体" w:cs="宋体"/>
          <w:bCs/>
          <w:kern w:val="0"/>
          <w:sz w:val="32"/>
          <w:szCs w:val="32"/>
        </w:rPr>
        <w:t>七、财政拨款“三公”经费支出决算情况说明</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eastAsia="仿宋_GB2312"/>
          <w:sz w:val="32"/>
          <w:szCs w:val="32"/>
          <w:lang w:val="zh-CN"/>
        </w:rPr>
        <w:t>2023年度</w:t>
      </w:r>
      <w:r>
        <w:rPr>
          <w:rFonts w:eastAsia="仿宋_GB2312"/>
          <w:sz w:val="32"/>
          <w:szCs w:val="32"/>
        </w:rPr>
        <w:t>财政拨款</w:t>
      </w:r>
      <w:r>
        <w:rPr>
          <w:rFonts w:eastAsia="仿宋_GB2312"/>
          <w:sz w:val="32"/>
          <w:szCs w:val="32"/>
          <w:lang w:val="zh-CN"/>
        </w:rPr>
        <w:t>“三公”经费支出116.72万元，</w:t>
      </w:r>
      <w:r>
        <w:rPr>
          <w:rFonts w:eastAsia="仿宋_GB2312"/>
          <w:sz w:val="32"/>
          <w:szCs w:val="32"/>
        </w:rPr>
        <w:t>比上年</w:t>
      </w:r>
      <w:r>
        <w:rPr>
          <w:rFonts w:eastAsia="仿宋_GB2312"/>
          <w:sz w:val="32"/>
          <w:szCs w:val="32"/>
          <w:lang w:val="zh-CN"/>
        </w:rPr>
        <w:t>增加41.40万元，增长54.97%，主要原因是：</w:t>
      </w:r>
      <w:r>
        <w:rPr>
          <w:rFonts w:hint="eastAsia" w:eastAsia="仿宋_GB2312"/>
          <w:sz w:val="32"/>
          <w:szCs w:val="32"/>
          <w:lang w:val="zh-CN"/>
        </w:rPr>
        <w:t>2022年度受疫情影响，公务接待及公务用车运行维护费用减少，2023年度该类费用正常开支</w:t>
      </w:r>
      <w:r>
        <w:rPr>
          <w:rFonts w:eastAsia="仿宋_GB2312"/>
          <w:sz w:val="32"/>
          <w:szCs w:val="32"/>
          <w:lang w:val="zh-CN"/>
        </w:rPr>
        <w:t>。其中：因公出国（境）费支出0.00万元，占0.00%，比上年增加0.00万元，增长0.00%，主要原因是：</w:t>
      </w:r>
      <w:r>
        <w:rPr>
          <w:rFonts w:hint="eastAsia" w:eastAsia="仿宋_GB2312"/>
          <w:sz w:val="32"/>
          <w:szCs w:val="32"/>
          <w:lang w:val="zh-CN"/>
        </w:rPr>
        <w:t>我单位无因公出国（境）费</w:t>
      </w:r>
      <w:r>
        <w:rPr>
          <w:rFonts w:eastAsia="仿宋_GB2312"/>
          <w:sz w:val="32"/>
          <w:szCs w:val="32"/>
          <w:lang w:val="zh-CN"/>
        </w:rPr>
        <w:t>；公务用车购置及运行维护费支出98.11万元，占84.06%，比上年增加26.26万元，增长36.55%，主要原因是：</w:t>
      </w:r>
      <w:r>
        <w:rPr>
          <w:rFonts w:hint="eastAsia" w:eastAsia="仿宋_GB2312"/>
          <w:sz w:val="32"/>
          <w:szCs w:val="32"/>
          <w:lang w:val="zh-CN"/>
        </w:rPr>
        <w:t>2022年度受疫情影响，公公务用车运行维护费用支出较少，2023年度公务用车运行维护费用正常开支</w:t>
      </w:r>
      <w:r>
        <w:rPr>
          <w:rFonts w:eastAsia="仿宋_GB2312"/>
          <w:sz w:val="32"/>
          <w:szCs w:val="32"/>
          <w:lang w:val="zh-CN"/>
        </w:rPr>
        <w:t>；公务接待费支出18.61万元，占15.94%，比上年增加15.14万元，增长436.59%，主要原因是：</w:t>
      </w:r>
      <w:r>
        <w:rPr>
          <w:rFonts w:hint="eastAsia" w:eastAsia="仿宋_GB2312"/>
          <w:sz w:val="32"/>
          <w:szCs w:val="32"/>
          <w:lang w:val="zh-CN"/>
        </w:rPr>
        <w:t>2022年度受疫情影响，公务</w:t>
      </w:r>
      <w:r>
        <w:rPr>
          <w:rFonts w:eastAsia="仿宋_GB2312"/>
          <w:sz w:val="32"/>
          <w:szCs w:val="32"/>
          <w:lang w:val="zh-CN"/>
        </w:rPr>
        <w:t>接待</w:t>
      </w:r>
      <w:r>
        <w:rPr>
          <w:rFonts w:hint="eastAsia" w:eastAsia="仿宋_GB2312"/>
          <w:sz w:val="32"/>
          <w:szCs w:val="32"/>
          <w:lang w:val="zh-CN"/>
        </w:rPr>
        <w:t>费用支出较少，2023年度公务</w:t>
      </w:r>
      <w:r>
        <w:rPr>
          <w:rFonts w:eastAsia="仿宋_GB2312"/>
          <w:sz w:val="32"/>
          <w:szCs w:val="32"/>
          <w:lang w:val="zh-CN"/>
        </w:rPr>
        <w:t>接待</w:t>
      </w:r>
      <w:r>
        <w:rPr>
          <w:rFonts w:hint="eastAsia" w:eastAsia="仿宋_GB2312"/>
          <w:sz w:val="32"/>
          <w:szCs w:val="32"/>
          <w:lang w:val="zh-CN"/>
        </w:rPr>
        <w:t>费用正常开支</w:t>
      </w:r>
      <w:r>
        <w:rPr>
          <w:rFonts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lang w:val="zh-CN"/>
        </w:rPr>
      </w:pPr>
      <w:r>
        <w:rPr>
          <w:rFonts w:hint="eastAsia" w:ascii="仿宋_GB2312" w:eastAsia="仿宋_GB2312"/>
          <w:sz w:val="32"/>
          <w:szCs w:val="32"/>
          <w:lang w:val="zh-CN"/>
        </w:rPr>
        <w:t>具体情况如下：</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eastAsia="仿宋_GB2312"/>
          <w:sz w:val="32"/>
          <w:szCs w:val="32"/>
          <w:lang w:val="zh-CN"/>
        </w:rPr>
        <w:t>因公出国（境）费支出0.00万元，开支内容包括我单位无因公出国（境）费。单位全年安排的因公出国（境）团组0个，因公出国（境）0人次。</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eastAsia="仿宋_GB2312"/>
          <w:sz w:val="32"/>
          <w:szCs w:val="32"/>
          <w:lang w:val="zh-CN"/>
        </w:rPr>
        <w:t>公务用车购置及运行维护费98.11万元，其中：公务用车购置费0.00万元，公务用车运行维护费98.11万元。公务用车运行维护费开支内容包括</w:t>
      </w:r>
      <w:r>
        <w:rPr>
          <w:rFonts w:hint="eastAsia" w:eastAsia="仿宋_GB2312"/>
          <w:sz w:val="32"/>
          <w:szCs w:val="32"/>
          <w:lang w:val="zh-CN"/>
        </w:rPr>
        <w:t>车辆燃油费及维修维护费用等</w:t>
      </w:r>
      <w:r>
        <w:rPr>
          <w:rFonts w:eastAsia="仿宋_GB2312"/>
          <w:sz w:val="32"/>
          <w:szCs w:val="32"/>
          <w:lang w:val="zh-CN"/>
        </w:rPr>
        <w:t>。公务用车购置数0辆，公务用车保有量29辆。国有资产占用情况</w:t>
      </w:r>
      <w:r>
        <w:rPr>
          <w:rFonts w:eastAsia="仿宋_GB2312"/>
          <w:sz w:val="32"/>
          <w:szCs w:val="32"/>
        </w:rPr>
        <w:t>中固定资产车辆</w:t>
      </w:r>
      <w:r>
        <w:rPr>
          <w:rFonts w:eastAsia="仿宋_GB2312"/>
          <w:sz w:val="32"/>
          <w:szCs w:val="32"/>
          <w:lang w:val="zh-CN"/>
        </w:rPr>
        <w:t>29辆，</w:t>
      </w:r>
      <w:r>
        <w:rPr>
          <w:rFonts w:eastAsia="仿宋_GB2312"/>
          <w:sz w:val="32"/>
          <w:szCs w:val="32"/>
        </w:rPr>
        <w:t>与</w:t>
      </w:r>
      <w:r>
        <w:rPr>
          <w:rFonts w:eastAsia="仿宋_GB2312"/>
          <w:sz w:val="32"/>
          <w:szCs w:val="32"/>
          <w:lang w:val="zh-CN"/>
        </w:rPr>
        <w:t>公务用车</w:t>
      </w:r>
      <w:r>
        <w:rPr>
          <w:rFonts w:eastAsia="仿宋_GB2312"/>
          <w:sz w:val="32"/>
          <w:szCs w:val="32"/>
        </w:rPr>
        <w:t>保有量差异</w:t>
      </w:r>
      <w:r>
        <w:rPr>
          <w:rFonts w:eastAsia="仿宋_GB2312"/>
          <w:sz w:val="32"/>
          <w:szCs w:val="32"/>
          <w:lang w:val="zh-CN"/>
        </w:rPr>
        <w:t>原因是：</w:t>
      </w:r>
      <w:r>
        <w:rPr>
          <w:rFonts w:hint="eastAsia" w:eastAsia="仿宋_GB2312"/>
          <w:sz w:val="32"/>
          <w:szCs w:val="32"/>
          <w:lang w:val="zh-CN"/>
        </w:rPr>
        <w:t>无差异</w:t>
      </w:r>
      <w:r>
        <w:rPr>
          <w:rFonts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eastAsia="仿宋_GB2312"/>
          <w:sz w:val="32"/>
          <w:szCs w:val="32"/>
          <w:lang w:val="zh-CN"/>
        </w:rPr>
        <w:t>公务接待费18.61万元，开支内容包括</w:t>
      </w:r>
      <w:r>
        <w:rPr>
          <w:rFonts w:hint="eastAsia" w:eastAsia="仿宋_GB2312"/>
          <w:sz w:val="32"/>
          <w:szCs w:val="32"/>
          <w:lang w:val="zh-CN"/>
        </w:rPr>
        <w:t>接待各省市区和中央国家机关援疆干部考核组餐费及住宿费</w:t>
      </w:r>
      <w:bookmarkStart w:id="48" w:name="_GoBack"/>
      <w:bookmarkEnd w:id="48"/>
      <w:r>
        <w:rPr>
          <w:rFonts w:eastAsia="仿宋_GB2312"/>
          <w:sz w:val="32"/>
          <w:szCs w:val="32"/>
          <w:lang w:val="zh-CN"/>
        </w:rPr>
        <w:t>。单位全年安排的国内公务接待</w:t>
      </w:r>
      <w:r>
        <w:rPr>
          <w:rFonts w:hint="eastAsia" w:eastAsia="仿宋_GB2312"/>
          <w:sz w:val="32"/>
          <w:szCs w:val="32"/>
          <w:lang w:val="en-US" w:eastAsia="zh-CN"/>
        </w:rPr>
        <w:t>152</w:t>
      </w:r>
      <w:r>
        <w:rPr>
          <w:rFonts w:eastAsia="仿宋_GB2312"/>
          <w:sz w:val="32"/>
          <w:szCs w:val="32"/>
          <w:lang w:val="zh-CN"/>
        </w:rPr>
        <w:t>批次，689人次。</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eastAsia="仿宋_GB2312"/>
          <w:sz w:val="32"/>
          <w:szCs w:val="32"/>
          <w:lang w:val="zh-CN"/>
        </w:rPr>
        <w:t>与</w:t>
      </w:r>
      <w:r>
        <w:rPr>
          <w:rFonts w:eastAsia="仿宋_GB2312"/>
          <w:sz w:val="32"/>
          <w:szCs w:val="32"/>
        </w:rPr>
        <w:t>全年</w:t>
      </w:r>
      <w:r>
        <w:rPr>
          <w:rFonts w:eastAsia="仿宋_GB2312"/>
          <w:sz w:val="32"/>
          <w:szCs w:val="32"/>
          <w:lang w:val="zh-CN"/>
        </w:rPr>
        <w:t>预算相比</w:t>
      </w:r>
      <w:r>
        <w:rPr>
          <w:rFonts w:eastAsia="仿宋_GB2312"/>
          <w:sz w:val="32"/>
          <w:szCs w:val="32"/>
        </w:rPr>
        <w:t>,</w:t>
      </w:r>
      <w:r>
        <w:rPr>
          <w:rFonts w:eastAsia="仿宋_GB2312"/>
          <w:sz w:val="32"/>
          <w:szCs w:val="32"/>
          <w:lang w:val="zh-CN"/>
        </w:rPr>
        <w:t>财政拨款“三公”经费支出</w:t>
      </w:r>
      <w:r>
        <w:rPr>
          <w:rFonts w:eastAsia="仿宋_GB2312"/>
          <w:sz w:val="32"/>
          <w:szCs w:val="32"/>
        </w:rPr>
        <w:t>全年</w:t>
      </w:r>
      <w:r>
        <w:rPr>
          <w:rFonts w:eastAsia="仿宋_GB2312"/>
          <w:sz w:val="32"/>
          <w:szCs w:val="32"/>
          <w:lang w:val="zh-CN"/>
        </w:rPr>
        <w:t>预算数116.72万元，决算数116.72万元，预决算差异率0.00%，主要原因是：</w:t>
      </w:r>
      <w:r>
        <w:rPr>
          <w:rFonts w:hint="eastAsia" w:eastAsia="仿宋_GB2312"/>
          <w:sz w:val="32"/>
          <w:szCs w:val="32"/>
          <w:lang w:val="zh-CN"/>
        </w:rPr>
        <w:t>我部严格落实过“紧日子”要求，压减“三公”经费支出，2023年“三公”经费支出</w:t>
      </w:r>
      <w:r>
        <w:rPr>
          <w:rFonts w:eastAsia="仿宋_GB2312"/>
          <w:sz w:val="32"/>
          <w:szCs w:val="32"/>
          <w:lang w:val="zh-CN"/>
        </w:rPr>
        <w:t>116.72</w:t>
      </w:r>
      <w:r>
        <w:rPr>
          <w:rFonts w:hint="eastAsia" w:eastAsia="仿宋_GB2312"/>
          <w:sz w:val="32"/>
          <w:szCs w:val="32"/>
          <w:lang w:val="zh-CN"/>
        </w:rPr>
        <w:t>万元。</w:t>
      </w:r>
      <w:r>
        <w:rPr>
          <w:rFonts w:eastAsia="仿宋_GB2312"/>
          <w:sz w:val="32"/>
          <w:szCs w:val="32"/>
          <w:lang w:val="zh-CN"/>
        </w:rPr>
        <w:t>其中：因公出国（境）费</w:t>
      </w:r>
      <w:r>
        <w:rPr>
          <w:rFonts w:eastAsia="仿宋_GB2312"/>
          <w:sz w:val="32"/>
          <w:szCs w:val="32"/>
        </w:rPr>
        <w:t>全年预算数</w:t>
      </w:r>
      <w:r>
        <w:rPr>
          <w:rFonts w:eastAsia="仿宋_GB2312"/>
          <w:sz w:val="32"/>
          <w:szCs w:val="32"/>
          <w:lang w:val="zh-CN"/>
        </w:rPr>
        <w:t>0.00万元，决算数0.00万元，预决算差异率0.00%，主要原因是：</w:t>
      </w:r>
      <w:r>
        <w:rPr>
          <w:rFonts w:hint="eastAsia" w:eastAsia="仿宋_GB2312"/>
          <w:sz w:val="32"/>
          <w:szCs w:val="32"/>
          <w:lang w:val="zh-CN"/>
        </w:rPr>
        <w:t>我单位无因公出国（境）费</w:t>
      </w:r>
      <w:r>
        <w:rPr>
          <w:rFonts w:eastAsia="仿宋_GB2312"/>
          <w:sz w:val="32"/>
          <w:szCs w:val="32"/>
          <w:lang w:val="zh-CN"/>
        </w:rPr>
        <w:t>；公务用车购置费</w:t>
      </w:r>
      <w:r>
        <w:rPr>
          <w:rFonts w:eastAsia="仿宋_GB2312"/>
          <w:sz w:val="32"/>
          <w:szCs w:val="32"/>
        </w:rPr>
        <w:t>全年</w:t>
      </w:r>
      <w:r>
        <w:rPr>
          <w:rFonts w:eastAsia="仿宋_GB2312"/>
          <w:sz w:val="32"/>
          <w:szCs w:val="32"/>
          <w:lang w:val="zh-CN"/>
        </w:rPr>
        <w:t>预算数0.00万元，决算数0.00万元，预决算差异率0.00%，主要原因是：</w:t>
      </w:r>
      <w:r>
        <w:rPr>
          <w:rFonts w:hint="eastAsia" w:eastAsia="仿宋_GB2312"/>
          <w:sz w:val="32"/>
          <w:szCs w:val="32"/>
          <w:lang w:val="zh-CN"/>
        </w:rPr>
        <w:t>我单位无公务用车购置费</w:t>
      </w:r>
      <w:r>
        <w:rPr>
          <w:rFonts w:eastAsia="仿宋_GB2312"/>
          <w:sz w:val="32"/>
          <w:szCs w:val="32"/>
          <w:lang w:val="zh-CN"/>
        </w:rPr>
        <w:t>；公务用车运行费</w:t>
      </w:r>
      <w:r>
        <w:rPr>
          <w:rFonts w:eastAsia="仿宋_GB2312"/>
          <w:sz w:val="32"/>
          <w:szCs w:val="32"/>
        </w:rPr>
        <w:t>全年</w:t>
      </w:r>
      <w:r>
        <w:rPr>
          <w:rFonts w:eastAsia="仿宋_GB2312"/>
          <w:sz w:val="32"/>
          <w:szCs w:val="32"/>
          <w:lang w:val="zh-CN"/>
        </w:rPr>
        <w:t>预算数98.11万元，决算数98.11万元，预决算差异率0.00%，主要原因是：</w:t>
      </w:r>
      <w:r>
        <w:rPr>
          <w:rFonts w:hint="eastAsia" w:eastAsia="仿宋_GB2312"/>
          <w:sz w:val="32"/>
          <w:szCs w:val="32"/>
          <w:lang w:val="zh-CN"/>
        </w:rPr>
        <w:t>我部严格落实过“紧日子”要求，压减“三公”经费支出，2023年公务用车运行费支出</w:t>
      </w:r>
      <w:r>
        <w:rPr>
          <w:rFonts w:eastAsia="仿宋_GB2312"/>
          <w:sz w:val="32"/>
          <w:szCs w:val="32"/>
          <w:lang w:val="zh-CN"/>
        </w:rPr>
        <w:t>98.11</w:t>
      </w:r>
      <w:r>
        <w:rPr>
          <w:rFonts w:hint="eastAsia" w:eastAsia="仿宋_GB2312"/>
          <w:sz w:val="32"/>
          <w:szCs w:val="32"/>
          <w:lang w:val="zh-CN"/>
        </w:rPr>
        <w:t>万元</w:t>
      </w:r>
      <w:r>
        <w:rPr>
          <w:rFonts w:eastAsia="仿宋_GB2312"/>
          <w:sz w:val="32"/>
          <w:szCs w:val="32"/>
          <w:lang w:val="zh-CN"/>
        </w:rPr>
        <w:t>；公务接待费</w:t>
      </w:r>
      <w:r>
        <w:rPr>
          <w:rFonts w:eastAsia="仿宋_GB2312"/>
          <w:sz w:val="32"/>
          <w:szCs w:val="32"/>
        </w:rPr>
        <w:t>全年</w:t>
      </w:r>
      <w:r>
        <w:rPr>
          <w:rFonts w:eastAsia="仿宋_GB2312"/>
          <w:sz w:val="32"/>
          <w:szCs w:val="32"/>
          <w:lang w:val="zh-CN"/>
        </w:rPr>
        <w:t>预算数18.61万元，决算数18.61万元，预决算差异率0.00%，主要原因是：</w:t>
      </w:r>
      <w:r>
        <w:rPr>
          <w:rFonts w:hint="eastAsia" w:eastAsia="仿宋_GB2312"/>
          <w:sz w:val="32"/>
          <w:szCs w:val="32"/>
          <w:lang w:val="zh-CN"/>
        </w:rPr>
        <w:t>我部严格落实过“紧日子”要求，压减“三公”经费支出，2023年公务接待费支出</w:t>
      </w:r>
      <w:r>
        <w:rPr>
          <w:rFonts w:eastAsia="仿宋_GB2312"/>
          <w:sz w:val="32"/>
          <w:szCs w:val="32"/>
          <w:lang w:val="zh-CN"/>
        </w:rPr>
        <w:t>18.61</w:t>
      </w:r>
      <w:r>
        <w:rPr>
          <w:rFonts w:hint="eastAsia" w:eastAsia="仿宋_GB2312"/>
          <w:sz w:val="32"/>
          <w:szCs w:val="32"/>
          <w:lang w:val="zh-CN"/>
        </w:rPr>
        <w:t>万元</w:t>
      </w:r>
      <w:r>
        <w:rPr>
          <w:rFonts w:eastAsia="仿宋_GB2312"/>
          <w:sz w:val="32"/>
          <w:szCs w:val="32"/>
          <w:lang w:val="zh-CN"/>
        </w:rPr>
        <w:t>。</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18" w:name="_Toc5810"/>
      <w:bookmarkStart w:id="19" w:name="_Toc7927"/>
      <w:r>
        <w:rPr>
          <w:rFonts w:hint="eastAsia" w:ascii="黑体" w:hAnsi="黑体" w:eastAsia="黑体" w:cs="宋体"/>
          <w:bCs/>
          <w:kern w:val="0"/>
          <w:sz w:val="32"/>
          <w:szCs w:val="32"/>
        </w:rPr>
        <w:t>八、政府性基金预算财政拨款收入支出决算情况说明</w:t>
      </w:r>
      <w:bookmarkEnd w:id="18"/>
      <w:bookmarkEnd w:id="19"/>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rPr>
      </w:pPr>
      <w:r>
        <w:rPr>
          <w:rFonts w:hint="eastAsia" w:ascii="仿宋_GB2312" w:eastAsia="仿宋_GB2312"/>
          <w:sz w:val="32"/>
          <w:szCs w:val="32"/>
        </w:rPr>
        <w:t>我部门本年度无政府性基金预算财政拨款收入、支出及结转和结余，政府性基金预算财政拨款收入支出决算表为空表。</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r>
        <w:rPr>
          <w:rFonts w:hint="eastAsia" w:ascii="黑体" w:hAnsi="黑体" w:eastAsia="黑体" w:cs="宋体"/>
          <w:bCs/>
          <w:kern w:val="0"/>
          <w:sz w:val="32"/>
          <w:szCs w:val="32"/>
        </w:rPr>
        <w:t>九、国有资本经营预算财政拨款收入支出决算情况说明</w:t>
      </w:r>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rPr>
      </w:pPr>
      <w:r>
        <w:rPr>
          <w:rFonts w:hint="eastAsia" w:ascii="仿宋_GB2312" w:eastAsia="仿宋_GB2312"/>
          <w:sz w:val="32"/>
          <w:szCs w:val="32"/>
        </w:rPr>
        <w:t>我部门本年度无国有资本经营预算财政拨款收入、支出及结转和结余，国有资本经营预算财政拨款收入支出决算表为空表。</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20" w:name="_Toc7314"/>
      <w:bookmarkStart w:id="21" w:name="_Toc1235"/>
      <w:r>
        <w:rPr>
          <w:rFonts w:hint="eastAsia" w:ascii="黑体" w:hAnsi="黑体" w:eastAsia="黑体" w:cs="宋体"/>
          <w:bCs/>
          <w:kern w:val="0"/>
          <w:sz w:val="32"/>
          <w:szCs w:val="32"/>
        </w:rPr>
        <w:t>十、其他重要事项的情况说明</w:t>
      </w:r>
      <w:bookmarkEnd w:id="20"/>
      <w:bookmarkEnd w:id="21"/>
    </w:p>
    <w:p>
      <w:pPr>
        <w:keepNext w:val="0"/>
        <w:keepLines w:val="0"/>
        <w:pageBreakBefore w:val="0"/>
        <w:kinsoku/>
        <w:wordWrap/>
        <w:overflowPunct/>
        <w:topLinePunct w:val="0"/>
        <w:bidi w:val="0"/>
        <w:adjustRightInd/>
        <w:ind w:firstLine="640" w:firstLineChars="200"/>
        <w:jc w:val="both"/>
        <w:textAlignment w:val="auto"/>
        <w:outlineLvl w:val="2"/>
        <w:rPr>
          <w:rFonts w:ascii="黑体" w:hAnsi="黑体" w:eastAsia="黑体"/>
          <w:sz w:val="32"/>
          <w:szCs w:val="32"/>
        </w:rPr>
      </w:pPr>
      <w:bookmarkStart w:id="22" w:name="_Toc13105"/>
      <w:bookmarkStart w:id="23" w:name="_Toc14519"/>
      <w:r>
        <w:rPr>
          <w:rFonts w:hint="eastAsia" w:ascii="黑体" w:hAnsi="黑体" w:eastAsia="黑体"/>
          <w:sz w:val="32"/>
          <w:szCs w:val="32"/>
        </w:rPr>
        <w:t>（一）机关运行经费支出情况</w:t>
      </w:r>
      <w:bookmarkEnd w:id="22"/>
      <w:bookmarkEnd w:id="23"/>
    </w:p>
    <w:p>
      <w:pPr>
        <w:keepNext w:val="0"/>
        <w:keepLines w:val="0"/>
        <w:pageBreakBefore w:val="0"/>
        <w:kinsoku/>
        <w:wordWrap/>
        <w:overflowPunct/>
        <w:topLinePunct w:val="0"/>
        <w:bidi w:val="0"/>
        <w:adjustRightInd/>
        <w:ind w:firstLine="640" w:firstLineChars="200"/>
        <w:jc w:val="both"/>
        <w:textAlignment w:val="auto"/>
        <w:rPr>
          <w:rFonts w:hint="eastAsia" w:eastAsia="仿宋_GB2312"/>
          <w:sz w:val="32"/>
          <w:szCs w:val="32"/>
        </w:rPr>
      </w:pPr>
      <w:bookmarkStart w:id="24" w:name="_Toc26704"/>
      <w:bookmarkStart w:id="25" w:name="_Toc227"/>
      <w:r>
        <w:rPr>
          <w:rFonts w:hint="eastAsia" w:eastAsia="仿宋_GB2312"/>
          <w:sz w:val="32"/>
          <w:szCs w:val="32"/>
          <w:lang w:val="zh-CN"/>
        </w:rPr>
        <w:t>2023年度</w:t>
      </w:r>
      <w:r>
        <w:rPr>
          <w:rFonts w:hint="eastAsia" w:eastAsia="仿宋_GB2312"/>
          <w:sz w:val="32"/>
          <w:szCs w:val="32"/>
        </w:rPr>
        <w:t>中共新疆维吾尔自治区委员会组织部（行政单位和参照公务员法管理事业单位）机关运行经费支出600.78万元，比上年减少14.72万元，下降2.39%</w:t>
      </w:r>
      <w:r>
        <w:rPr>
          <w:rFonts w:hint="eastAsia" w:eastAsia="仿宋_GB2312"/>
          <w:sz w:val="32"/>
          <w:szCs w:val="32"/>
          <w:lang w:eastAsia="zh-CN"/>
        </w:rPr>
        <w:t>；</w:t>
      </w:r>
      <w:r>
        <w:rPr>
          <w:rFonts w:hint="eastAsia" w:eastAsia="仿宋_GB2312"/>
          <w:sz w:val="32"/>
          <w:szCs w:val="32"/>
        </w:rPr>
        <w:t>主要原因是：</w:t>
      </w:r>
      <w:r>
        <w:rPr>
          <w:rFonts w:eastAsia="仿宋_GB2312"/>
          <w:sz w:val="32"/>
          <w:szCs w:val="32"/>
        </w:rPr>
        <w:t>按照自治区财政“过紧日子”要求，压</w:t>
      </w:r>
      <w:r>
        <w:rPr>
          <w:rFonts w:hint="eastAsia" w:eastAsia="仿宋_GB2312"/>
          <w:sz w:val="32"/>
          <w:szCs w:val="32"/>
          <w:lang w:eastAsia="zh-CN"/>
        </w:rPr>
        <w:t>减</w:t>
      </w:r>
      <w:r>
        <w:rPr>
          <w:rFonts w:hint="eastAsia" w:eastAsia="仿宋_GB2312"/>
          <w:sz w:val="32"/>
          <w:szCs w:val="32"/>
        </w:rPr>
        <w:t>公用经费，机关运行经费支出有所下降。</w:t>
      </w:r>
    </w:p>
    <w:p>
      <w:pPr>
        <w:keepNext w:val="0"/>
        <w:keepLines w:val="0"/>
        <w:pageBreakBefore w:val="0"/>
        <w:kinsoku/>
        <w:wordWrap/>
        <w:overflowPunct/>
        <w:topLinePunct w:val="0"/>
        <w:bidi w:val="0"/>
        <w:adjustRightInd/>
        <w:ind w:firstLine="640" w:firstLineChars="200"/>
        <w:jc w:val="both"/>
        <w:textAlignment w:val="auto"/>
        <w:rPr>
          <w:rFonts w:hint="default" w:eastAsia="仿宋_GB2312"/>
          <w:sz w:val="32"/>
          <w:szCs w:val="32"/>
          <w:lang w:val="en-US" w:eastAsia="zh-CN"/>
        </w:rPr>
      </w:pPr>
      <w:r>
        <w:rPr>
          <w:rFonts w:hint="eastAsia" w:eastAsia="仿宋_GB2312"/>
          <w:sz w:val="32"/>
          <w:szCs w:val="32"/>
        </w:rPr>
        <w:t>中共新疆维吾尔自治区委员会组织部</w:t>
      </w:r>
      <w:r>
        <w:rPr>
          <w:rFonts w:hint="eastAsia" w:eastAsia="仿宋_GB2312"/>
          <w:sz w:val="32"/>
          <w:szCs w:val="32"/>
          <w:lang w:eastAsia="zh-CN"/>
        </w:rPr>
        <w:t>公用经费</w:t>
      </w:r>
      <w:r>
        <w:rPr>
          <w:rFonts w:hint="eastAsia" w:eastAsia="仿宋_GB2312"/>
          <w:sz w:val="32"/>
          <w:szCs w:val="32"/>
          <w:lang w:val="en-US" w:eastAsia="zh-CN"/>
        </w:rPr>
        <w:t>116.79万元，比上年增加11.70万元，增长11.13%，主要原因是：我部2022受疫情影响未能正常开展业务活动，2023年恢复正常支出，公用经费增加。</w:t>
      </w:r>
    </w:p>
    <w:p>
      <w:pPr>
        <w:keepNext w:val="0"/>
        <w:keepLines w:val="0"/>
        <w:pageBreakBefore w:val="0"/>
        <w:kinsoku/>
        <w:wordWrap/>
        <w:overflowPunct/>
        <w:topLinePunct w:val="0"/>
        <w:bidi w:val="0"/>
        <w:adjustRightInd/>
        <w:ind w:firstLine="640" w:firstLineChars="200"/>
        <w:jc w:val="both"/>
        <w:textAlignment w:val="auto"/>
        <w:rPr>
          <w:rFonts w:eastAsia="黑体"/>
          <w:sz w:val="32"/>
          <w:szCs w:val="30"/>
          <w:lang w:val="zh-CN"/>
        </w:rPr>
      </w:pPr>
      <w:r>
        <w:rPr>
          <w:rFonts w:hint="eastAsia" w:eastAsia="黑体"/>
          <w:sz w:val="32"/>
          <w:szCs w:val="30"/>
          <w:lang w:val="zh-CN"/>
        </w:rPr>
        <w:t>（二）政府采购情况</w:t>
      </w:r>
      <w:bookmarkEnd w:id="24"/>
      <w:bookmarkEnd w:id="25"/>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lang w:val="zh-CN"/>
        </w:rPr>
        <w:t>2023年度政府采购支出总额729.19万元，其中：政府采购货物支出376.06万元、政府采购工程支出320.95万元、政府采购服务支出32.18万元。</w:t>
      </w:r>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rPr>
      </w:pPr>
      <w:r>
        <w:rPr>
          <w:rFonts w:hint="eastAsia" w:eastAsia="仿宋_GB2312"/>
          <w:sz w:val="32"/>
          <w:szCs w:val="32"/>
          <w:lang w:val="zh-CN"/>
        </w:rPr>
        <w:t>授予中小企业合同金额724.04万元，占政府采购支出总额的99.29</w:t>
      </w:r>
      <w:r>
        <w:rPr>
          <w:rFonts w:eastAsia="仿宋_GB2312"/>
          <w:sz w:val="32"/>
          <w:szCs w:val="32"/>
          <w:lang w:val="zh-CN"/>
        </w:rPr>
        <w:t>%</w:t>
      </w:r>
      <w:r>
        <w:rPr>
          <w:rFonts w:hint="eastAsia" w:eastAsia="仿宋_GB2312"/>
          <w:sz w:val="32"/>
          <w:szCs w:val="32"/>
          <w:lang w:val="zh-CN"/>
        </w:rPr>
        <w:t>，其中：授予小微企业合同金额125.02万元，占政府采购支出总额的17.15</w:t>
      </w:r>
      <w:r>
        <w:rPr>
          <w:rFonts w:eastAsia="仿宋_GB2312"/>
          <w:sz w:val="32"/>
          <w:szCs w:val="32"/>
          <w:lang w:val="zh-CN"/>
        </w:rPr>
        <w:t>%</w:t>
      </w:r>
      <w:r>
        <w:rPr>
          <w:rFonts w:hint="eastAsia" w:eastAsia="仿宋_GB2312"/>
          <w:sz w:val="32"/>
          <w:szCs w:val="32"/>
        </w:rPr>
        <w:t>。</w:t>
      </w:r>
    </w:p>
    <w:p>
      <w:pPr>
        <w:keepNext w:val="0"/>
        <w:keepLines w:val="0"/>
        <w:pageBreakBefore w:val="0"/>
        <w:kinsoku/>
        <w:wordWrap/>
        <w:overflowPunct/>
        <w:topLinePunct w:val="0"/>
        <w:bidi w:val="0"/>
        <w:adjustRightInd/>
        <w:ind w:firstLine="640" w:firstLineChars="200"/>
        <w:jc w:val="both"/>
        <w:textAlignment w:val="auto"/>
        <w:rPr>
          <w:rFonts w:eastAsia="黑体"/>
          <w:sz w:val="32"/>
          <w:szCs w:val="30"/>
          <w:lang w:val="zh-CN"/>
        </w:rPr>
      </w:pPr>
      <w:bookmarkStart w:id="26" w:name="_Toc4591"/>
      <w:bookmarkStart w:id="27" w:name="_Toc8391"/>
      <w:r>
        <w:rPr>
          <w:rFonts w:hint="eastAsia" w:eastAsia="黑体"/>
          <w:sz w:val="32"/>
          <w:szCs w:val="30"/>
          <w:lang w:val="zh-CN"/>
        </w:rPr>
        <w:t>（三）国有资产占用情况说明</w:t>
      </w:r>
      <w:bookmarkEnd w:id="26"/>
      <w:bookmarkEnd w:id="27"/>
    </w:p>
    <w:p>
      <w:pPr>
        <w:keepNext w:val="0"/>
        <w:keepLines w:val="0"/>
        <w:pageBreakBefore w:val="0"/>
        <w:kinsoku/>
        <w:wordWrap/>
        <w:overflowPunct/>
        <w:topLinePunct w:val="0"/>
        <w:bidi w:val="0"/>
        <w:adjustRightInd/>
        <w:ind w:firstLine="640" w:firstLineChars="200"/>
        <w:jc w:val="both"/>
        <w:textAlignment w:val="auto"/>
        <w:rPr>
          <w:rFonts w:eastAsia="仿宋_GB2312"/>
          <w:sz w:val="32"/>
          <w:szCs w:val="32"/>
          <w:lang w:val="zh-CN"/>
        </w:rPr>
      </w:pPr>
      <w:r>
        <w:rPr>
          <w:rFonts w:hint="eastAsia" w:eastAsia="仿宋_GB2312"/>
          <w:sz w:val="32"/>
          <w:szCs w:val="32"/>
        </w:rPr>
        <w:t>截至2023</w:t>
      </w:r>
      <w:r>
        <w:rPr>
          <w:rFonts w:hint="eastAsia" w:eastAsia="仿宋_GB2312"/>
          <w:sz w:val="32"/>
          <w:szCs w:val="32"/>
          <w:lang w:val="zh-CN"/>
        </w:rPr>
        <w:t>年</w:t>
      </w:r>
      <w:r>
        <w:rPr>
          <w:rFonts w:hint="eastAsia" w:eastAsia="仿宋_GB2312"/>
          <w:sz w:val="32"/>
          <w:szCs w:val="32"/>
        </w:rPr>
        <w:t>12月31日</w:t>
      </w:r>
      <w:r>
        <w:rPr>
          <w:rFonts w:hint="eastAsia" w:eastAsia="仿宋_GB2312"/>
          <w:sz w:val="32"/>
          <w:szCs w:val="32"/>
          <w:lang w:val="zh-CN"/>
        </w:rPr>
        <w:t>，</w:t>
      </w:r>
      <w:r>
        <w:rPr>
          <w:rFonts w:hint="eastAsia" w:eastAsia="仿宋_GB2312"/>
          <w:sz w:val="32"/>
          <w:szCs w:val="32"/>
        </w:rPr>
        <w:t>固定资产原值</w:t>
      </w:r>
      <w:r>
        <w:rPr>
          <w:rFonts w:hint="eastAsia" w:eastAsia="仿宋_GB2312"/>
          <w:sz w:val="32"/>
          <w:szCs w:val="32"/>
          <w:lang w:val="zh-CN"/>
        </w:rPr>
        <w:t>44,409.38</w:t>
      </w:r>
      <w:r>
        <w:rPr>
          <w:rFonts w:hint="eastAsia" w:eastAsia="仿宋_GB2312"/>
          <w:sz w:val="32"/>
          <w:szCs w:val="32"/>
        </w:rPr>
        <w:t>万元，房</w:t>
      </w:r>
      <w:r>
        <w:rPr>
          <w:rFonts w:hint="eastAsia" w:eastAsia="仿宋_GB2312"/>
          <w:sz w:val="32"/>
          <w:szCs w:val="32"/>
          <w:lang w:val="zh-CN"/>
        </w:rPr>
        <w:t>屋114743.62平方米，价值31,270.73万元。车辆29辆，价值679.29万元，其中：副部（省）级及以上领导用车1辆、主要</w:t>
      </w:r>
      <w:r>
        <w:rPr>
          <w:rFonts w:hint="eastAsia" w:eastAsia="仿宋_GB2312"/>
          <w:sz w:val="32"/>
          <w:szCs w:val="32"/>
        </w:rPr>
        <w:t>负责人</w:t>
      </w:r>
      <w:r>
        <w:rPr>
          <w:rFonts w:hint="eastAsia" w:eastAsia="仿宋_GB2312"/>
          <w:sz w:val="32"/>
          <w:szCs w:val="32"/>
          <w:lang w:val="zh-CN"/>
        </w:rPr>
        <w:t>用车5辆、机要通信用车2辆、应急保障用车2辆、执法执勤用车0辆、特种专业技术用车0辆、离退休干部</w:t>
      </w:r>
      <w:r>
        <w:rPr>
          <w:rFonts w:hint="eastAsia" w:eastAsia="仿宋_GB2312"/>
          <w:sz w:val="32"/>
          <w:szCs w:val="32"/>
        </w:rPr>
        <w:t>服务</w:t>
      </w:r>
      <w:r>
        <w:rPr>
          <w:rFonts w:hint="eastAsia" w:eastAsia="仿宋_GB2312"/>
          <w:sz w:val="32"/>
          <w:szCs w:val="32"/>
          <w:lang w:val="zh-CN"/>
        </w:rPr>
        <w:t>用车1辆、其他用车18辆，其他用车主要是：公务用车；单价100万元（含）以上设备（不含车辆）8</w:t>
      </w:r>
      <w:r>
        <w:rPr>
          <w:rFonts w:hint="eastAsia" w:eastAsia="仿宋_GB2312"/>
          <w:sz w:val="32"/>
          <w:szCs w:val="32"/>
        </w:rPr>
        <w:t>台（</w:t>
      </w:r>
      <w:r>
        <w:rPr>
          <w:rFonts w:hint="eastAsia" w:eastAsia="仿宋_GB2312"/>
          <w:sz w:val="32"/>
          <w:szCs w:val="32"/>
          <w:lang w:val="zh-CN"/>
        </w:rPr>
        <w:t>套）。</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bookmarkStart w:id="28" w:name="_Toc11283"/>
      <w:bookmarkStart w:id="29" w:name="_Toc435"/>
      <w:r>
        <w:rPr>
          <w:rFonts w:hint="eastAsia" w:ascii="黑体" w:hAnsi="黑体" w:eastAsia="黑体" w:cs="宋体"/>
          <w:bCs/>
          <w:kern w:val="0"/>
          <w:sz w:val="32"/>
          <w:szCs w:val="32"/>
        </w:rPr>
        <w:t>十一、预算绩效的情况说明</w:t>
      </w:r>
      <w:bookmarkEnd w:id="28"/>
      <w:bookmarkEnd w:id="29"/>
    </w:p>
    <w:p>
      <w:pPr>
        <w:keepNext w:val="0"/>
        <w:keepLines w:val="0"/>
        <w:pageBreakBefore w:val="0"/>
        <w:widowControl/>
        <w:kinsoku/>
        <w:wordWrap/>
        <w:overflowPunct/>
        <w:topLinePunct w:val="0"/>
        <w:bidi w:val="0"/>
        <w:adjustRightInd/>
        <w:spacing w:line="578" w:lineRule="exact"/>
        <w:ind w:firstLine="640" w:firstLineChars="200"/>
        <w:jc w:val="both"/>
        <w:textAlignment w:val="auto"/>
        <w:rPr>
          <w:rFonts w:ascii="仿宋_GB2312" w:eastAsia="仿宋_GB2312"/>
          <w:sz w:val="32"/>
          <w:szCs w:val="32"/>
        </w:rPr>
      </w:pPr>
      <w:r>
        <w:rPr>
          <w:rFonts w:hint="eastAsia" w:ascii="仿宋_GB2312" w:eastAsia="仿宋_GB2312"/>
          <w:sz w:val="32"/>
          <w:szCs w:val="32"/>
        </w:rPr>
        <w:t>根据预算绩效管理要求，我部门2023年度</w:t>
      </w:r>
      <w:r>
        <w:rPr>
          <w:rFonts w:hint="eastAsia" w:ascii="仿宋_GB2312" w:hAnsi="仿宋_GB2312" w:eastAsia="仿宋_GB2312" w:cs="仿宋_GB2312"/>
          <w:kern w:val="0"/>
          <w:sz w:val="32"/>
          <w:szCs w:val="32"/>
        </w:rPr>
        <w:t>预算绩效管理整体支出绩效自评表</w:t>
      </w:r>
      <w:r>
        <w:rPr>
          <w:rFonts w:hint="eastAsia" w:ascii="仿宋_GB2312" w:eastAsia="仿宋_GB2312"/>
          <w:sz w:val="32"/>
          <w:szCs w:val="32"/>
        </w:rPr>
        <w:t>1</w:t>
      </w:r>
      <w:r>
        <w:rPr>
          <w:rFonts w:hint="eastAsia" w:ascii="仿宋_GB2312" w:hAnsi="仿宋_GB2312" w:eastAsia="仿宋_GB2312" w:cs="仿宋_GB2312"/>
          <w:kern w:val="0"/>
          <w:sz w:val="32"/>
          <w:szCs w:val="32"/>
        </w:rPr>
        <w:t>个，全年</w:t>
      </w:r>
      <w:r>
        <w:rPr>
          <w:rFonts w:hint="eastAsia" w:ascii="仿宋_GB2312" w:eastAsia="仿宋_GB2312"/>
          <w:sz w:val="32"/>
          <w:szCs w:val="32"/>
        </w:rPr>
        <w:t>预算总额</w:t>
      </w:r>
      <w:r>
        <w:rPr>
          <w:rFonts w:hint="eastAsia" w:ascii="仿宋_GB2312" w:eastAsia="仿宋_GB2312"/>
          <w:sz w:val="32"/>
          <w:szCs w:val="32"/>
          <w:lang w:val="en-US" w:eastAsia="zh-CN"/>
        </w:rPr>
        <w:t>47883.65</w:t>
      </w:r>
      <w:r>
        <w:rPr>
          <w:rFonts w:hint="eastAsia" w:ascii="仿宋_GB2312" w:eastAsia="仿宋_GB2312"/>
          <w:sz w:val="32"/>
          <w:szCs w:val="32"/>
        </w:rPr>
        <w:t>万元，实际执行总额</w:t>
      </w:r>
      <w:r>
        <w:rPr>
          <w:rFonts w:hint="eastAsia" w:ascii="仿宋_GB2312" w:eastAsia="仿宋_GB2312"/>
          <w:sz w:val="32"/>
          <w:szCs w:val="32"/>
          <w:lang w:val="en-US" w:eastAsia="zh-CN"/>
        </w:rPr>
        <w:t>38625.63</w:t>
      </w:r>
      <w:r>
        <w:rPr>
          <w:rFonts w:hint="eastAsia" w:ascii="仿宋_GB2312" w:eastAsia="仿宋_GB2312"/>
          <w:sz w:val="32"/>
          <w:szCs w:val="32"/>
        </w:rPr>
        <w:t>万元</w:t>
      </w:r>
      <w:r>
        <w:rPr>
          <w:rFonts w:hint="eastAsia" w:ascii="仿宋_GB2312" w:hAnsi="仿宋_GB2312" w:eastAsia="仿宋_GB2312" w:cs="仿宋_GB2312"/>
          <w:kern w:val="0"/>
          <w:sz w:val="32"/>
          <w:szCs w:val="32"/>
        </w:rPr>
        <w:t>；</w:t>
      </w:r>
      <w:r>
        <w:rPr>
          <w:rFonts w:hint="eastAsia" w:ascii="仿宋_GB2312" w:eastAsia="仿宋_GB2312"/>
          <w:sz w:val="32"/>
          <w:szCs w:val="32"/>
        </w:rPr>
        <w:t>预算绩效评价项目4</w:t>
      </w:r>
      <w:r>
        <w:rPr>
          <w:rFonts w:hint="eastAsia" w:ascii="仿宋_GB2312" w:eastAsia="仿宋_GB2312"/>
          <w:sz w:val="32"/>
          <w:szCs w:val="32"/>
          <w:lang w:val="en-US" w:eastAsia="zh-CN"/>
        </w:rPr>
        <w:t>7</w:t>
      </w:r>
      <w:r>
        <w:rPr>
          <w:rFonts w:hint="eastAsia" w:ascii="仿宋_GB2312" w:eastAsia="仿宋_GB2312"/>
          <w:sz w:val="32"/>
          <w:szCs w:val="32"/>
        </w:rPr>
        <w:t>个，全年预算数</w:t>
      </w:r>
      <w:r>
        <w:rPr>
          <w:rFonts w:hint="eastAsia" w:ascii="仿宋_GB2312" w:eastAsia="仿宋_GB2312"/>
          <w:sz w:val="32"/>
          <w:szCs w:val="32"/>
          <w:lang w:val="en-US" w:eastAsia="zh-CN"/>
        </w:rPr>
        <w:t>47883.65万元，全年执行数38625.63万元，其中sm项目7个，全年预算数18476.31万元，全年执行数12172.05万元，非sm项目40个，预算数29407.34</w:t>
      </w:r>
      <w:r>
        <w:rPr>
          <w:rFonts w:hint="eastAsia" w:ascii="仿宋_GB2312" w:eastAsia="仿宋_GB2312"/>
          <w:sz w:val="32"/>
          <w:szCs w:val="32"/>
        </w:rPr>
        <w:t>万元，全年执行数</w:t>
      </w:r>
      <w:r>
        <w:rPr>
          <w:rFonts w:hint="eastAsia" w:ascii="仿宋_GB2312" w:eastAsia="仿宋_GB2312"/>
          <w:sz w:val="32"/>
          <w:szCs w:val="32"/>
          <w:lang w:val="en-US" w:eastAsia="zh-CN"/>
        </w:rPr>
        <w:t>26453.58</w:t>
      </w:r>
      <w:r>
        <w:rPr>
          <w:rFonts w:hint="eastAsia" w:ascii="仿宋_GB2312" w:eastAsia="仿宋_GB2312"/>
          <w:sz w:val="32"/>
          <w:szCs w:val="32"/>
        </w:rPr>
        <w:t>万元。预算绩效管理取得的成效：一是认真执行财政部、自治区财政厅预算绩效管理制度办法，落实全面实施预算绩效管理责任，根据“三定”方案中确定的“部门职责-工作活动”结合组织部门业务特点，在实践中不断完善和改进预算绩效管理工作，发挥财政预算“编制、执行、绩效、公开、监督”闭环管理体系作用，对财政资金事前、事中、事后管理全过程监督，确保财政资金使用安全和高效。二是严格落实“全口径”预算管理，将所有收入和支出全部纳入预算，全面准确反映部机关各项收支情况。开展事前绩效评估，评估结果作为申请预算的必要条件，将上年度各处室资金使用情况作为下年度预算编制的重要参考。从运行成本、管理效率、履职效能、社会效应、可持续发展能力和服务对象满意度等方面，衡量整体及核心业务实施效果，推动提高部机关整体绩效水平。三是督促、指导各处室全面开展预算绩效管理工作，做好绩效目标审核，项目设置更加细化、量化。对绩效实施、项目支出进行监督，提出意见建议。对各处室的预算执行情况进行跟踪督办，要求各处室对照项目支出计划进度和实际执行进度，认真查找未按预算计划支出的原因，并提出下一步支出计划，保障了各项政策落实和各项资金有效使用，确保了财政资金安全高效。严格实行绩效评价，确保资金没有截留、挤占或挪用项目资金的情况。发现的问题及原因：</w:t>
      </w:r>
      <w:r>
        <w:rPr>
          <w:rFonts w:eastAsia="仿宋_GB2312"/>
          <w:sz w:val="32"/>
          <w:szCs w:val="32"/>
        </w:rPr>
        <w:t>一是</w:t>
      </w:r>
      <w:r>
        <w:rPr>
          <w:rFonts w:eastAsia="仿宋_GB2312"/>
          <w:bCs/>
          <w:sz w:val="32"/>
          <w:szCs w:val="32"/>
        </w:rPr>
        <w:t>存在预算执行进度不均衡</w:t>
      </w:r>
      <w:r>
        <w:rPr>
          <w:rFonts w:hint="eastAsia" w:eastAsia="仿宋_GB2312"/>
          <w:bCs/>
          <w:sz w:val="32"/>
          <w:szCs w:val="32"/>
        </w:rPr>
        <w:t>的</w:t>
      </w:r>
      <w:r>
        <w:rPr>
          <w:rFonts w:eastAsia="仿宋_GB2312"/>
          <w:bCs/>
          <w:sz w:val="32"/>
          <w:szCs w:val="32"/>
        </w:rPr>
        <w:t>问题。主要原因：</w:t>
      </w:r>
      <w:r>
        <w:rPr>
          <w:rFonts w:hint="eastAsia" w:eastAsia="仿宋_GB2312"/>
          <w:bCs/>
          <w:sz w:val="32"/>
          <w:szCs w:val="32"/>
        </w:rPr>
        <w:t>由于一季度</w:t>
      </w:r>
      <w:r>
        <w:rPr>
          <w:rFonts w:eastAsia="仿宋_GB2312"/>
          <w:sz w:val="32"/>
          <w:szCs w:val="32"/>
        </w:rPr>
        <w:t>各处室（单位）</w:t>
      </w:r>
      <w:r>
        <w:rPr>
          <w:rFonts w:hint="eastAsia" w:eastAsia="仿宋_GB2312"/>
          <w:sz w:val="32"/>
          <w:szCs w:val="32"/>
        </w:rPr>
        <w:t>需</w:t>
      </w:r>
      <w:r>
        <w:rPr>
          <w:rFonts w:eastAsia="仿宋_GB2312"/>
          <w:sz w:val="32"/>
          <w:szCs w:val="32"/>
        </w:rPr>
        <w:t>结合中组部各厅局年初工作部署制定具体细化方案，项目</w:t>
      </w:r>
      <w:r>
        <w:rPr>
          <w:rFonts w:hint="eastAsia" w:eastAsia="仿宋_GB2312"/>
          <w:sz w:val="32"/>
          <w:szCs w:val="32"/>
        </w:rPr>
        <w:t>主要</w:t>
      </w:r>
      <w:r>
        <w:rPr>
          <w:rFonts w:eastAsia="仿宋_GB2312"/>
          <w:sz w:val="32"/>
          <w:szCs w:val="32"/>
        </w:rPr>
        <w:t>集中在二、三、四季度实施，导致资金集中在下半年支付，</w:t>
      </w:r>
      <w:r>
        <w:rPr>
          <w:rFonts w:eastAsia="仿宋_GB2312"/>
          <w:bCs/>
          <w:sz w:val="32"/>
          <w:szCs w:val="32"/>
        </w:rPr>
        <w:t>预算执行进度不均衡。</w:t>
      </w:r>
      <w:r>
        <w:rPr>
          <w:rFonts w:eastAsia="仿宋_GB2312"/>
          <w:sz w:val="32"/>
          <w:szCs w:val="32"/>
        </w:rPr>
        <w:t>二是</w:t>
      </w:r>
      <w:r>
        <w:rPr>
          <w:rFonts w:eastAsia="仿宋_GB2312"/>
          <w:bCs/>
          <w:sz w:val="32"/>
          <w:szCs w:val="32"/>
        </w:rPr>
        <w:t>个别预算项目绩效目标设置不够科学。主要原因：对新增的预算项目</w:t>
      </w:r>
      <w:r>
        <w:rPr>
          <w:rFonts w:hint="eastAsia" w:eastAsia="仿宋_GB2312"/>
          <w:bCs/>
          <w:sz w:val="32"/>
          <w:szCs w:val="32"/>
        </w:rPr>
        <w:t>，个别</w:t>
      </w:r>
      <w:r>
        <w:rPr>
          <w:rFonts w:eastAsia="仿宋_GB2312"/>
          <w:bCs/>
          <w:sz w:val="32"/>
          <w:szCs w:val="32"/>
        </w:rPr>
        <w:t>绩效指标</w:t>
      </w:r>
      <w:r>
        <w:rPr>
          <w:rFonts w:hint="eastAsia" w:eastAsia="仿宋_GB2312"/>
          <w:bCs/>
          <w:sz w:val="32"/>
          <w:szCs w:val="32"/>
        </w:rPr>
        <w:t>制定与实际情况结合不够紧密</w:t>
      </w:r>
      <w:r>
        <w:rPr>
          <w:rFonts w:eastAsia="仿宋_GB2312"/>
          <w:bCs/>
          <w:sz w:val="32"/>
          <w:szCs w:val="32"/>
        </w:rPr>
        <w:t>，同类项目绩效指标</w:t>
      </w:r>
      <w:r>
        <w:rPr>
          <w:rFonts w:hint="eastAsia" w:eastAsia="仿宋_GB2312"/>
          <w:bCs/>
          <w:sz w:val="32"/>
          <w:szCs w:val="32"/>
        </w:rPr>
        <w:t>的规范性、</w:t>
      </w:r>
      <w:r>
        <w:rPr>
          <w:rFonts w:eastAsia="仿宋_GB2312"/>
          <w:bCs/>
          <w:sz w:val="32"/>
          <w:szCs w:val="32"/>
        </w:rPr>
        <w:t>一致性有待提高。</w:t>
      </w:r>
      <w:r>
        <w:rPr>
          <w:rFonts w:hint="eastAsia" w:ascii="仿宋_GB2312" w:eastAsia="仿宋_GB2312"/>
          <w:sz w:val="32"/>
          <w:szCs w:val="32"/>
        </w:rPr>
        <w:t>下一步改进措施：</w:t>
      </w:r>
      <w:r>
        <w:rPr>
          <w:rFonts w:hint="eastAsia" w:eastAsia="仿宋_GB2312"/>
          <w:bCs/>
          <w:sz w:val="32"/>
          <w:szCs w:val="32"/>
        </w:rPr>
        <w:t>一是压实</w:t>
      </w:r>
      <w:r>
        <w:rPr>
          <w:rFonts w:eastAsia="仿宋_GB2312"/>
          <w:bCs/>
          <w:sz w:val="32"/>
          <w:szCs w:val="32"/>
        </w:rPr>
        <w:t>预算执行主体责任，健全预算绩效管理制度和运行机制。按照全面推进预算绩效管理的要求，为进一步规范我部预算绩效各环节工作，制定《自治区党委组织部预算绩效管理办法》，规范我部预算绩效各环节工作，切实强化部办公室财务人员与各处室（单位）的紧密联系，不断完善预算绩效制度和运行管理机制。</w:t>
      </w:r>
      <w:r>
        <w:rPr>
          <w:rFonts w:hint="eastAsia" w:eastAsia="仿宋_GB2312"/>
          <w:bCs/>
          <w:sz w:val="32"/>
          <w:szCs w:val="32"/>
        </w:rPr>
        <w:t>二是</w:t>
      </w:r>
      <w:r>
        <w:rPr>
          <w:rFonts w:eastAsia="仿宋_GB2312"/>
          <w:bCs/>
          <w:sz w:val="32"/>
          <w:szCs w:val="32"/>
        </w:rPr>
        <w:t>科学合理设置绩效指标，夯实绩效评价工作基础。认真学习预算绩效管理制度和相关政策，结合</w:t>
      </w:r>
      <w:r>
        <w:rPr>
          <w:rFonts w:hint="eastAsia" w:eastAsia="仿宋_GB2312"/>
          <w:bCs/>
          <w:sz w:val="32"/>
          <w:szCs w:val="32"/>
        </w:rPr>
        <w:t>理论武装、选贤任能、强基固本、育才聚才等</w:t>
      </w:r>
      <w:r>
        <w:rPr>
          <w:rFonts w:eastAsia="仿宋_GB2312"/>
          <w:bCs/>
          <w:sz w:val="32"/>
          <w:szCs w:val="32"/>
        </w:rPr>
        <w:t>业务工作，不断</w:t>
      </w:r>
      <w:r>
        <w:rPr>
          <w:rFonts w:hint="eastAsia" w:eastAsia="仿宋_GB2312"/>
          <w:bCs/>
          <w:sz w:val="32"/>
          <w:szCs w:val="32"/>
        </w:rPr>
        <w:t>建立健全预算</w:t>
      </w:r>
      <w:r>
        <w:rPr>
          <w:rFonts w:eastAsia="仿宋_GB2312"/>
          <w:bCs/>
          <w:sz w:val="32"/>
          <w:szCs w:val="32"/>
        </w:rPr>
        <w:t>绩效指标体系，提高绩效目标设置的科学性合理性，确保绩效目标能清晰反映预算资金的预期产出和效果。</w:t>
      </w:r>
      <w:r>
        <w:rPr>
          <w:rFonts w:hint="eastAsia" w:eastAsia="仿宋_GB2312"/>
          <w:bCs/>
          <w:sz w:val="32"/>
          <w:szCs w:val="32"/>
        </w:rPr>
        <w:t>三是</w:t>
      </w:r>
      <w:r>
        <w:rPr>
          <w:rFonts w:eastAsia="仿宋_GB2312"/>
          <w:bCs/>
          <w:sz w:val="32"/>
          <w:szCs w:val="32"/>
        </w:rPr>
        <w:t>强化预算绩效评价结果应用，提高资金使用效能。通过监控预警机制，实时掌握资金使用情况，不断提升资金使用效益。落实项目支出预算绩效评价结果反馈机制，将绩效评价结果与下一年的预算编制挂钩，增强绩效评价结果的应用刚性。</w:t>
      </w:r>
      <w:r>
        <w:rPr>
          <w:rFonts w:hint="eastAsia" w:eastAsia="仿宋_GB2312"/>
          <w:bCs/>
          <w:sz w:val="32"/>
          <w:szCs w:val="32"/>
        </w:rPr>
        <w:t>四是</w:t>
      </w:r>
      <w:r>
        <w:rPr>
          <w:rFonts w:eastAsia="仿宋_GB2312"/>
          <w:bCs/>
          <w:sz w:val="32"/>
          <w:szCs w:val="32"/>
        </w:rPr>
        <w:t>加强绩效管理</w:t>
      </w:r>
      <w:r>
        <w:rPr>
          <w:rFonts w:hint="eastAsia" w:eastAsia="仿宋_GB2312"/>
          <w:bCs/>
          <w:sz w:val="32"/>
          <w:szCs w:val="32"/>
        </w:rPr>
        <w:t>业务</w:t>
      </w:r>
      <w:r>
        <w:rPr>
          <w:rFonts w:eastAsia="仿宋_GB2312"/>
          <w:bCs/>
          <w:sz w:val="32"/>
          <w:szCs w:val="32"/>
        </w:rPr>
        <w:t>培训，提升预算执行意识和能力。</w:t>
      </w:r>
      <w:r>
        <w:rPr>
          <w:rFonts w:hint="eastAsia" w:eastAsia="仿宋_GB2312"/>
          <w:bCs/>
          <w:sz w:val="32"/>
          <w:szCs w:val="32"/>
        </w:rPr>
        <w:t>常态化</w:t>
      </w:r>
      <w:r>
        <w:rPr>
          <w:rFonts w:eastAsia="仿宋_GB2312"/>
          <w:bCs/>
          <w:sz w:val="32"/>
          <w:szCs w:val="32"/>
        </w:rPr>
        <w:t>开展预算绩效业务培训，对全年预算绩效工作进行安排部署，邀请自治区财政厅相关专业人员讲解绩效管理工作，</w:t>
      </w:r>
      <w:r>
        <w:rPr>
          <w:rFonts w:hint="eastAsia" w:eastAsia="仿宋_GB2312"/>
          <w:bCs/>
          <w:sz w:val="32"/>
          <w:szCs w:val="32"/>
        </w:rPr>
        <w:t>提高</w:t>
      </w:r>
      <w:r>
        <w:rPr>
          <w:rFonts w:eastAsia="仿宋_GB2312"/>
          <w:bCs/>
          <w:sz w:val="32"/>
          <w:szCs w:val="32"/>
        </w:rPr>
        <w:t>预算绩效管理工作人员的业务素质，保质保量完成绩效管理工作。</w:t>
      </w:r>
      <w:r>
        <w:rPr>
          <w:rFonts w:hint="eastAsia" w:ascii="仿宋_GB2312" w:eastAsia="仿宋_GB2312"/>
          <w:sz w:val="32"/>
          <w:szCs w:val="32"/>
        </w:rPr>
        <w:t>具体项目自评情况附绩效自评表及自评报告。</w:t>
      </w:r>
    </w:p>
    <w:p>
      <w:pPr>
        <w:keepNext w:val="0"/>
        <w:keepLines w:val="0"/>
        <w:pageBreakBefore w:val="0"/>
        <w:kinsoku/>
        <w:wordWrap/>
        <w:overflowPunct/>
        <w:topLinePunct w:val="0"/>
        <w:bidi w:val="0"/>
        <w:adjustRightInd/>
        <w:jc w:val="both"/>
        <w:textAlignment w:val="auto"/>
      </w:pPr>
      <w:r>
        <w:pict>
          <v:shape id="_x0000_i1025" o:spt="75" type="#_x0000_t75" style="height:555pt;width:506.25pt;" filled="f" o:preferrelative="t" stroked="f" coordsize="21600,21600">
            <v:path/>
            <v:fill on="f" focussize="0,0"/>
            <v:stroke on="f" joinstyle="miter"/>
            <v:imagedata r:id="rId5" o:title=""/>
            <o:lock v:ext="edit" aspectratio="t"/>
            <w10:wrap type="none"/>
            <w10:anchorlock/>
          </v:shape>
        </w:pict>
      </w:r>
      <w:r>
        <w:pict>
          <v:shape id="_x0000_i1026" o:spt="75" type="#_x0000_t75" style="height:269.25pt;width:651.75pt;" filled="f" o:preferrelative="t" stroked="f" coordsize="21600,21600">
            <v:path/>
            <v:fill on="f" focussize="0,0"/>
            <v:stroke on="f" joinstyle="miter"/>
            <v:imagedata r:id="rId6" o:title=""/>
            <o:lock v:ext="edit" aspectratio="t"/>
            <w10:wrap type="none"/>
            <w10:anchorlock/>
          </v:shape>
        </w:pict>
      </w:r>
      <w:r>
        <w:pict>
          <v:shape id="_x0000_i1027" o:spt="75" type="#_x0000_t75" style="height:243pt;width:651.75pt;" filled="f" o:preferrelative="t" stroked="f" coordsize="21600,21600">
            <v:path/>
            <v:fill on="f" focussize="0,0"/>
            <v:stroke on="f" joinstyle="miter"/>
            <v:imagedata r:id="rId7" o:title=""/>
            <o:lock v:ext="edit" aspectratio="t"/>
            <w10:wrap type="none"/>
            <w10:anchorlock/>
          </v:shape>
        </w:pict>
      </w:r>
      <w:r>
        <w:pict>
          <v:shape id="_x0000_i1028" o:spt="75" type="#_x0000_t75" style="height:268.5pt;width:645.75pt;" filled="f" o:preferrelative="t" stroked="f" coordsize="21600,21600">
            <v:path/>
            <v:fill on="f" focussize="0,0"/>
            <v:stroke on="f" joinstyle="miter"/>
            <v:imagedata r:id="rId8" o:title=""/>
            <o:lock v:ext="edit" aspectratio="f"/>
            <w10:wrap type="none"/>
            <w10:anchorlock/>
          </v:shape>
        </w:pict>
      </w:r>
      <w:r>
        <w:pict>
          <v:shape id="_x0000_i1029" o:spt="75" type="#_x0000_t75" style="height:251.25pt;width:652.5pt;" filled="f" o:preferrelative="t" stroked="f" coordsize="21600,21600">
            <v:path/>
            <v:fill on="f" focussize="0,0"/>
            <v:stroke on="f" joinstyle="miter"/>
            <v:imagedata r:id="rId9" o:title=""/>
            <o:lock v:ext="edit" aspectratio="f"/>
            <w10:wrap type="none"/>
            <w10:anchorlock/>
          </v:shape>
        </w:pict>
      </w:r>
      <w:r>
        <w:pict>
          <v:shape id="_x0000_i1030" o:spt="75" type="#_x0000_t75" style="height:279.75pt;width:652.5pt;" filled="f" o:preferrelative="t" stroked="f" coordsize="21600,21600">
            <v:path/>
            <v:fill on="f" focussize="0,0"/>
            <v:stroke on="f" joinstyle="miter"/>
            <v:imagedata r:id="rId10" o:title=""/>
            <o:lock v:ext="edit" aspectratio="f"/>
            <w10:wrap type="none"/>
            <w10:anchorlock/>
          </v:shape>
        </w:pict>
      </w:r>
      <w:r>
        <w:drawing>
          <wp:inline distT="0" distB="0" distL="114300" distR="114300">
            <wp:extent cx="8286750" cy="3190875"/>
            <wp:effectExtent l="0" t="0" r="0" b="9525"/>
            <wp:docPr id="1" name="图片 42"/>
            <wp:cNvGraphicFramePr/>
            <a:graphic xmlns:a="http://schemas.openxmlformats.org/drawingml/2006/main">
              <a:graphicData uri="http://schemas.openxmlformats.org/drawingml/2006/picture">
                <pic:pic xmlns:pic="http://schemas.openxmlformats.org/drawingml/2006/picture">
                  <pic:nvPicPr>
                    <pic:cNvPr id="1" name="图片 42"/>
                    <pic:cNvPicPr/>
                  </pic:nvPicPr>
                  <pic:blipFill>
                    <a:blip r:embed="rId11"/>
                    <a:stretch>
                      <a:fillRect/>
                    </a:stretch>
                  </pic:blipFill>
                  <pic:spPr>
                    <a:xfrm>
                      <a:off x="0" y="0"/>
                      <a:ext cx="8286750" cy="3190875"/>
                    </a:xfrm>
                    <a:prstGeom prst="rect">
                      <a:avLst/>
                    </a:prstGeom>
                    <a:noFill/>
                    <a:ln>
                      <a:noFill/>
                    </a:ln>
                  </pic:spPr>
                </pic:pic>
              </a:graphicData>
            </a:graphic>
          </wp:inline>
        </w:drawing>
      </w:r>
      <w:r>
        <w:drawing>
          <wp:inline distT="0" distB="0" distL="114300" distR="114300">
            <wp:extent cx="8286750" cy="3190875"/>
            <wp:effectExtent l="0" t="0" r="0" b="9525"/>
            <wp:docPr id="2" name="图片 43"/>
            <wp:cNvGraphicFramePr/>
            <a:graphic xmlns:a="http://schemas.openxmlformats.org/drawingml/2006/main">
              <a:graphicData uri="http://schemas.openxmlformats.org/drawingml/2006/picture">
                <pic:pic xmlns:pic="http://schemas.openxmlformats.org/drawingml/2006/picture">
                  <pic:nvPicPr>
                    <pic:cNvPr id="2" name="图片 43"/>
                    <pic:cNvPicPr/>
                  </pic:nvPicPr>
                  <pic:blipFill>
                    <a:blip r:embed="rId12"/>
                    <a:stretch>
                      <a:fillRect/>
                    </a:stretch>
                  </pic:blipFill>
                  <pic:spPr>
                    <a:xfrm>
                      <a:off x="0" y="0"/>
                      <a:ext cx="8286750" cy="3190875"/>
                    </a:xfrm>
                    <a:prstGeom prst="rect">
                      <a:avLst/>
                    </a:prstGeom>
                    <a:noFill/>
                    <a:ln>
                      <a:noFill/>
                    </a:ln>
                  </pic:spPr>
                </pic:pic>
              </a:graphicData>
            </a:graphic>
          </wp:inline>
        </w:drawing>
      </w:r>
      <w:r>
        <w:pict>
          <v:shape id="_x0000_i1031" o:spt="75" type="#_x0000_t75" style="height:261pt;width:652.5pt;" filled="f" o:preferrelative="t" stroked="f" coordsize="21600,21600">
            <v:path/>
            <v:fill on="f" focussize="0,0"/>
            <v:stroke on="f" joinstyle="miter"/>
            <v:imagedata r:id="rId13" o:title=""/>
            <o:lock v:ext="edit" aspectratio="f"/>
            <w10:wrap type="none"/>
            <w10:anchorlock/>
          </v:shape>
        </w:pict>
      </w:r>
      <w:r>
        <w:pict>
          <v:shape id="_x0000_i1032" o:spt="75" type="#_x0000_t75" style="height:279.75pt;width:652.5pt;" filled="f" o:preferrelative="t" stroked="f" coordsize="21600,21600">
            <v:path/>
            <v:fill on="f" focussize="0,0"/>
            <v:stroke on="f" joinstyle="miter"/>
            <v:imagedata r:id="rId14" o:title=""/>
            <o:lock v:ext="edit" aspectratio="f"/>
            <w10:wrap type="none"/>
            <w10:anchorlock/>
          </v:shape>
        </w:pict>
      </w:r>
      <w:r>
        <w:pict>
          <v:shape id="_x0000_i1033" o:spt="75" type="#_x0000_t75" style="height:261pt;width:652.5pt;" filled="f" o:preferrelative="t" stroked="f" coordsize="21600,21600">
            <v:path/>
            <v:fill on="f" focussize="0,0"/>
            <v:stroke on="f" joinstyle="miter"/>
            <v:imagedata r:id="rId15" o:title=""/>
            <o:lock v:ext="edit" aspectratio="f"/>
            <w10:wrap type="none"/>
            <w10:anchorlock/>
          </v:shape>
        </w:pict>
      </w:r>
      <w:r>
        <w:pict>
          <v:shape id="_x0000_i1034" o:spt="75" type="#_x0000_t75" style="height:278.25pt;width:652.5pt;" filled="f" o:preferrelative="t" stroked="f" coordsize="21600,21600">
            <v:path/>
            <v:fill on="f" focussize="0,0"/>
            <v:stroke on="f" joinstyle="miter"/>
            <v:imagedata r:id="rId16" o:title=""/>
            <o:lock v:ext="edit" aspectratio="f"/>
            <w10:wrap type="none"/>
            <w10:anchorlock/>
          </v:shape>
        </w:pict>
      </w:r>
      <w:r>
        <w:pict>
          <v:shape id="_x0000_i1035" o:spt="75" type="#_x0000_t75" style="height:270pt;width:652.5pt;" filled="f" o:preferrelative="t" stroked="f" coordsize="21600,21600">
            <v:path/>
            <v:fill on="f" focussize="0,0"/>
            <v:stroke on="f" joinstyle="miter"/>
            <v:imagedata r:id="rId17" o:title=""/>
            <o:lock v:ext="edit" aspectratio="f"/>
            <w10:wrap type="none"/>
            <w10:anchorlock/>
          </v:shape>
        </w:pict>
      </w:r>
      <w:r>
        <w:drawing>
          <wp:inline distT="0" distB="0" distL="114300" distR="114300">
            <wp:extent cx="8286750" cy="3667125"/>
            <wp:effectExtent l="0" t="0" r="0" b="9525"/>
            <wp:docPr id="3" name="图片 44"/>
            <wp:cNvGraphicFramePr/>
            <a:graphic xmlns:a="http://schemas.openxmlformats.org/drawingml/2006/main">
              <a:graphicData uri="http://schemas.openxmlformats.org/drawingml/2006/picture">
                <pic:pic xmlns:pic="http://schemas.openxmlformats.org/drawingml/2006/picture">
                  <pic:nvPicPr>
                    <pic:cNvPr id="3" name="图片 44"/>
                    <pic:cNvPicPr/>
                  </pic:nvPicPr>
                  <pic:blipFill>
                    <a:blip r:embed="rId18"/>
                    <a:stretch>
                      <a:fillRect/>
                    </a:stretch>
                  </pic:blipFill>
                  <pic:spPr>
                    <a:xfrm>
                      <a:off x="0" y="0"/>
                      <a:ext cx="8286750" cy="3667125"/>
                    </a:xfrm>
                    <a:prstGeom prst="rect">
                      <a:avLst/>
                    </a:prstGeom>
                    <a:noFill/>
                    <a:ln>
                      <a:noFill/>
                    </a:ln>
                  </pic:spPr>
                </pic:pic>
              </a:graphicData>
            </a:graphic>
          </wp:inline>
        </w:drawing>
      </w:r>
      <w:r>
        <w:object>
          <v:shape id="_x0000_i1036" o:spt="75" type="#_x0000_t75" style="height:266.25pt;width:652.5pt;" o:ole="t" filled="f" o:preferrelative="t" stroked="f" coordsize="21600,21600">
            <v:path/>
            <v:fill on="f" focussize="0,0"/>
            <v:stroke on="f" joinstyle="miter"/>
            <v:imagedata r:id="rId20" o:title=""/>
            <o:lock v:ext="edit" aspectratio="f"/>
            <w10:wrap type="none"/>
            <w10:anchorlock/>
          </v:shape>
          <o:OLEObject Type="Embed" ProgID="Excel.Sheet.12" ShapeID="_x0000_i1036" DrawAspect="Content" ObjectID="_1468075725" r:id="rId19">
            <o:LockedField>false</o:LockedField>
          </o:OLEObject>
        </w:object>
      </w:r>
      <w:r>
        <w:pict>
          <v:shape id="_x0000_i1037" o:spt="75" type="#_x0000_t75" style="height:288.75pt;width:652.5pt;" filled="f" o:preferrelative="t" stroked="f" coordsize="21600,21600">
            <v:path/>
            <v:fill on="f" focussize="0,0"/>
            <v:stroke on="f" joinstyle="miter"/>
            <v:imagedata r:id="rId21" o:title=""/>
            <o:lock v:ext="edit" aspectratio="f"/>
            <w10:wrap type="none"/>
            <w10:anchorlock/>
          </v:shape>
        </w:pict>
      </w:r>
      <w:r>
        <w:pict>
          <v:shape id="_x0000_i1038" o:spt="75" type="#_x0000_t75" style="height:242.25pt;width:652.5pt;" filled="f" o:preferrelative="t" stroked="f" coordsize="21600,21600">
            <v:path/>
            <v:fill on="f" focussize="0,0"/>
            <v:stroke on="f" joinstyle="miter"/>
            <v:imagedata r:id="rId22" o:title=""/>
            <o:lock v:ext="edit" aspectratio="f"/>
            <w10:wrap type="none"/>
            <w10:anchorlock/>
          </v:shape>
        </w:pict>
      </w:r>
      <w:r>
        <w:drawing>
          <wp:inline distT="0" distB="0" distL="114300" distR="114300">
            <wp:extent cx="8286750" cy="3076575"/>
            <wp:effectExtent l="0" t="0" r="0" b="9525"/>
            <wp:docPr id="4" name="图片 46"/>
            <wp:cNvGraphicFramePr/>
            <a:graphic xmlns:a="http://schemas.openxmlformats.org/drawingml/2006/main">
              <a:graphicData uri="http://schemas.openxmlformats.org/drawingml/2006/picture">
                <pic:pic xmlns:pic="http://schemas.openxmlformats.org/drawingml/2006/picture">
                  <pic:nvPicPr>
                    <pic:cNvPr id="4" name="图片 46"/>
                    <pic:cNvPicPr/>
                  </pic:nvPicPr>
                  <pic:blipFill>
                    <a:blip r:embed="rId23"/>
                    <a:stretch>
                      <a:fillRect/>
                    </a:stretch>
                  </pic:blipFill>
                  <pic:spPr>
                    <a:xfrm>
                      <a:off x="0" y="0"/>
                      <a:ext cx="8286750" cy="3076575"/>
                    </a:xfrm>
                    <a:prstGeom prst="rect">
                      <a:avLst/>
                    </a:prstGeom>
                    <a:noFill/>
                    <a:ln>
                      <a:noFill/>
                    </a:ln>
                  </pic:spPr>
                </pic:pic>
              </a:graphicData>
            </a:graphic>
          </wp:inline>
        </w:drawing>
      </w:r>
      <w:r>
        <w:pict>
          <v:shape id="_x0000_i1039" o:spt="75" type="#_x0000_t75" style="height:242.25pt;width:652.5pt;" filled="f" o:preferrelative="t" stroked="f" coordsize="21600,21600">
            <v:path/>
            <v:fill on="f" focussize="0,0"/>
            <v:stroke on="f" joinstyle="miter"/>
            <v:imagedata r:id="rId24" o:title=""/>
            <o:lock v:ext="edit" aspectratio="f"/>
            <w10:wrap type="none"/>
            <w10:anchorlock/>
          </v:shape>
        </w:pict>
      </w:r>
      <w:r>
        <w:drawing>
          <wp:inline distT="0" distB="0" distL="114300" distR="114300">
            <wp:extent cx="6274435" cy="3142615"/>
            <wp:effectExtent l="0" t="0" r="12065" b="635"/>
            <wp:docPr id="5" name="图片 5" descr="04c051bc3cb3a1b49a4c6b7022635b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4c051bc3cb3a1b49a4c6b7022635bf9"/>
                    <pic:cNvPicPr>
                      <a:picLocks noChangeAspect="1"/>
                    </pic:cNvPicPr>
                  </pic:nvPicPr>
                  <pic:blipFill>
                    <a:blip r:embed="rId25"/>
                    <a:stretch>
                      <a:fillRect/>
                    </a:stretch>
                  </pic:blipFill>
                  <pic:spPr>
                    <a:xfrm>
                      <a:off x="0" y="0"/>
                      <a:ext cx="6274435" cy="3142615"/>
                    </a:xfrm>
                    <a:prstGeom prst="rect">
                      <a:avLst/>
                    </a:prstGeom>
                  </pic:spPr>
                </pic:pic>
              </a:graphicData>
            </a:graphic>
          </wp:inline>
        </w:drawing>
      </w:r>
      <w:r>
        <w:drawing>
          <wp:inline distT="0" distB="0" distL="114300" distR="114300">
            <wp:extent cx="8286750" cy="3324225"/>
            <wp:effectExtent l="0" t="0" r="0" b="9525"/>
            <wp:docPr id="6" name="图片 48"/>
            <wp:cNvGraphicFramePr/>
            <a:graphic xmlns:a="http://schemas.openxmlformats.org/drawingml/2006/main">
              <a:graphicData uri="http://schemas.openxmlformats.org/drawingml/2006/picture">
                <pic:pic xmlns:pic="http://schemas.openxmlformats.org/drawingml/2006/picture">
                  <pic:nvPicPr>
                    <pic:cNvPr id="6" name="图片 48"/>
                    <pic:cNvPicPr/>
                  </pic:nvPicPr>
                  <pic:blipFill>
                    <a:blip r:embed="rId26"/>
                    <a:stretch>
                      <a:fillRect/>
                    </a:stretch>
                  </pic:blipFill>
                  <pic:spPr>
                    <a:xfrm>
                      <a:off x="0" y="0"/>
                      <a:ext cx="8286750" cy="3324225"/>
                    </a:xfrm>
                    <a:prstGeom prst="rect">
                      <a:avLst/>
                    </a:prstGeom>
                    <a:noFill/>
                    <a:ln>
                      <a:noFill/>
                    </a:ln>
                  </pic:spPr>
                </pic:pic>
              </a:graphicData>
            </a:graphic>
          </wp:inline>
        </w:drawing>
      </w:r>
      <w:r>
        <w:drawing>
          <wp:inline distT="0" distB="0" distL="114300" distR="114300">
            <wp:extent cx="8286750" cy="3552825"/>
            <wp:effectExtent l="0" t="0" r="0" b="9525"/>
            <wp:docPr id="7" name="图片 49"/>
            <wp:cNvGraphicFramePr/>
            <a:graphic xmlns:a="http://schemas.openxmlformats.org/drawingml/2006/main">
              <a:graphicData uri="http://schemas.openxmlformats.org/drawingml/2006/picture">
                <pic:pic xmlns:pic="http://schemas.openxmlformats.org/drawingml/2006/picture">
                  <pic:nvPicPr>
                    <pic:cNvPr id="7" name="图片 49"/>
                    <pic:cNvPicPr/>
                  </pic:nvPicPr>
                  <pic:blipFill>
                    <a:blip r:embed="rId27"/>
                    <a:stretch>
                      <a:fillRect/>
                    </a:stretch>
                  </pic:blipFill>
                  <pic:spPr>
                    <a:xfrm>
                      <a:off x="0" y="0"/>
                      <a:ext cx="8286750" cy="3552825"/>
                    </a:xfrm>
                    <a:prstGeom prst="rect">
                      <a:avLst/>
                    </a:prstGeom>
                    <a:noFill/>
                    <a:ln>
                      <a:noFill/>
                    </a:ln>
                  </pic:spPr>
                </pic:pic>
              </a:graphicData>
            </a:graphic>
          </wp:inline>
        </w:drawing>
      </w:r>
      <w:r>
        <w:pict>
          <v:shape id="_x0000_i1040" o:spt="75" type="#_x0000_t75" style="height:264pt;width:652.5pt;" filled="f" o:preferrelative="t" stroked="f" coordsize="21600,21600">
            <v:path/>
            <v:fill on="f" focussize="0,0"/>
            <v:stroke on="f" joinstyle="miter"/>
            <v:imagedata r:id="rId28" o:title=""/>
            <o:lock v:ext="edit" aspectratio="f"/>
            <w10:wrap type="none"/>
            <w10:anchorlock/>
          </v:shape>
        </w:pict>
      </w:r>
      <w:r>
        <w:pict>
          <v:shape id="_x0000_i1041" o:spt="75" type="#_x0000_t75" style="height:232.5pt;width:652.5pt;" filled="f" o:preferrelative="t" stroked="f" coordsize="21600,21600">
            <v:path/>
            <v:fill on="f" focussize="0,0"/>
            <v:stroke on="f" joinstyle="miter"/>
            <v:imagedata r:id="rId29" o:title=""/>
            <o:lock v:ext="edit" aspectratio="f"/>
            <w10:wrap type="none"/>
            <w10:anchorlock/>
          </v:shape>
        </w:pict>
      </w:r>
      <w:r>
        <w:pict>
          <v:shape id="_x0000_i1042" o:spt="75" type="#_x0000_t75" style="height:270pt;width:652.5pt;" filled="f" o:preferrelative="t" stroked="f" coordsize="21600,21600">
            <v:path/>
            <v:fill on="f" focussize="0,0"/>
            <v:stroke on="f" joinstyle="miter"/>
            <v:imagedata r:id="rId30" o:title=""/>
            <o:lock v:ext="edit" aspectratio="f"/>
            <w10:wrap type="none"/>
            <w10:anchorlock/>
          </v:shape>
        </w:pict>
      </w:r>
      <w:r>
        <w:drawing>
          <wp:inline distT="0" distB="0" distL="114300" distR="114300">
            <wp:extent cx="6496050" cy="2943225"/>
            <wp:effectExtent l="0" t="0" r="0" b="9525"/>
            <wp:docPr id="12" name="图片 12"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23"/>
                    <pic:cNvPicPr>
                      <a:picLocks noChangeAspect="1"/>
                    </pic:cNvPicPr>
                  </pic:nvPicPr>
                  <pic:blipFill>
                    <a:blip r:embed="rId31"/>
                    <a:stretch>
                      <a:fillRect/>
                    </a:stretch>
                  </pic:blipFill>
                  <pic:spPr>
                    <a:xfrm>
                      <a:off x="0" y="0"/>
                      <a:ext cx="6496050" cy="2943225"/>
                    </a:xfrm>
                    <a:prstGeom prst="rect">
                      <a:avLst/>
                    </a:prstGeom>
                  </pic:spPr>
                </pic:pic>
              </a:graphicData>
            </a:graphic>
          </wp:inline>
        </w:drawing>
      </w:r>
      <w:r>
        <w:pict>
          <v:shape id="_x0000_i1043" o:spt="75" type="#_x0000_t75" style="height:242.25pt;width:652.5pt;" filled="f" o:preferrelative="t" stroked="f" coordsize="21600,21600">
            <v:path/>
            <v:fill on="f" focussize="0,0"/>
            <v:stroke on="f" joinstyle="miter"/>
            <v:imagedata r:id="rId32" o:title=""/>
            <o:lock v:ext="edit" aspectratio="f"/>
            <w10:wrap type="none"/>
            <w10:anchorlock/>
          </v:shape>
        </w:pict>
      </w:r>
      <w:r>
        <w:pict>
          <v:shape id="_x0000_i1044" o:spt="75" type="#_x0000_t75" style="height:270pt;width:652.5pt;" filled="f" o:preferrelative="t" stroked="f" coordsize="21600,21600">
            <v:path/>
            <v:fill on="f" focussize="0,0"/>
            <v:stroke on="f" joinstyle="miter"/>
            <v:imagedata r:id="rId33" o:title=""/>
            <o:lock v:ext="edit" aspectratio="f"/>
            <w10:wrap type="none"/>
            <w10:anchorlock/>
          </v:shape>
        </w:pict>
      </w:r>
      <w:r>
        <w:pict>
          <v:shape id="_x0000_i1045" o:spt="75" type="#_x0000_t75" style="height:242.25pt;width:652.5pt;" filled="f" o:preferrelative="t" stroked="f" coordsize="21600,21600">
            <v:path/>
            <v:fill on="f" focussize="0,0"/>
            <v:stroke on="f" joinstyle="miter"/>
            <v:imagedata r:id="rId34" o:title=""/>
            <o:lock v:ext="edit" aspectratio="f"/>
            <w10:wrap type="none"/>
            <w10:anchorlock/>
          </v:shape>
        </w:pict>
      </w:r>
      <w:r>
        <w:pict>
          <v:shape id="_x0000_i1046" o:spt="75" type="#_x0000_t75" style="height:242.25pt;width:652.5pt;" filled="f" o:preferrelative="t" stroked="f" coordsize="21600,21600">
            <v:path/>
            <v:fill on="f" focussize="0,0"/>
            <v:stroke on="f" joinstyle="miter"/>
            <v:imagedata r:id="rId35" o:title=""/>
            <o:lock v:ext="edit" aspectratio="f"/>
            <w10:wrap type="none"/>
            <w10:anchorlock/>
          </v:shape>
        </w:pict>
      </w:r>
      <w:r>
        <w:pict>
          <v:shape id="_x0000_i1047" o:spt="75" type="#_x0000_t75" style="height:266.25pt;width:652.5pt;" filled="f" o:preferrelative="t" stroked="f" coordsize="21600,21600">
            <v:path/>
            <v:fill on="f" focussize="0,0"/>
            <v:stroke on="f" joinstyle="miter"/>
            <v:imagedata r:id="rId36" o:title=""/>
            <o:lock v:ext="edit" aspectratio="f"/>
            <w10:wrap type="none"/>
            <w10:anchorlock/>
          </v:shape>
        </w:pict>
      </w:r>
      <w:r>
        <w:pict>
          <v:shape id="_x0000_i1048" o:spt="75" type="#_x0000_t75" style="height:336.75pt;width:652.5pt;" filled="f" o:preferrelative="t" stroked="f" coordsize="21600,21600">
            <v:path/>
            <v:fill on="f" focussize="0,0"/>
            <v:stroke on="f" joinstyle="miter"/>
            <v:imagedata r:id="rId37" o:title=""/>
            <o:lock v:ext="edit" aspectratio="f"/>
            <w10:wrap type="none"/>
            <w10:anchorlock/>
          </v:shape>
        </w:pict>
      </w:r>
      <w:r>
        <w:drawing>
          <wp:inline distT="0" distB="0" distL="114300" distR="114300">
            <wp:extent cx="8286750" cy="4295775"/>
            <wp:effectExtent l="0" t="0" r="0" b="9525"/>
            <wp:docPr id="8" name="图片 50"/>
            <wp:cNvGraphicFramePr/>
            <a:graphic xmlns:a="http://schemas.openxmlformats.org/drawingml/2006/main">
              <a:graphicData uri="http://schemas.openxmlformats.org/drawingml/2006/picture">
                <pic:pic xmlns:pic="http://schemas.openxmlformats.org/drawingml/2006/picture">
                  <pic:nvPicPr>
                    <pic:cNvPr id="8" name="图片 50"/>
                    <pic:cNvPicPr/>
                  </pic:nvPicPr>
                  <pic:blipFill>
                    <a:blip r:embed="rId38"/>
                    <a:stretch>
                      <a:fillRect/>
                    </a:stretch>
                  </pic:blipFill>
                  <pic:spPr>
                    <a:xfrm>
                      <a:off x="0" y="0"/>
                      <a:ext cx="8286750" cy="4295775"/>
                    </a:xfrm>
                    <a:prstGeom prst="rect">
                      <a:avLst/>
                    </a:prstGeom>
                    <a:noFill/>
                    <a:ln>
                      <a:noFill/>
                    </a:ln>
                  </pic:spPr>
                </pic:pic>
              </a:graphicData>
            </a:graphic>
          </wp:inline>
        </w:drawing>
      </w:r>
      <w:r>
        <w:pict>
          <v:shape id="_x0000_i1049" o:spt="75" type="#_x0000_t75" style="height:351.75pt;width:652.5pt;" filled="f" o:preferrelative="t" stroked="f" coordsize="21600,21600">
            <v:path/>
            <v:fill on="f" focussize="0,0"/>
            <v:stroke on="f" joinstyle="miter"/>
            <v:imagedata r:id="rId39" o:title=""/>
            <o:lock v:ext="edit" aspectratio="f"/>
            <w10:wrap type="none"/>
            <w10:anchorlock/>
          </v:shape>
        </w:pict>
      </w:r>
      <w:r>
        <w:pict>
          <v:shape id="_x0000_i1050" o:spt="75" type="#_x0000_t75" style="height:332.25pt;width:652.5pt;" filled="f" o:preferrelative="t" stroked="f" coordsize="21600,21600">
            <v:path/>
            <v:fill on="f" focussize="0,0"/>
            <v:stroke on="f" joinstyle="miter"/>
            <v:imagedata r:id="rId40" o:title=""/>
            <o:lock v:ext="edit" aspectratio="f"/>
            <w10:wrap type="none"/>
            <w10:anchorlock/>
          </v:shape>
        </w:pict>
      </w:r>
      <w:r>
        <w:drawing>
          <wp:inline distT="0" distB="0" distL="114300" distR="114300">
            <wp:extent cx="8286750" cy="3838575"/>
            <wp:effectExtent l="0" t="0" r="0" b="9525"/>
            <wp:docPr id="9"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1"/>
                    <pic:cNvPicPr>
                      <a:picLocks noChangeAspect="1"/>
                    </pic:cNvPicPr>
                  </pic:nvPicPr>
                  <pic:blipFill>
                    <a:blip r:embed="rId41"/>
                    <a:stretch>
                      <a:fillRect/>
                    </a:stretch>
                  </pic:blipFill>
                  <pic:spPr>
                    <a:xfrm>
                      <a:off x="0" y="0"/>
                      <a:ext cx="8286750" cy="3838575"/>
                    </a:xfrm>
                    <a:prstGeom prst="rect">
                      <a:avLst/>
                    </a:prstGeom>
                    <a:noFill/>
                    <a:ln>
                      <a:noFill/>
                    </a:ln>
                  </pic:spPr>
                </pic:pic>
              </a:graphicData>
            </a:graphic>
          </wp:inline>
        </w:drawing>
      </w:r>
      <w:r>
        <w:pict>
          <v:shape id="_x0000_i1051" o:spt="75" type="#_x0000_t75" style="height:336pt;width:652.5pt;" filled="f" o:preferrelative="t" stroked="f" coordsize="21600,21600">
            <v:path/>
            <v:fill on="f" focussize="0,0"/>
            <v:stroke on="f" joinstyle="miter"/>
            <v:imagedata r:id="rId42" o:title=""/>
            <o:lock v:ext="edit" aspectratio="t"/>
            <w10:wrap type="none"/>
            <w10:anchorlock/>
          </v:shape>
        </w:pict>
      </w:r>
      <w:r>
        <w:pict>
          <v:shape id="_x0000_i1052" o:spt="75" type="#_x0000_t75" style="height:292.5pt;width:652.5pt;" filled="f" o:preferrelative="t" stroked="f" coordsize="21600,21600">
            <v:path/>
            <v:fill on="f" focussize="0,0"/>
            <v:stroke on="f" joinstyle="miter"/>
            <v:imagedata r:id="rId43" o:title=""/>
            <o:lock v:ext="edit" aspectratio="f"/>
            <w10:wrap type="none"/>
            <w10:anchorlock/>
          </v:shape>
        </w:pict>
      </w:r>
      <w:r>
        <w:drawing>
          <wp:inline distT="0" distB="0" distL="114300" distR="114300">
            <wp:extent cx="6270625" cy="3396615"/>
            <wp:effectExtent l="0" t="0" r="15875" b="13335"/>
            <wp:docPr id="10" name="图片 10" descr="739266e5487d05a9ccc32c1fcd52f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739266e5487d05a9ccc32c1fcd52f839"/>
                    <pic:cNvPicPr>
                      <a:picLocks noChangeAspect="1"/>
                    </pic:cNvPicPr>
                  </pic:nvPicPr>
                  <pic:blipFill>
                    <a:blip r:embed="rId44"/>
                    <a:stretch>
                      <a:fillRect/>
                    </a:stretch>
                  </pic:blipFill>
                  <pic:spPr>
                    <a:xfrm>
                      <a:off x="0" y="0"/>
                      <a:ext cx="6270625" cy="3396615"/>
                    </a:xfrm>
                    <a:prstGeom prst="rect">
                      <a:avLst/>
                    </a:prstGeom>
                  </pic:spPr>
                </pic:pic>
              </a:graphicData>
            </a:graphic>
          </wp:inline>
        </w:drawing>
      </w:r>
      <w:r>
        <w:drawing>
          <wp:inline distT="0" distB="0" distL="114300" distR="114300">
            <wp:extent cx="6253480" cy="3557905"/>
            <wp:effectExtent l="0" t="0" r="13970" b="4445"/>
            <wp:docPr id="11" name="图片 11" descr="02ab28cad613fc756456be0430a8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2ab28cad613fc756456be0430a86860"/>
                    <pic:cNvPicPr>
                      <a:picLocks noChangeAspect="1"/>
                    </pic:cNvPicPr>
                  </pic:nvPicPr>
                  <pic:blipFill>
                    <a:blip r:embed="rId45"/>
                    <a:stretch>
                      <a:fillRect/>
                    </a:stretch>
                  </pic:blipFill>
                  <pic:spPr>
                    <a:xfrm>
                      <a:off x="0" y="0"/>
                      <a:ext cx="6253480" cy="3557905"/>
                    </a:xfrm>
                    <a:prstGeom prst="rect">
                      <a:avLst/>
                    </a:prstGeom>
                  </pic:spPr>
                </pic:pic>
              </a:graphicData>
            </a:graphic>
          </wp:inline>
        </w:drawing>
      </w:r>
      <w:r>
        <w:pict>
          <v:shape id="_x0000_i1053" o:spt="75" type="#_x0000_t75" style="height:368.25pt;width:652.5pt;" filled="f" o:preferrelative="t" stroked="f" coordsize="21600,21600">
            <v:path/>
            <v:fill on="f" focussize="0,0"/>
            <v:stroke on="f" joinstyle="miter"/>
            <v:imagedata r:id="rId46" o:title=""/>
            <o:lock v:ext="edit" aspectratio="f"/>
            <w10:wrap type="none"/>
            <w10:anchorlock/>
          </v:shape>
        </w:pict>
      </w:r>
    </w:p>
    <w:p>
      <w:pPr>
        <w:keepNext w:val="0"/>
        <w:keepLines w:val="0"/>
        <w:pageBreakBefore w:val="0"/>
        <w:widowControl/>
        <w:kinsoku/>
        <w:wordWrap/>
        <w:overflowPunct/>
        <w:topLinePunct w:val="0"/>
        <w:bidi w:val="0"/>
        <w:adjustRightInd/>
        <w:spacing w:line="578" w:lineRule="exact"/>
        <w:jc w:val="both"/>
        <w:textAlignment w:val="auto"/>
        <w:rPr>
          <w:rFonts w:ascii="仿宋_GB2312" w:hAnsi="仿宋_GB2312" w:eastAsia="仿宋_GB2312" w:cs="仿宋_GB2312"/>
          <w:kern w:val="0"/>
          <w:sz w:val="32"/>
          <w:szCs w:val="32"/>
        </w:rPr>
      </w:pPr>
    </w:p>
    <w:p>
      <w:pPr>
        <w:keepNext w:val="0"/>
        <w:keepLines w:val="0"/>
        <w:pageBreakBefore w:val="0"/>
        <w:kinsoku/>
        <w:wordWrap/>
        <w:overflowPunct/>
        <w:topLinePunct w:val="0"/>
        <w:bidi w:val="0"/>
        <w:adjustRightInd/>
        <w:ind w:firstLine="640" w:firstLineChars="200"/>
        <w:jc w:val="both"/>
        <w:textAlignment w:val="auto"/>
        <w:rPr>
          <w:rFonts w:ascii="黑体" w:hAnsi="黑体" w:eastAsia="黑体" w:cs="宋体"/>
          <w:bCs/>
          <w:kern w:val="0"/>
          <w:sz w:val="32"/>
          <w:szCs w:val="32"/>
        </w:rPr>
      </w:pPr>
      <w:r>
        <w:rPr>
          <w:rFonts w:hint="eastAsia" w:ascii="黑体" w:hAnsi="黑体" w:eastAsia="黑体" w:cs="宋体"/>
          <w:bCs/>
          <w:kern w:val="0"/>
          <w:sz w:val="32"/>
          <w:szCs w:val="32"/>
        </w:rPr>
        <w:t>十二、其他需说明的事项</w:t>
      </w:r>
    </w:p>
    <w:p>
      <w:pPr>
        <w:keepNext w:val="0"/>
        <w:keepLines w:val="0"/>
        <w:pageBreakBefore w:val="0"/>
        <w:kinsoku/>
        <w:wordWrap/>
        <w:overflowPunct/>
        <w:topLinePunct w:val="0"/>
        <w:bidi w:val="0"/>
        <w:adjustRightInd/>
        <w:ind w:firstLine="640" w:firstLineChars="200"/>
        <w:jc w:val="both"/>
        <w:textAlignment w:val="auto"/>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本单位</w:t>
      </w:r>
      <w:r>
        <w:rPr>
          <w:rFonts w:hint="eastAsia" w:hAnsi="仿宋_GB2312" w:eastAsia="仿宋_GB2312"/>
          <w:sz w:val="32"/>
          <w:szCs w:val="32"/>
        </w:rPr>
        <w:t>本年度安排sm项目7</w:t>
      </w:r>
      <w:r>
        <w:rPr>
          <w:rFonts w:hAnsi="仿宋_GB2312" w:eastAsia="仿宋_GB2312"/>
          <w:sz w:val="32"/>
          <w:szCs w:val="32"/>
        </w:rPr>
        <w:t>个</w:t>
      </w:r>
      <w:r>
        <w:rPr>
          <w:rFonts w:hint="eastAsia" w:hAnsi="仿宋_GB2312" w:eastAsia="仿宋_GB2312"/>
          <w:sz w:val="32"/>
          <w:szCs w:val="32"/>
        </w:rPr>
        <w:t>，金额</w:t>
      </w:r>
      <w:r>
        <w:rPr>
          <w:rFonts w:hint="eastAsia" w:ascii="仿宋_GB2312" w:eastAsia="仿宋_GB2312"/>
          <w:sz w:val="32"/>
          <w:szCs w:val="32"/>
          <w:lang w:val="en-US" w:eastAsia="zh-CN"/>
        </w:rPr>
        <w:t>18476.31</w:t>
      </w:r>
      <w:r>
        <w:rPr>
          <w:rFonts w:hAnsi="仿宋_GB2312" w:eastAsia="仿宋_GB2312"/>
          <w:sz w:val="32"/>
          <w:szCs w:val="32"/>
        </w:rPr>
        <w:t>万元</w:t>
      </w:r>
      <w:r>
        <w:rPr>
          <w:rFonts w:hint="eastAsia" w:hAnsi="仿宋_GB2312" w:eastAsia="仿宋_GB2312"/>
          <w:sz w:val="32"/>
          <w:szCs w:val="32"/>
        </w:rPr>
        <w:t>。</w:t>
      </w:r>
    </w:p>
    <w:p>
      <w:pPr>
        <w:keepNext w:val="0"/>
        <w:keepLines w:val="0"/>
        <w:pageBreakBefore w:val="0"/>
        <w:kinsoku/>
        <w:wordWrap/>
        <w:overflowPunct/>
        <w:topLinePunct w:val="0"/>
        <w:bidi w:val="0"/>
        <w:adjustRightInd/>
        <w:jc w:val="both"/>
        <w:textAlignment w:val="auto"/>
        <w:outlineLvl w:val="0"/>
        <w:rPr>
          <w:rFonts w:ascii="黑体" w:hAnsi="黑体" w:eastAsia="黑体"/>
          <w:sz w:val="32"/>
          <w:szCs w:val="32"/>
        </w:rPr>
      </w:pPr>
      <w:bookmarkStart w:id="30" w:name="_Toc24143"/>
      <w:bookmarkStart w:id="31" w:name="_Toc3250"/>
      <w:r>
        <w:rPr>
          <w:rFonts w:hint="eastAsia" w:ascii="黑体" w:hAnsi="黑体" w:eastAsia="黑体"/>
          <w:sz w:val="32"/>
          <w:szCs w:val="32"/>
        </w:rPr>
        <w:br w:type="page"/>
      </w:r>
      <w:r>
        <w:rPr>
          <w:rFonts w:hint="eastAsia" w:ascii="黑体" w:hAnsi="黑体" w:eastAsia="黑体"/>
          <w:sz w:val="32"/>
          <w:szCs w:val="32"/>
        </w:rPr>
        <w:t>第三部分 专业名词解释</w:t>
      </w:r>
      <w:bookmarkEnd w:id="30"/>
      <w:bookmarkEnd w:id="31"/>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一、财政拨款收入：</w:t>
      </w:r>
      <w:r>
        <w:rPr>
          <w:rFonts w:hint="eastAsia" w:ascii="仿宋_GB2312" w:eastAsia="仿宋_GB2312"/>
          <w:sz w:val="32"/>
          <w:szCs w:val="32"/>
        </w:rPr>
        <w:t>指同级财政当年拨付的资金。</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二、上级补助收入：</w:t>
      </w:r>
      <w:r>
        <w:rPr>
          <w:rFonts w:hint="eastAsia" w:ascii="仿宋_GB2312" w:eastAsia="仿宋_GB2312"/>
          <w:sz w:val="32"/>
          <w:szCs w:val="32"/>
        </w:rPr>
        <w:t>指事业单位从主管部门和上级单位取得的非财政补助收入。</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三、事业收入：</w:t>
      </w:r>
      <w:r>
        <w:rPr>
          <w:rFonts w:hint="eastAsia" w:ascii="仿宋_GB2312" w:eastAsia="仿宋_GB2312"/>
          <w:sz w:val="32"/>
          <w:szCs w:val="32"/>
        </w:rPr>
        <w:t>指事业单位开展专业业务活动及其辅助活动所取得的收入。</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四、经营收入：</w:t>
      </w:r>
      <w:r>
        <w:rPr>
          <w:rFonts w:hint="eastAsia" w:ascii="仿宋_GB2312" w:eastAsia="仿宋_GB2312"/>
          <w:sz w:val="32"/>
          <w:szCs w:val="32"/>
        </w:rPr>
        <w:t>指事业单位在专业业务活动及其辅助活动之外开展非独立核算经营活动取得的收入。</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五、附属单位上缴收入：</w:t>
      </w:r>
      <w:r>
        <w:rPr>
          <w:rFonts w:hint="eastAsia" w:ascii="仿宋_GB2312" w:eastAsia="仿宋_GB2312"/>
          <w:sz w:val="32"/>
          <w:szCs w:val="32"/>
        </w:rPr>
        <w:t>指事业单位附属的独立核算单位按有关规定上缴的收入。</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六、其他收入：</w:t>
      </w:r>
      <w:r>
        <w:rPr>
          <w:rFonts w:hint="eastAsia" w:ascii="仿宋_GB2312" w:eastAsia="仿宋_GB2312"/>
          <w:sz w:val="32"/>
          <w:szCs w:val="32"/>
        </w:rPr>
        <w:t>指除上述“财政拨款收入”、“事业收入”、“经营收入”、“附属单位上缴收入”等之外取得的收入。</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七、年初结转和结余：</w:t>
      </w:r>
      <w:r>
        <w:rPr>
          <w:rFonts w:hint="eastAsia" w:ascii="仿宋_GB2312" w:eastAsia="仿宋_GB2312"/>
          <w:sz w:val="32"/>
          <w:szCs w:val="32"/>
        </w:rPr>
        <w:t>指以前年度支出预算因客观条件变化未执行完毕、结转到本年度按有关规定继续使用的资金，既包括财政拨款结转和结余，也包括事业收入、经营收入、其他收入的结转和结余。</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八、年末结转和结余：</w:t>
      </w:r>
      <w:r>
        <w:rPr>
          <w:rFonts w:hint="eastAsia" w:ascii="仿宋_GB2312" w:eastAsia="仿宋_GB2312"/>
          <w:sz w:val="32"/>
          <w:szCs w:val="32"/>
        </w:rPr>
        <w:t>指本年度或以前年度预算安排、因客观条件发生变化无法按原计划实施，需要延迟到以后年度按有关规定继续使用的资金，既包括财政拨款结转和结余，也包括事业收入、经营收入、其他收入的结转和结余。</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九、基本支出：</w:t>
      </w:r>
      <w:r>
        <w:rPr>
          <w:rFonts w:hint="eastAsia" w:ascii="仿宋_GB2312" w:eastAsia="仿宋_GB2312"/>
          <w:sz w:val="32"/>
          <w:szCs w:val="32"/>
        </w:rPr>
        <w:t>指为保障机构正常运转、完成日常工作任务而发生的人员支出和公用支出。</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十、项目支出：</w:t>
      </w:r>
      <w:r>
        <w:rPr>
          <w:rFonts w:hint="eastAsia" w:ascii="仿宋_GB2312" w:eastAsia="仿宋_GB2312"/>
          <w:sz w:val="32"/>
          <w:szCs w:val="32"/>
        </w:rPr>
        <w:t>指在基本支出之外为完成特定行政任务和事业发展目标所发生的支出。</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十一、经营支出：</w:t>
      </w:r>
      <w:r>
        <w:rPr>
          <w:rFonts w:hint="eastAsia" w:ascii="仿宋_GB2312" w:eastAsia="仿宋_GB2312"/>
          <w:sz w:val="32"/>
          <w:szCs w:val="32"/>
        </w:rPr>
        <w:t>指事业单位在专业业务活动及其辅助活动之外开展非独立核算经营活动发生的支出。</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十二、对附属单位补助支出：</w:t>
      </w:r>
      <w:r>
        <w:rPr>
          <w:rFonts w:hint="eastAsia" w:ascii="仿宋_GB2312" w:eastAsia="仿宋_GB2312"/>
          <w:sz w:val="32"/>
          <w:szCs w:val="32"/>
        </w:rPr>
        <w:t>指事业单位发生的用非财政预算资金对附属单位的补助支出。</w:t>
      </w:r>
    </w:p>
    <w:p>
      <w:pPr>
        <w:keepNext w:val="0"/>
        <w:keepLines w:val="0"/>
        <w:pageBreakBefore w:val="0"/>
        <w:kinsoku/>
        <w:wordWrap/>
        <w:overflowPunct/>
        <w:topLinePunct w:val="0"/>
        <w:autoSpaceDE w:val="0"/>
        <w:autoSpaceDN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十三、“三公”经费：</w:t>
      </w:r>
      <w:r>
        <w:rPr>
          <w:rFonts w:hint="eastAsia" w:ascii="仿宋_GB2312" w:eastAsia="仿宋_GB2312"/>
          <w:sz w:val="32"/>
          <w:szCs w:val="32"/>
        </w:rPr>
        <w:t>指用财政拨款安排的因公出国（境）费、公务用车购置及运行费和公务接待费。其中，因公出国（境）费反映单位公务出国（境）的国际旅费、国外城市间交通费、住宿费、伙食费、培训费、公杂费等支出；公务用车购置费反映公务用车购置支出（含车辆购置税、牌照费）；公务用车运行维护费反映单位按规定保留的公务用车燃料费、维修费、过路过桥费、保险费、安全奖励费用等支出；公务接待费反映单位按规定开支的各类公务接待（含外宾接待）费用。</w:t>
      </w:r>
    </w:p>
    <w:p>
      <w:pPr>
        <w:keepNext w:val="0"/>
        <w:keepLines w:val="0"/>
        <w:pageBreakBefore w:val="0"/>
        <w:kinsoku/>
        <w:wordWrap/>
        <w:overflowPunct/>
        <w:topLinePunct w:val="0"/>
        <w:bidi w:val="0"/>
        <w:adjustRightInd/>
        <w:ind w:firstLine="643" w:firstLineChars="200"/>
        <w:jc w:val="both"/>
        <w:textAlignment w:val="auto"/>
        <w:rPr>
          <w:rFonts w:ascii="仿宋_GB2312" w:eastAsia="仿宋_GB2312"/>
          <w:sz w:val="32"/>
          <w:szCs w:val="32"/>
        </w:rPr>
      </w:pPr>
      <w:r>
        <w:rPr>
          <w:rFonts w:hint="eastAsia" w:ascii="仿宋_GB2312" w:eastAsia="仿宋_GB2312"/>
          <w:b/>
          <w:bCs/>
          <w:sz w:val="32"/>
          <w:szCs w:val="32"/>
        </w:rPr>
        <w:t>十四、机关运行经费：</w:t>
      </w:r>
      <w:r>
        <w:rPr>
          <w:rFonts w:hint="eastAsia" w:ascii="仿宋_GB2312" w:eastAsia="仿宋_GB2312"/>
          <w:sz w:val="32"/>
          <w:szCs w:val="32"/>
        </w:rPr>
        <w:t>行政单位和参照公务员法管理的事业单位财政拨款基本支出中的公用经费支出。</w:t>
      </w:r>
    </w:p>
    <w:p>
      <w:pPr>
        <w:keepNext w:val="0"/>
        <w:keepLines w:val="0"/>
        <w:pageBreakBefore w:val="0"/>
        <w:kinsoku/>
        <w:wordWrap/>
        <w:overflowPunct/>
        <w:topLinePunct w:val="0"/>
        <w:bidi w:val="0"/>
        <w:adjustRightInd/>
        <w:ind w:firstLine="640" w:firstLineChars="200"/>
        <w:jc w:val="both"/>
        <w:textAlignment w:val="auto"/>
        <w:outlineLvl w:val="0"/>
        <w:rPr>
          <w:rFonts w:ascii="黑体" w:hAnsi="黑体" w:eastAsia="黑体"/>
          <w:sz w:val="32"/>
          <w:szCs w:val="32"/>
        </w:rPr>
      </w:pPr>
      <w:r>
        <w:rPr>
          <w:rFonts w:hint="eastAsia" w:ascii="仿宋_GB2312" w:eastAsia="仿宋_GB2312"/>
          <w:sz w:val="32"/>
          <w:szCs w:val="32"/>
        </w:rPr>
        <w:br w:type="page"/>
      </w:r>
      <w:r>
        <w:rPr>
          <w:rFonts w:hint="eastAsia" w:ascii="黑体" w:hAnsi="黑体" w:eastAsia="黑体"/>
          <w:sz w:val="32"/>
          <w:szCs w:val="32"/>
        </w:rPr>
        <w:t>第四部分 部门决算报表（见附表）</w:t>
      </w: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32" w:name="_Toc6062"/>
      <w:bookmarkStart w:id="33" w:name="_Toc2183"/>
      <w:r>
        <w:rPr>
          <w:rFonts w:hint="eastAsia" w:ascii="黑体" w:hAnsi="黑体" w:eastAsia="仿宋_GB2312" w:cs="宋体"/>
          <w:bCs/>
          <w:kern w:val="0"/>
          <w:sz w:val="32"/>
          <w:szCs w:val="32"/>
        </w:rPr>
        <w:t>一、《收入支出决算总表》</w:t>
      </w:r>
      <w:bookmarkEnd w:id="32"/>
      <w:bookmarkEnd w:id="33"/>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34" w:name="_Toc24532"/>
      <w:bookmarkStart w:id="35" w:name="_Toc30364"/>
      <w:r>
        <w:rPr>
          <w:rFonts w:hint="eastAsia" w:ascii="黑体" w:hAnsi="黑体" w:eastAsia="仿宋_GB2312" w:cs="宋体"/>
          <w:bCs/>
          <w:kern w:val="0"/>
          <w:sz w:val="32"/>
          <w:szCs w:val="32"/>
        </w:rPr>
        <w:t>二、《收入决算表》</w:t>
      </w:r>
      <w:bookmarkEnd w:id="34"/>
      <w:bookmarkEnd w:id="35"/>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36" w:name="_Toc32434"/>
      <w:bookmarkStart w:id="37" w:name="_Toc21304"/>
      <w:r>
        <w:rPr>
          <w:rFonts w:hint="eastAsia" w:ascii="黑体" w:hAnsi="黑体" w:eastAsia="仿宋_GB2312" w:cs="宋体"/>
          <w:bCs/>
          <w:kern w:val="0"/>
          <w:sz w:val="32"/>
          <w:szCs w:val="32"/>
        </w:rPr>
        <w:t>三、《支出决算表》</w:t>
      </w:r>
      <w:bookmarkEnd w:id="36"/>
      <w:bookmarkEnd w:id="37"/>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38" w:name="_Toc14238"/>
      <w:bookmarkStart w:id="39" w:name="_Toc28786"/>
      <w:r>
        <w:rPr>
          <w:rFonts w:hint="eastAsia" w:ascii="黑体" w:hAnsi="黑体" w:eastAsia="仿宋_GB2312" w:cs="宋体"/>
          <w:bCs/>
          <w:kern w:val="0"/>
          <w:sz w:val="32"/>
          <w:szCs w:val="32"/>
        </w:rPr>
        <w:t>四、《财政拨款收入支出决算总表》</w:t>
      </w:r>
      <w:bookmarkEnd w:id="38"/>
      <w:bookmarkEnd w:id="39"/>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40" w:name="_Toc14869"/>
      <w:bookmarkStart w:id="41" w:name="_Toc10347"/>
      <w:r>
        <w:rPr>
          <w:rFonts w:hint="eastAsia" w:ascii="黑体" w:hAnsi="黑体" w:eastAsia="仿宋_GB2312" w:cs="宋体"/>
          <w:bCs/>
          <w:kern w:val="0"/>
          <w:sz w:val="32"/>
          <w:szCs w:val="32"/>
        </w:rPr>
        <w:t>五、《一般公共预算财政拨款支出决算表》</w:t>
      </w:r>
      <w:bookmarkEnd w:id="40"/>
      <w:bookmarkEnd w:id="41"/>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42" w:name="_Toc8884"/>
      <w:bookmarkStart w:id="43" w:name="_Toc5626"/>
      <w:r>
        <w:rPr>
          <w:rFonts w:hint="eastAsia" w:ascii="黑体" w:hAnsi="黑体" w:eastAsia="仿宋_GB2312" w:cs="宋体"/>
          <w:bCs/>
          <w:kern w:val="0"/>
          <w:sz w:val="32"/>
          <w:szCs w:val="32"/>
        </w:rPr>
        <w:t>六、《一般公共预算财政拨款基本支出决算表》</w:t>
      </w:r>
      <w:bookmarkEnd w:id="42"/>
      <w:bookmarkEnd w:id="43"/>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r>
        <w:rPr>
          <w:rFonts w:hint="eastAsia" w:ascii="黑体" w:hAnsi="黑体" w:eastAsia="仿宋_GB2312" w:cs="宋体"/>
          <w:bCs/>
          <w:kern w:val="0"/>
          <w:sz w:val="32"/>
          <w:szCs w:val="32"/>
        </w:rPr>
        <w:t>七、</w:t>
      </w:r>
      <w:bookmarkStart w:id="44" w:name="_Toc32663"/>
      <w:bookmarkStart w:id="45" w:name="_Toc29106"/>
      <w:r>
        <w:rPr>
          <w:rFonts w:hint="eastAsia" w:ascii="黑体" w:hAnsi="黑体" w:eastAsia="仿宋_GB2312" w:cs="宋体"/>
          <w:bCs/>
          <w:kern w:val="0"/>
          <w:sz w:val="32"/>
          <w:szCs w:val="32"/>
        </w:rPr>
        <w:t>《财政拨款“三公”经费支出决算表》</w:t>
      </w:r>
      <w:bookmarkEnd w:id="44"/>
      <w:bookmarkEnd w:id="45"/>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bookmarkStart w:id="46" w:name="_Toc5453"/>
      <w:bookmarkStart w:id="47" w:name="_Toc7643"/>
      <w:r>
        <w:rPr>
          <w:rFonts w:hint="eastAsia" w:ascii="黑体" w:hAnsi="黑体" w:eastAsia="仿宋_GB2312" w:cs="宋体"/>
          <w:bCs/>
          <w:kern w:val="0"/>
          <w:sz w:val="32"/>
          <w:szCs w:val="32"/>
        </w:rPr>
        <w:t>八、《政府性基金预算财政拨款收入支出决算表》</w:t>
      </w:r>
      <w:bookmarkEnd w:id="46"/>
      <w:bookmarkEnd w:id="47"/>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仿宋_GB2312" w:cs="宋体"/>
          <w:bCs/>
          <w:kern w:val="0"/>
          <w:sz w:val="32"/>
          <w:szCs w:val="32"/>
        </w:rPr>
      </w:pPr>
      <w:r>
        <w:rPr>
          <w:rFonts w:hint="eastAsia" w:ascii="黑体" w:hAnsi="黑体" w:eastAsia="仿宋_GB2312" w:cs="宋体"/>
          <w:bCs/>
          <w:kern w:val="0"/>
          <w:sz w:val="32"/>
          <w:szCs w:val="32"/>
        </w:rPr>
        <w:t>九、《国有资本经营预算财政拨款收入支出决算表》</w:t>
      </w:r>
    </w:p>
    <w:p>
      <w:pPr>
        <w:keepNext w:val="0"/>
        <w:keepLines w:val="0"/>
        <w:pageBreakBefore w:val="0"/>
        <w:kinsoku/>
        <w:wordWrap/>
        <w:overflowPunct/>
        <w:topLinePunct w:val="0"/>
        <w:bidi w:val="0"/>
        <w:adjustRightInd/>
        <w:ind w:firstLine="640" w:firstLineChars="200"/>
        <w:jc w:val="both"/>
        <w:textAlignment w:val="auto"/>
        <w:rPr>
          <w:rFonts w:ascii="仿宋_GB2312" w:eastAsia="仿宋_GB2312"/>
          <w:sz w:val="32"/>
          <w:szCs w:val="32"/>
        </w:rPr>
      </w:pPr>
    </w:p>
    <w:p>
      <w:pPr>
        <w:keepNext w:val="0"/>
        <w:keepLines w:val="0"/>
        <w:pageBreakBefore w:val="0"/>
        <w:kinsoku/>
        <w:wordWrap/>
        <w:overflowPunct/>
        <w:topLinePunct w:val="0"/>
        <w:bidi w:val="0"/>
        <w:adjustRightInd/>
        <w:ind w:firstLine="640" w:firstLineChars="200"/>
        <w:jc w:val="both"/>
        <w:textAlignment w:val="auto"/>
        <w:outlineLvl w:val="1"/>
        <w:rPr>
          <w:rFonts w:ascii="黑体" w:hAnsi="黑体" w:eastAsia="黑体" w:cs="宋体"/>
          <w:bCs/>
          <w:kern w:val="0"/>
          <w:sz w:val="32"/>
          <w:szCs w:val="32"/>
        </w:rPr>
      </w:pPr>
    </w:p>
    <w:sectPr>
      <w:foot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小标宋_GBK">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joinstyle="miter"/>
          <v:imagedata o:title=""/>
          <o:lock v:ext="edit"/>
          <v:textbox inset="0mm,0mm,0mm,0mm" style="mso-fit-shape-to-text:t;">
            <w:txbxContent>
              <w:p>
                <w:pPr>
                  <w:pStyle w:val="4"/>
                </w:pPr>
                <w:r>
                  <w:rPr>
                    <w:rFonts w:hint="eastAsia"/>
                  </w:rPr>
                  <w:fldChar w:fldCharType="begin"/>
                </w:r>
                <w:r>
                  <w:rPr>
                    <w:rFonts w:hint="eastAsia"/>
                  </w:rPr>
                  <w:instrText xml:space="preserve"> PAGE  \* MERGEFORMAT </w:instrText>
                </w:r>
                <w:r>
                  <w:rPr>
                    <w:rFonts w:hint="eastAsia"/>
                  </w:rPr>
                  <w:fldChar w:fldCharType="separate"/>
                </w:r>
                <w:r>
                  <w:t>12</w:t>
                </w:r>
                <w:r>
                  <w:rPr>
                    <w:rFonts w:hint="eastAsia"/>
                  </w:rP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3F031D"/>
    <w:multiLevelType w:val="singleLevel"/>
    <w:tmpl w:val="103F031D"/>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mM5NzA0NDNiNDI5YzY3ZTU2OWRkNTkxNjUyZjYzNzAifQ=="/>
    <w:docVar w:name="KSO_WPS_MARK_KEY" w:val="41ee2a61-2d54-4f93-83be-afdb9a40d732"/>
  </w:docVars>
  <w:rsids>
    <w:rsidRoot w:val="00D32BC7"/>
    <w:rsid w:val="00004BB0"/>
    <w:rsid w:val="0004179F"/>
    <w:rsid w:val="00042501"/>
    <w:rsid w:val="0004606A"/>
    <w:rsid w:val="000B2DEF"/>
    <w:rsid w:val="000E13EB"/>
    <w:rsid w:val="0012586B"/>
    <w:rsid w:val="00167E06"/>
    <w:rsid w:val="0018586F"/>
    <w:rsid w:val="001D1B4C"/>
    <w:rsid w:val="001D4D28"/>
    <w:rsid w:val="00211FAE"/>
    <w:rsid w:val="00213C59"/>
    <w:rsid w:val="002154F7"/>
    <w:rsid w:val="00226A16"/>
    <w:rsid w:val="002376DC"/>
    <w:rsid w:val="00244FFB"/>
    <w:rsid w:val="002839D6"/>
    <w:rsid w:val="0029095C"/>
    <w:rsid w:val="00291AA7"/>
    <w:rsid w:val="00316761"/>
    <w:rsid w:val="00316CB9"/>
    <w:rsid w:val="003210CE"/>
    <w:rsid w:val="00323B3B"/>
    <w:rsid w:val="0032529C"/>
    <w:rsid w:val="003422D7"/>
    <w:rsid w:val="003708F1"/>
    <w:rsid w:val="003A27C4"/>
    <w:rsid w:val="003A656D"/>
    <w:rsid w:val="003B6E2F"/>
    <w:rsid w:val="00423A9B"/>
    <w:rsid w:val="00447C78"/>
    <w:rsid w:val="004C60FA"/>
    <w:rsid w:val="005274B0"/>
    <w:rsid w:val="005324DB"/>
    <w:rsid w:val="00550C57"/>
    <w:rsid w:val="005632B4"/>
    <w:rsid w:val="005716BC"/>
    <w:rsid w:val="00586600"/>
    <w:rsid w:val="005A2AE1"/>
    <w:rsid w:val="005B4BC6"/>
    <w:rsid w:val="005E40C7"/>
    <w:rsid w:val="005F48C1"/>
    <w:rsid w:val="006050B8"/>
    <w:rsid w:val="00611A9C"/>
    <w:rsid w:val="00632BD3"/>
    <w:rsid w:val="00633063"/>
    <w:rsid w:val="006711D0"/>
    <w:rsid w:val="006E5AA2"/>
    <w:rsid w:val="006F0E0C"/>
    <w:rsid w:val="006F2065"/>
    <w:rsid w:val="006F2589"/>
    <w:rsid w:val="0071424C"/>
    <w:rsid w:val="007369FA"/>
    <w:rsid w:val="00774D78"/>
    <w:rsid w:val="007C3FDF"/>
    <w:rsid w:val="007E0CB4"/>
    <w:rsid w:val="007F441C"/>
    <w:rsid w:val="007F473C"/>
    <w:rsid w:val="0081759D"/>
    <w:rsid w:val="00840C30"/>
    <w:rsid w:val="00885434"/>
    <w:rsid w:val="00891B54"/>
    <w:rsid w:val="008A0BDB"/>
    <w:rsid w:val="008D20F3"/>
    <w:rsid w:val="008F3610"/>
    <w:rsid w:val="00915A79"/>
    <w:rsid w:val="0095039E"/>
    <w:rsid w:val="00962A51"/>
    <w:rsid w:val="0098582E"/>
    <w:rsid w:val="009D29C7"/>
    <w:rsid w:val="00A04A56"/>
    <w:rsid w:val="00A14F26"/>
    <w:rsid w:val="00A16E58"/>
    <w:rsid w:val="00A403A1"/>
    <w:rsid w:val="00A47F8C"/>
    <w:rsid w:val="00A56EAB"/>
    <w:rsid w:val="00A6297A"/>
    <w:rsid w:val="00A672A0"/>
    <w:rsid w:val="00AB613D"/>
    <w:rsid w:val="00AD7B99"/>
    <w:rsid w:val="00AF72C7"/>
    <w:rsid w:val="00B022E1"/>
    <w:rsid w:val="00B44582"/>
    <w:rsid w:val="00B64F0C"/>
    <w:rsid w:val="00B70D59"/>
    <w:rsid w:val="00BD12CC"/>
    <w:rsid w:val="00BE00C4"/>
    <w:rsid w:val="00C14195"/>
    <w:rsid w:val="00C432EF"/>
    <w:rsid w:val="00C469F7"/>
    <w:rsid w:val="00C74F15"/>
    <w:rsid w:val="00C818AC"/>
    <w:rsid w:val="00CB3055"/>
    <w:rsid w:val="00CB6D53"/>
    <w:rsid w:val="00D06D2C"/>
    <w:rsid w:val="00D32BC7"/>
    <w:rsid w:val="00D5374F"/>
    <w:rsid w:val="00D70B42"/>
    <w:rsid w:val="00D968B8"/>
    <w:rsid w:val="00DA7266"/>
    <w:rsid w:val="00DB561E"/>
    <w:rsid w:val="00DD0582"/>
    <w:rsid w:val="00E23976"/>
    <w:rsid w:val="00E73D93"/>
    <w:rsid w:val="00E96479"/>
    <w:rsid w:val="00F024D5"/>
    <w:rsid w:val="00F2272D"/>
    <w:rsid w:val="00F52A8D"/>
    <w:rsid w:val="00F65D5E"/>
    <w:rsid w:val="00F83E3F"/>
    <w:rsid w:val="00FC09B1"/>
    <w:rsid w:val="019404F8"/>
    <w:rsid w:val="02F73D26"/>
    <w:rsid w:val="034D4FEF"/>
    <w:rsid w:val="035D1785"/>
    <w:rsid w:val="039F47CE"/>
    <w:rsid w:val="03E05CE8"/>
    <w:rsid w:val="03F973EE"/>
    <w:rsid w:val="043E5B56"/>
    <w:rsid w:val="04C04386"/>
    <w:rsid w:val="04FA68C4"/>
    <w:rsid w:val="053F5AE6"/>
    <w:rsid w:val="057C0B0F"/>
    <w:rsid w:val="05EF4B48"/>
    <w:rsid w:val="05F76ECA"/>
    <w:rsid w:val="06792773"/>
    <w:rsid w:val="07093795"/>
    <w:rsid w:val="07804730"/>
    <w:rsid w:val="079052BE"/>
    <w:rsid w:val="08422688"/>
    <w:rsid w:val="085854ED"/>
    <w:rsid w:val="0879188F"/>
    <w:rsid w:val="08A0354D"/>
    <w:rsid w:val="08CD4C49"/>
    <w:rsid w:val="09114954"/>
    <w:rsid w:val="095A5B83"/>
    <w:rsid w:val="096466E3"/>
    <w:rsid w:val="0968304D"/>
    <w:rsid w:val="09AF3D17"/>
    <w:rsid w:val="0A7809B7"/>
    <w:rsid w:val="0A7B4867"/>
    <w:rsid w:val="0A840954"/>
    <w:rsid w:val="0A9928ED"/>
    <w:rsid w:val="0AF95F70"/>
    <w:rsid w:val="0B61769D"/>
    <w:rsid w:val="0B8C3ECC"/>
    <w:rsid w:val="0B9C639D"/>
    <w:rsid w:val="0BB052B2"/>
    <w:rsid w:val="0BD33FFC"/>
    <w:rsid w:val="0BE97AC1"/>
    <w:rsid w:val="0C1C4780"/>
    <w:rsid w:val="0C3613A3"/>
    <w:rsid w:val="0C5E519C"/>
    <w:rsid w:val="0C7227A7"/>
    <w:rsid w:val="0CA52EE8"/>
    <w:rsid w:val="0CBD6988"/>
    <w:rsid w:val="0CD208AC"/>
    <w:rsid w:val="0D4903E8"/>
    <w:rsid w:val="0D7A4A46"/>
    <w:rsid w:val="0E640559"/>
    <w:rsid w:val="0F1113DA"/>
    <w:rsid w:val="0F78534A"/>
    <w:rsid w:val="0F89358A"/>
    <w:rsid w:val="0F8C6D51"/>
    <w:rsid w:val="105B0B5E"/>
    <w:rsid w:val="112E58D0"/>
    <w:rsid w:val="11731CAC"/>
    <w:rsid w:val="119500A0"/>
    <w:rsid w:val="11C0733B"/>
    <w:rsid w:val="120E0809"/>
    <w:rsid w:val="127F665A"/>
    <w:rsid w:val="12F7068C"/>
    <w:rsid w:val="14B932DA"/>
    <w:rsid w:val="150A66AF"/>
    <w:rsid w:val="154C1139"/>
    <w:rsid w:val="158C5B77"/>
    <w:rsid w:val="160D1149"/>
    <w:rsid w:val="16107030"/>
    <w:rsid w:val="163563C0"/>
    <w:rsid w:val="164315EF"/>
    <w:rsid w:val="16557DFE"/>
    <w:rsid w:val="167268FB"/>
    <w:rsid w:val="16D50C50"/>
    <w:rsid w:val="16E120E1"/>
    <w:rsid w:val="17385A05"/>
    <w:rsid w:val="173B3901"/>
    <w:rsid w:val="176747F9"/>
    <w:rsid w:val="17954A6E"/>
    <w:rsid w:val="180059E9"/>
    <w:rsid w:val="184510FD"/>
    <w:rsid w:val="18E64042"/>
    <w:rsid w:val="190648B0"/>
    <w:rsid w:val="19071D6C"/>
    <w:rsid w:val="19D26CD4"/>
    <w:rsid w:val="19E60D19"/>
    <w:rsid w:val="1A3E3450"/>
    <w:rsid w:val="1AD807E5"/>
    <w:rsid w:val="1B39345B"/>
    <w:rsid w:val="1BFB2A1F"/>
    <w:rsid w:val="1C015D4A"/>
    <w:rsid w:val="1C290ED5"/>
    <w:rsid w:val="1C317E4F"/>
    <w:rsid w:val="1C472464"/>
    <w:rsid w:val="1D22799A"/>
    <w:rsid w:val="1D5C1A72"/>
    <w:rsid w:val="1D74150D"/>
    <w:rsid w:val="1DAF458D"/>
    <w:rsid w:val="1E086ACE"/>
    <w:rsid w:val="1E62130A"/>
    <w:rsid w:val="1E97358B"/>
    <w:rsid w:val="1EAA4A5F"/>
    <w:rsid w:val="1EE869A7"/>
    <w:rsid w:val="1FA15E62"/>
    <w:rsid w:val="1FED69B6"/>
    <w:rsid w:val="2064678E"/>
    <w:rsid w:val="20DC1AB9"/>
    <w:rsid w:val="20DD6197"/>
    <w:rsid w:val="212631E0"/>
    <w:rsid w:val="21A53757"/>
    <w:rsid w:val="221236C6"/>
    <w:rsid w:val="23326B7F"/>
    <w:rsid w:val="2380045B"/>
    <w:rsid w:val="23BC04D2"/>
    <w:rsid w:val="23EF1892"/>
    <w:rsid w:val="2483647E"/>
    <w:rsid w:val="24A32D55"/>
    <w:rsid w:val="25292727"/>
    <w:rsid w:val="256F7692"/>
    <w:rsid w:val="25BA2154"/>
    <w:rsid w:val="25C8773F"/>
    <w:rsid w:val="264A7253"/>
    <w:rsid w:val="26F0170C"/>
    <w:rsid w:val="27201D62"/>
    <w:rsid w:val="27286E73"/>
    <w:rsid w:val="27CF2642"/>
    <w:rsid w:val="27E777F5"/>
    <w:rsid w:val="27EA1D4C"/>
    <w:rsid w:val="27EA2E41"/>
    <w:rsid w:val="282459E2"/>
    <w:rsid w:val="283A7FE5"/>
    <w:rsid w:val="285F51FF"/>
    <w:rsid w:val="28DF2665"/>
    <w:rsid w:val="29072599"/>
    <w:rsid w:val="291029F3"/>
    <w:rsid w:val="29CB58F0"/>
    <w:rsid w:val="2A053397"/>
    <w:rsid w:val="2A145E96"/>
    <w:rsid w:val="2AF5378F"/>
    <w:rsid w:val="2BB94DBF"/>
    <w:rsid w:val="2C6F314E"/>
    <w:rsid w:val="2CC206BE"/>
    <w:rsid w:val="2CEB4C69"/>
    <w:rsid w:val="2D1136DF"/>
    <w:rsid w:val="2D20606D"/>
    <w:rsid w:val="2DB87198"/>
    <w:rsid w:val="2DB93C54"/>
    <w:rsid w:val="2DEA0FF6"/>
    <w:rsid w:val="2E3D144C"/>
    <w:rsid w:val="2E891204"/>
    <w:rsid w:val="2F3F0A28"/>
    <w:rsid w:val="2FBF7029"/>
    <w:rsid w:val="2FD0187F"/>
    <w:rsid w:val="2FD27414"/>
    <w:rsid w:val="2FFE4BB0"/>
    <w:rsid w:val="300E7B60"/>
    <w:rsid w:val="300F6E18"/>
    <w:rsid w:val="30862F5F"/>
    <w:rsid w:val="314029C9"/>
    <w:rsid w:val="31C63837"/>
    <w:rsid w:val="31C82E39"/>
    <w:rsid w:val="32601BAD"/>
    <w:rsid w:val="3389023A"/>
    <w:rsid w:val="33CB74FA"/>
    <w:rsid w:val="343642F2"/>
    <w:rsid w:val="343F3010"/>
    <w:rsid w:val="34464E23"/>
    <w:rsid w:val="345D0A00"/>
    <w:rsid w:val="34713BFD"/>
    <w:rsid w:val="34C13589"/>
    <w:rsid w:val="353369E3"/>
    <w:rsid w:val="35E00D72"/>
    <w:rsid w:val="36965B9D"/>
    <w:rsid w:val="36C549FD"/>
    <w:rsid w:val="37A755DD"/>
    <w:rsid w:val="37F94FA0"/>
    <w:rsid w:val="38115B1F"/>
    <w:rsid w:val="385E3AC3"/>
    <w:rsid w:val="387D6B9E"/>
    <w:rsid w:val="38B75FF0"/>
    <w:rsid w:val="38D45016"/>
    <w:rsid w:val="38D90432"/>
    <w:rsid w:val="3914510A"/>
    <w:rsid w:val="3926770B"/>
    <w:rsid w:val="398D3668"/>
    <w:rsid w:val="39DA0497"/>
    <w:rsid w:val="3A893816"/>
    <w:rsid w:val="3A893B6D"/>
    <w:rsid w:val="3AD1763A"/>
    <w:rsid w:val="3B6716E3"/>
    <w:rsid w:val="3B6C6B2D"/>
    <w:rsid w:val="3C242659"/>
    <w:rsid w:val="3C96719C"/>
    <w:rsid w:val="3CA72BE8"/>
    <w:rsid w:val="3CB451AB"/>
    <w:rsid w:val="3CF37F8C"/>
    <w:rsid w:val="3D0F1A45"/>
    <w:rsid w:val="3D137554"/>
    <w:rsid w:val="3D5275AC"/>
    <w:rsid w:val="3DCC2473"/>
    <w:rsid w:val="3DEB0883"/>
    <w:rsid w:val="3E2527BF"/>
    <w:rsid w:val="3E731662"/>
    <w:rsid w:val="3E8168DD"/>
    <w:rsid w:val="3EA7725F"/>
    <w:rsid w:val="3EB03713"/>
    <w:rsid w:val="3EBF1A11"/>
    <w:rsid w:val="3EC52607"/>
    <w:rsid w:val="3EEC6CEF"/>
    <w:rsid w:val="3F183429"/>
    <w:rsid w:val="3FB77A1D"/>
    <w:rsid w:val="3FED7F8A"/>
    <w:rsid w:val="40094AEF"/>
    <w:rsid w:val="405470BD"/>
    <w:rsid w:val="40794A29"/>
    <w:rsid w:val="40834692"/>
    <w:rsid w:val="414B3C0F"/>
    <w:rsid w:val="417C1CE7"/>
    <w:rsid w:val="41900018"/>
    <w:rsid w:val="41944406"/>
    <w:rsid w:val="41CE128F"/>
    <w:rsid w:val="41DA6F12"/>
    <w:rsid w:val="42171FB1"/>
    <w:rsid w:val="434E6957"/>
    <w:rsid w:val="43BA0E31"/>
    <w:rsid w:val="43C15147"/>
    <w:rsid w:val="43E14DD2"/>
    <w:rsid w:val="43F800E9"/>
    <w:rsid w:val="443A7E4B"/>
    <w:rsid w:val="452F5B3A"/>
    <w:rsid w:val="454E7FD2"/>
    <w:rsid w:val="46061BDC"/>
    <w:rsid w:val="461404F8"/>
    <w:rsid w:val="46413018"/>
    <w:rsid w:val="464B7E04"/>
    <w:rsid w:val="468041AA"/>
    <w:rsid w:val="468123C6"/>
    <w:rsid w:val="46901EEE"/>
    <w:rsid w:val="469C74D2"/>
    <w:rsid w:val="47445515"/>
    <w:rsid w:val="474B4782"/>
    <w:rsid w:val="47D90D14"/>
    <w:rsid w:val="48387FB0"/>
    <w:rsid w:val="483A6114"/>
    <w:rsid w:val="488727DB"/>
    <w:rsid w:val="48B82268"/>
    <w:rsid w:val="48C354B3"/>
    <w:rsid w:val="493D58B5"/>
    <w:rsid w:val="494A7A04"/>
    <w:rsid w:val="4A0A26D2"/>
    <w:rsid w:val="4A2019A5"/>
    <w:rsid w:val="4A241A0B"/>
    <w:rsid w:val="4A7B2875"/>
    <w:rsid w:val="4A934476"/>
    <w:rsid w:val="4AAA220A"/>
    <w:rsid w:val="4AE12E67"/>
    <w:rsid w:val="4B4C0111"/>
    <w:rsid w:val="4B5416CD"/>
    <w:rsid w:val="4B8553A9"/>
    <w:rsid w:val="4BDB3730"/>
    <w:rsid w:val="4C200F7A"/>
    <w:rsid w:val="4CEE3180"/>
    <w:rsid w:val="4DF94F37"/>
    <w:rsid w:val="4E0A1DD5"/>
    <w:rsid w:val="4E3160E5"/>
    <w:rsid w:val="4E4D37AF"/>
    <w:rsid w:val="4E8C6496"/>
    <w:rsid w:val="4EFD18DE"/>
    <w:rsid w:val="4F144236"/>
    <w:rsid w:val="4F663C87"/>
    <w:rsid w:val="4F7E29A8"/>
    <w:rsid w:val="4F9E1FFC"/>
    <w:rsid w:val="50447CC2"/>
    <w:rsid w:val="50874A7C"/>
    <w:rsid w:val="50895EE7"/>
    <w:rsid w:val="50921B9D"/>
    <w:rsid w:val="50D16158"/>
    <w:rsid w:val="50DB5F45"/>
    <w:rsid w:val="51025EB1"/>
    <w:rsid w:val="51141503"/>
    <w:rsid w:val="518D0ED5"/>
    <w:rsid w:val="52F647F7"/>
    <w:rsid w:val="52F92565"/>
    <w:rsid w:val="53D03877"/>
    <w:rsid w:val="542F73CA"/>
    <w:rsid w:val="5430786D"/>
    <w:rsid w:val="54C811C0"/>
    <w:rsid w:val="556A442D"/>
    <w:rsid w:val="55DA564E"/>
    <w:rsid w:val="5604127D"/>
    <w:rsid w:val="56166703"/>
    <w:rsid w:val="56510474"/>
    <w:rsid w:val="56861525"/>
    <w:rsid w:val="56A93273"/>
    <w:rsid w:val="56BD550C"/>
    <w:rsid w:val="56E07045"/>
    <w:rsid w:val="56FF28AF"/>
    <w:rsid w:val="57540E7D"/>
    <w:rsid w:val="577B4878"/>
    <w:rsid w:val="57926973"/>
    <w:rsid w:val="58175352"/>
    <w:rsid w:val="581F2200"/>
    <w:rsid w:val="583059FA"/>
    <w:rsid w:val="584A0929"/>
    <w:rsid w:val="58CD2491"/>
    <w:rsid w:val="591B41B2"/>
    <w:rsid w:val="59254A26"/>
    <w:rsid w:val="59326325"/>
    <w:rsid w:val="595C505B"/>
    <w:rsid w:val="595E55C3"/>
    <w:rsid w:val="596E7E20"/>
    <w:rsid w:val="5A60780B"/>
    <w:rsid w:val="5AB34579"/>
    <w:rsid w:val="5AFC6609"/>
    <w:rsid w:val="5B113480"/>
    <w:rsid w:val="5BD456CE"/>
    <w:rsid w:val="5C0D1F49"/>
    <w:rsid w:val="5CBB0CE2"/>
    <w:rsid w:val="5CC17177"/>
    <w:rsid w:val="5CF306BC"/>
    <w:rsid w:val="5D3F3D64"/>
    <w:rsid w:val="5D833043"/>
    <w:rsid w:val="5DD92690"/>
    <w:rsid w:val="5DDB1CFD"/>
    <w:rsid w:val="5E7E6D93"/>
    <w:rsid w:val="5ED10B6C"/>
    <w:rsid w:val="5ED44800"/>
    <w:rsid w:val="5F350BDE"/>
    <w:rsid w:val="5FA17648"/>
    <w:rsid w:val="5FE705CB"/>
    <w:rsid w:val="603D5080"/>
    <w:rsid w:val="60D0261B"/>
    <w:rsid w:val="618E3791"/>
    <w:rsid w:val="61947DCA"/>
    <w:rsid w:val="61A46A97"/>
    <w:rsid w:val="61D1382F"/>
    <w:rsid w:val="61F114A2"/>
    <w:rsid w:val="62512BB4"/>
    <w:rsid w:val="625D7D1A"/>
    <w:rsid w:val="62DD7D21"/>
    <w:rsid w:val="637D586B"/>
    <w:rsid w:val="63A5560B"/>
    <w:rsid w:val="63E9091F"/>
    <w:rsid w:val="64322AF9"/>
    <w:rsid w:val="64D6010D"/>
    <w:rsid w:val="64D82665"/>
    <w:rsid w:val="64E47C96"/>
    <w:rsid w:val="651E5741"/>
    <w:rsid w:val="658A4877"/>
    <w:rsid w:val="65A00902"/>
    <w:rsid w:val="65AC6EDD"/>
    <w:rsid w:val="65D97752"/>
    <w:rsid w:val="66085536"/>
    <w:rsid w:val="66105BF7"/>
    <w:rsid w:val="66150023"/>
    <w:rsid w:val="6628010D"/>
    <w:rsid w:val="669B4528"/>
    <w:rsid w:val="66CC12D7"/>
    <w:rsid w:val="67134CEF"/>
    <w:rsid w:val="671F1ABD"/>
    <w:rsid w:val="67521A59"/>
    <w:rsid w:val="67C304AB"/>
    <w:rsid w:val="68095FA1"/>
    <w:rsid w:val="683F0658"/>
    <w:rsid w:val="689C6793"/>
    <w:rsid w:val="68DB0208"/>
    <w:rsid w:val="68FB170C"/>
    <w:rsid w:val="691B3D98"/>
    <w:rsid w:val="693748F0"/>
    <w:rsid w:val="69846A0E"/>
    <w:rsid w:val="69AD798C"/>
    <w:rsid w:val="69D005C0"/>
    <w:rsid w:val="69D80B96"/>
    <w:rsid w:val="6B223E70"/>
    <w:rsid w:val="6B6462AF"/>
    <w:rsid w:val="6B68175F"/>
    <w:rsid w:val="6BFD799F"/>
    <w:rsid w:val="6C4A2E5A"/>
    <w:rsid w:val="6CEF0725"/>
    <w:rsid w:val="6D4B2604"/>
    <w:rsid w:val="6D667B00"/>
    <w:rsid w:val="6D726864"/>
    <w:rsid w:val="6D8030E4"/>
    <w:rsid w:val="6E0E35C4"/>
    <w:rsid w:val="6E0F7A08"/>
    <w:rsid w:val="6E3947F5"/>
    <w:rsid w:val="6E9C74ED"/>
    <w:rsid w:val="6EF72976"/>
    <w:rsid w:val="6F795A80"/>
    <w:rsid w:val="6F7C1D2E"/>
    <w:rsid w:val="6F8E0407"/>
    <w:rsid w:val="6FDD069F"/>
    <w:rsid w:val="702B4D16"/>
    <w:rsid w:val="70AA6621"/>
    <w:rsid w:val="7111480F"/>
    <w:rsid w:val="71261F49"/>
    <w:rsid w:val="712E6956"/>
    <w:rsid w:val="71473612"/>
    <w:rsid w:val="71504F32"/>
    <w:rsid w:val="7152309F"/>
    <w:rsid w:val="718F7F65"/>
    <w:rsid w:val="727B234E"/>
    <w:rsid w:val="72D068C7"/>
    <w:rsid w:val="72E42ED8"/>
    <w:rsid w:val="735F4CB9"/>
    <w:rsid w:val="73674C62"/>
    <w:rsid w:val="73845865"/>
    <w:rsid w:val="739B6D9E"/>
    <w:rsid w:val="73BC1D76"/>
    <w:rsid w:val="73FB6630"/>
    <w:rsid w:val="748D790E"/>
    <w:rsid w:val="749820CC"/>
    <w:rsid w:val="74CE04EC"/>
    <w:rsid w:val="74E76DCD"/>
    <w:rsid w:val="75722D56"/>
    <w:rsid w:val="75DB5477"/>
    <w:rsid w:val="75FC6AC3"/>
    <w:rsid w:val="7616619B"/>
    <w:rsid w:val="76660D7C"/>
    <w:rsid w:val="766C5968"/>
    <w:rsid w:val="76BE0C8F"/>
    <w:rsid w:val="76CD53B2"/>
    <w:rsid w:val="770719AC"/>
    <w:rsid w:val="776526CC"/>
    <w:rsid w:val="77A262E1"/>
    <w:rsid w:val="77B13C33"/>
    <w:rsid w:val="77ED6F44"/>
    <w:rsid w:val="77F45548"/>
    <w:rsid w:val="784E7CA6"/>
    <w:rsid w:val="78574801"/>
    <w:rsid w:val="7873527F"/>
    <w:rsid w:val="790A6425"/>
    <w:rsid w:val="790E2D96"/>
    <w:rsid w:val="791B54B2"/>
    <w:rsid w:val="795A0A34"/>
    <w:rsid w:val="797339C3"/>
    <w:rsid w:val="79D57D57"/>
    <w:rsid w:val="79F00650"/>
    <w:rsid w:val="7A6242BF"/>
    <w:rsid w:val="7A794513"/>
    <w:rsid w:val="7AE952D2"/>
    <w:rsid w:val="7BAA03B7"/>
    <w:rsid w:val="7C976D69"/>
    <w:rsid w:val="7CD752DA"/>
    <w:rsid w:val="7CDE40AB"/>
    <w:rsid w:val="7D1548B5"/>
    <w:rsid w:val="7DF84014"/>
    <w:rsid w:val="7E207949"/>
    <w:rsid w:val="7E5C0A47"/>
    <w:rsid w:val="7E670C75"/>
    <w:rsid w:val="7EE24272"/>
    <w:rsid w:val="7EEA6053"/>
    <w:rsid w:val="7F487C04"/>
    <w:rsid w:val="7FB45F21"/>
    <w:rsid w:val="7FE57088"/>
    <w:rsid w:val="7FF37F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semiHidden/>
    <w:unhideWhenUsed/>
    <w:uiPriority w:val="1"/>
  </w:style>
  <w:style w:type="table" w:default="1" w:styleId="13">
    <w:name w:val="Normal Table"/>
    <w:semiHidden/>
    <w:unhideWhenUsed/>
    <w:qFormat/>
    <w:uiPriority w:val="99"/>
    <w:tblPr>
      <w:tblLayout w:type="fixed"/>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toc 3"/>
    <w:basedOn w:val="1"/>
    <w:next w:val="1"/>
    <w:qFormat/>
    <w:uiPriority w:val="0"/>
    <w:pPr>
      <w:ind w:left="840" w:leftChars="40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toc 1"/>
    <w:basedOn w:val="1"/>
    <w:next w:val="1"/>
    <w:qFormat/>
    <w:uiPriority w:val="0"/>
  </w:style>
  <w:style w:type="paragraph" w:styleId="7">
    <w:name w:val="footnote text"/>
    <w:basedOn w:val="1"/>
    <w:link w:val="19"/>
    <w:qFormat/>
    <w:uiPriority w:val="0"/>
    <w:pPr>
      <w:snapToGrid w:val="0"/>
      <w:jc w:val="left"/>
    </w:pPr>
    <w:rPr>
      <w:sz w:val="18"/>
      <w:szCs w:val="18"/>
    </w:rPr>
  </w:style>
  <w:style w:type="paragraph" w:styleId="8">
    <w:name w:val="toc 2"/>
    <w:basedOn w:val="1"/>
    <w:next w:val="1"/>
    <w:qFormat/>
    <w:uiPriority w:val="0"/>
    <w:pPr>
      <w:ind w:left="420" w:leftChars="200"/>
    </w:pPr>
  </w:style>
  <w:style w:type="paragraph" w:styleId="9">
    <w:name w:val="Normal (Web)"/>
    <w:basedOn w:val="1"/>
    <w:qFormat/>
    <w:uiPriority w:val="0"/>
    <w:pPr>
      <w:spacing w:before="100" w:beforeAutospacing="1" w:after="100" w:afterAutospacing="1"/>
      <w:jc w:val="left"/>
    </w:pPr>
    <w:rPr>
      <w:kern w:val="0"/>
      <w:sz w:val="24"/>
    </w:rPr>
  </w:style>
  <w:style w:type="character" w:styleId="11">
    <w:name w:val="Strong"/>
    <w:basedOn w:val="10"/>
    <w:qFormat/>
    <w:uiPriority w:val="0"/>
    <w:rPr>
      <w:b/>
    </w:rPr>
  </w:style>
  <w:style w:type="character" w:styleId="12">
    <w:name w:val="footnote reference"/>
    <w:basedOn w:val="10"/>
    <w:qFormat/>
    <w:uiPriority w:val="0"/>
    <w:rPr>
      <w:vertAlign w:val="superscript"/>
    </w:rPr>
  </w:style>
  <w:style w:type="paragraph" w:customStyle="1" w:styleId="14">
    <w:name w:val="WPSOffice手动目录 3"/>
    <w:qFormat/>
    <w:uiPriority w:val="0"/>
    <w:pPr>
      <w:ind w:left="400" w:leftChars="400"/>
    </w:pPr>
    <w:rPr>
      <w:rFonts w:ascii="Times New Roman" w:hAnsi="Times New Roman" w:eastAsia="宋体" w:cs="Times New Roman"/>
      <w:lang w:val="en-US" w:eastAsia="zh-CN" w:bidi="ar-SA"/>
    </w:rPr>
  </w:style>
  <w:style w:type="paragraph" w:customStyle="1" w:styleId="15">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16">
    <w:name w:val="WPSOffice手动目录 1"/>
    <w:qFormat/>
    <w:uiPriority w:val="0"/>
    <w:rPr>
      <w:rFonts w:ascii="Times New Roman" w:hAnsi="Times New Roman" w:eastAsia="宋体" w:cs="Times New Roman"/>
      <w:lang w:val="en-US" w:eastAsia="zh-CN" w:bidi="ar-SA"/>
    </w:rPr>
  </w:style>
  <w:style w:type="paragraph" w:styleId="17">
    <w:name w:val="List Paragraph"/>
    <w:basedOn w:val="1"/>
    <w:qFormat/>
    <w:uiPriority w:val="34"/>
    <w:pPr>
      <w:ind w:firstLine="420" w:firstLineChars="200"/>
    </w:pPr>
  </w:style>
  <w:style w:type="character" w:customStyle="1" w:styleId="18">
    <w:name w:val="font71"/>
    <w:basedOn w:val="10"/>
    <w:qFormat/>
    <w:uiPriority w:val="0"/>
    <w:rPr>
      <w:rFonts w:hint="default" w:ascii="Times New Roman" w:hAnsi="Times New Roman" w:cs="Times New Roman"/>
      <w:b/>
      <w:color w:val="000000"/>
      <w:sz w:val="22"/>
      <w:szCs w:val="22"/>
      <w:u w:val="none"/>
    </w:rPr>
  </w:style>
  <w:style w:type="character" w:customStyle="1" w:styleId="19">
    <w:name w:val="脚注文本 Char"/>
    <w:basedOn w:val="10"/>
    <w:link w:val="7"/>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emf"/><Relationship Id="rId8" Type="http://schemas.openxmlformats.org/officeDocument/2006/relationships/image" Target="media/image4.emf"/><Relationship Id="rId7" Type="http://schemas.openxmlformats.org/officeDocument/2006/relationships/image" Target="media/image3.emf"/><Relationship Id="rId6" Type="http://schemas.openxmlformats.org/officeDocument/2006/relationships/image" Target="media/image2.emf"/><Relationship Id="rId50" Type="http://schemas.openxmlformats.org/officeDocument/2006/relationships/fontTable" Target="fontTable.xml"/><Relationship Id="rId5" Type="http://schemas.openxmlformats.org/officeDocument/2006/relationships/image" Target="media/image1.emf"/><Relationship Id="rId49" Type="http://schemas.openxmlformats.org/officeDocument/2006/relationships/customXml" Target="../customXml/item2.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41.emf"/><Relationship Id="rId45" Type="http://schemas.openxmlformats.org/officeDocument/2006/relationships/image" Target="media/image40.jpeg"/><Relationship Id="rId44" Type="http://schemas.openxmlformats.org/officeDocument/2006/relationships/image" Target="media/image39.jpeg"/><Relationship Id="rId43" Type="http://schemas.openxmlformats.org/officeDocument/2006/relationships/image" Target="media/image38.emf"/><Relationship Id="rId42" Type="http://schemas.openxmlformats.org/officeDocument/2006/relationships/image" Target="media/image37.emf"/><Relationship Id="rId41" Type="http://schemas.openxmlformats.org/officeDocument/2006/relationships/image" Target="media/image36.emf"/><Relationship Id="rId40" Type="http://schemas.openxmlformats.org/officeDocument/2006/relationships/image" Target="media/image35.emf"/><Relationship Id="rId4" Type="http://schemas.openxmlformats.org/officeDocument/2006/relationships/theme" Target="theme/theme1.xml"/><Relationship Id="rId39" Type="http://schemas.openxmlformats.org/officeDocument/2006/relationships/image" Target="media/image34.emf"/><Relationship Id="rId38" Type="http://schemas.openxmlformats.org/officeDocument/2006/relationships/image" Target="media/image33.emf"/><Relationship Id="rId37" Type="http://schemas.openxmlformats.org/officeDocument/2006/relationships/image" Target="media/image32.emf"/><Relationship Id="rId36" Type="http://schemas.openxmlformats.org/officeDocument/2006/relationships/image" Target="media/image31.emf"/><Relationship Id="rId35" Type="http://schemas.openxmlformats.org/officeDocument/2006/relationships/image" Target="media/image30.emf"/><Relationship Id="rId34" Type="http://schemas.openxmlformats.org/officeDocument/2006/relationships/image" Target="media/image29.emf"/><Relationship Id="rId33" Type="http://schemas.openxmlformats.org/officeDocument/2006/relationships/image" Target="media/image28.emf"/><Relationship Id="rId32" Type="http://schemas.openxmlformats.org/officeDocument/2006/relationships/image" Target="media/image27.emf"/><Relationship Id="rId31" Type="http://schemas.openxmlformats.org/officeDocument/2006/relationships/image" Target="media/image26.jpeg"/><Relationship Id="rId30" Type="http://schemas.openxmlformats.org/officeDocument/2006/relationships/image" Target="media/image25.emf"/><Relationship Id="rId3" Type="http://schemas.openxmlformats.org/officeDocument/2006/relationships/footer" Target="footer1.xml"/><Relationship Id="rId29" Type="http://schemas.openxmlformats.org/officeDocument/2006/relationships/image" Target="media/image24.emf"/><Relationship Id="rId28" Type="http://schemas.openxmlformats.org/officeDocument/2006/relationships/image" Target="media/image23.emf"/><Relationship Id="rId27" Type="http://schemas.openxmlformats.org/officeDocument/2006/relationships/image" Target="media/image22.emf"/><Relationship Id="rId26" Type="http://schemas.openxmlformats.org/officeDocument/2006/relationships/image" Target="media/image21.emf"/><Relationship Id="rId25" Type="http://schemas.openxmlformats.org/officeDocument/2006/relationships/image" Target="media/image20.jpeg"/><Relationship Id="rId24" Type="http://schemas.openxmlformats.org/officeDocument/2006/relationships/image" Target="media/image19.emf"/><Relationship Id="rId23" Type="http://schemas.openxmlformats.org/officeDocument/2006/relationships/image" Target="media/image18.emf"/><Relationship Id="rId22" Type="http://schemas.openxmlformats.org/officeDocument/2006/relationships/image" Target="media/image17.emf"/><Relationship Id="rId21" Type="http://schemas.openxmlformats.org/officeDocument/2006/relationships/image" Target="media/image16.emf"/><Relationship Id="rId20" Type="http://schemas.openxmlformats.org/officeDocument/2006/relationships/image" Target="media/image15.emf"/><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14.emf"/><Relationship Id="rId17" Type="http://schemas.openxmlformats.org/officeDocument/2006/relationships/image" Target="media/image13.emf"/><Relationship Id="rId16" Type="http://schemas.openxmlformats.org/officeDocument/2006/relationships/image" Target="media/image12.emf"/><Relationship Id="rId15" Type="http://schemas.openxmlformats.org/officeDocument/2006/relationships/image" Target="media/image11.emf"/><Relationship Id="rId14" Type="http://schemas.openxmlformats.org/officeDocument/2006/relationships/image" Target="media/image10.emf"/><Relationship Id="rId13" Type="http://schemas.openxmlformats.org/officeDocument/2006/relationships/image" Target="media/image9.emf"/><Relationship Id="rId12" Type="http://schemas.openxmlformats.org/officeDocument/2006/relationships/image" Target="media/image8.emf"/><Relationship Id="rId11" Type="http://schemas.openxmlformats.org/officeDocument/2006/relationships/image" Target="media/image7.emf"/><Relationship Id="rId10" Type="http://schemas.openxmlformats.org/officeDocument/2006/relationships/image" Target="media/image6.emf"/><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F3C9713-2142-49DB-85D8-9DF2E3A8CE04}">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1435</Words>
  <Characters>8181</Characters>
  <Lines>68</Lines>
  <Paragraphs>19</Paragraphs>
  <TotalTime>0</TotalTime>
  <ScaleCrop>false</ScaleCrop>
  <LinksUpToDate>false</LinksUpToDate>
  <CharactersWithSpaces>9597</CharactersWithSpaces>
  <Application>WPS Office_11.8.2.8053_F1E327BC-269C-435d-A152-05C5408002CA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GXR</dc:creator>
  <cp:lastModifiedBy>zzb</cp:lastModifiedBy>
  <dcterms:modified xsi:type="dcterms:W3CDTF">2024-11-14T05:06:59Z</dcterms:modified>
  <cp:revision>78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2052-11.8.2.8053</vt:lpwstr>
  </property>
  <property fmtid="{D5CDD505-2E9C-101B-9397-08002B2CF9AE}" pid="3" name="ICV">
    <vt:lpwstr>34A4DC6C1FEF42448F61363EE04F5F4F_13</vt:lpwstr>
  </property>
</Properties>
</file>