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ind w:left="0" w:firstLine="643" w:firstLineChars="200"/>
        <w:jc w:val="left"/>
        <w:textAlignment w:val="auto"/>
        <w:rPr>
          <w:rFonts w:hint="eastAsia" w:ascii="仿宋_GB2312" w:hAnsi="仿宋_GB2312" w:eastAsia="仿宋_GB2312" w:cs="仿宋_GB2312"/>
          <w:b/>
          <w:kern w:val="0"/>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left="0" w:firstLine="643" w:firstLineChars="200"/>
        <w:jc w:val="left"/>
        <w:textAlignment w:val="auto"/>
        <w:rPr>
          <w:rFonts w:hint="eastAsia" w:ascii="仿宋_GB2312" w:hAnsi="仿宋_GB2312" w:eastAsia="仿宋_GB2312" w:cs="仿宋_GB2312"/>
          <w:b/>
          <w:kern w:val="0"/>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left="0" w:firstLine="643" w:firstLineChars="200"/>
        <w:jc w:val="left"/>
        <w:textAlignment w:val="auto"/>
        <w:rPr>
          <w:rFonts w:hint="eastAsia" w:ascii="仿宋_GB2312" w:hAnsi="仿宋_GB2312" w:eastAsia="仿宋_GB2312" w:cs="仿宋_GB2312"/>
          <w:b/>
          <w:kern w:val="0"/>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left="0" w:firstLine="643" w:firstLineChars="200"/>
        <w:jc w:val="left"/>
        <w:textAlignment w:val="auto"/>
        <w:rPr>
          <w:rFonts w:hint="eastAsia" w:ascii="仿宋_GB2312" w:hAnsi="仿宋_GB2312" w:eastAsia="仿宋_GB2312" w:cs="仿宋_GB2312"/>
          <w:b/>
          <w:kern w:val="0"/>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left="0" w:firstLine="643" w:firstLineChars="200"/>
        <w:jc w:val="left"/>
        <w:textAlignment w:val="auto"/>
        <w:rPr>
          <w:rFonts w:hint="eastAsia" w:ascii="仿宋_GB2312" w:hAnsi="仿宋_GB2312" w:eastAsia="仿宋_GB2312" w:cs="仿宋_GB2312"/>
          <w:b/>
          <w:kern w:val="0"/>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left="0" w:firstLine="643" w:firstLineChars="200"/>
        <w:jc w:val="left"/>
        <w:textAlignment w:val="auto"/>
        <w:rPr>
          <w:rFonts w:hint="eastAsia" w:ascii="仿宋_GB2312" w:hAnsi="仿宋_GB2312" w:eastAsia="仿宋_GB2312" w:cs="仿宋_GB2312"/>
          <w:b/>
          <w:kern w:val="0"/>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0" w:firstLineChars="0"/>
        <w:jc w:val="center"/>
        <w:textAlignment w:val="auto"/>
        <w:rPr>
          <w:rFonts w:hint="eastAsia" w:ascii="方正小标宋_GBK" w:hAnsi="方正小标宋_GBK" w:eastAsia="方正小标宋_GBK" w:cs="方正小标宋_GBK"/>
          <w:b/>
          <w:kern w:val="0"/>
          <w:sz w:val="44"/>
          <w:szCs w:val="44"/>
          <w:lang w:val="en-US" w:eastAsia="zh-CN"/>
        </w:rPr>
      </w:pPr>
      <w:r>
        <w:rPr>
          <w:rFonts w:hint="eastAsia" w:ascii="方正小标宋_GBK" w:hAnsi="方正小标宋_GBK" w:eastAsia="方正小标宋_GBK" w:cs="方正小标宋_GBK"/>
          <w:b/>
          <w:kern w:val="0"/>
          <w:sz w:val="44"/>
          <w:szCs w:val="44"/>
        </w:rPr>
        <w:t>自治区财政项目支出绩效自评报告</w:t>
      </w:r>
      <w:bookmarkStart w:id="0" w:name="_GoBack"/>
      <w:bookmarkEnd w:id="0"/>
    </w:p>
    <w:p>
      <w:pPr>
        <w:keepNext w:val="0"/>
        <w:keepLines w:val="0"/>
        <w:pageBreakBefore w:val="0"/>
        <w:widowControl w:val="0"/>
        <w:kinsoku/>
        <w:wordWrap/>
        <w:overflowPunct/>
        <w:topLinePunct w:val="0"/>
        <w:autoSpaceDE/>
        <w:autoSpaceDN/>
        <w:bidi w:val="0"/>
        <w:adjustRightInd/>
        <w:snapToGrid/>
        <w:spacing w:line="600" w:lineRule="exact"/>
        <w:ind w:left="0" w:firstLine="643" w:firstLineChars="200"/>
        <w:jc w:val="left"/>
        <w:textAlignment w:val="auto"/>
        <w:rPr>
          <w:rFonts w:hint="eastAsia" w:ascii="仿宋_GB2312" w:hAnsi="仿宋_GB2312" w:eastAsia="仿宋_GB2312" w:cs="仿宋_GB2312"/>
          <w:b/>
          <w:kern w:val="0"/>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0" w:firstLineChars="0"/>
        <w:jc w:val="center"/>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 </w:t>
      </w:r>
      <w:r>
        <w:rPr>
          <w:rStyle w:val="18"/>
          <w:rFonts w:hint="eastAsia" w:ascii="仿宋_GB2312" w:hAnsi="仿宋_GB2312" w:eastAsia="仿宋_GB2312" w:cs="仿宋_GB2312"/>
          <w:spacing w:val="-4"/>
          <w:sz w:val="32"/>
          <w:szCs w:val="32"/>
        </w:rPr>
        <w:t>2023</w:t>
      </w:r>
      <w:r>
        <w:rPr>
          <w:rFonts w:hint="eastAsia" w:ascii="仿宋_GB2312" w:hAnsi="仿宋_GB2312" w:eastAsia="仿宋_GB2312" w:cs="仿宋_GB2312"/>
          <w:kern w:val="0"/>
          <w:sz w:val="32"/>
          <w:szCs w:val="32"/>
        </w:rPr>
        <w:t xml:space="preserve">  年度）</w:t>
      </w:r>
    </w:p>
    <w:p>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left"/>
        <w:textAlignment w:val="auto"/>
        <w:rPr>
          <w:rFonts w:hint="eastAsia" w:ascii="仿宋_GB2312" w:hAnsi="仿宋_GB2312" w:eastAsia="仿宋_GB2312" w:cs="仿宋_GB2312"/>
          <w:kern w:val="0"/>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left"/>
        <w:textAlignment w:val="auto"/>
        <w:rPr>
          <w:rFonts w:hint="eastAsia" w:ascii="仿宋_GB2312" w:hAnsi="仿宋_GB2312" w:eastAsia="仿宋_GB2312" w:cs="仿宋_GB2312"/>
          <w:kern w:val="0"/>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left"/>
        <w:textAlignment w:val="auto"/>
        <w:rPr>
          <w:rFonts w:hint="eastAsia" w:ascii="仿宋_GB2312" w:hAnsi="仿宋_GB2312" w:eastAsia="仿宋_GB2312" w:cs="仿宋_GB2312"/>
          <w:kern w:val="0"/>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left"/>
        <w:textAlignment w:val="auto"/>
        <w:rPr>
          <w:rFonts w:hint="eastAsia" w:ascii="仿宋_GB2312" w:hAnsi="仿宋_GB2312" w:eastAsia="仿宋_GB2312" w:cs="仿宋_GB2312"/>
          <w:kern w:val="0"/>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838" w:firstLineChars="262"/>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项目名称：</w:t>
      </w:r>
      <w:r>
        <w:rPr>
          <w:rStyle w:val="18"/>
          <w:rFonts w:hint="eastAsia" w:ascii="仿宋_GB2312" w:hAnsi="仿宋_GB2312" w:eastAsia="仿宋_GB2312" w:cs="仿宋_GB2312"/>
          <w:spacing w:val="-4"/>
          <w:sz w:val="32"/>
          <w:szCs w:val="32"/>
        </w:rPr>
        <w:t>专项业务费</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838" w:firstLineChars="262"/>
        <w:jc w:val="left"/>
        <w:textAlignment w:val="auto"/>
        <w:rPr>
          <w:rFonts w:hint="eastAsia" w:ascii="仿宋_GB2312" w:hAnsi="仿宋_GB2312" w:eastAsia="仿宋_GB2312" w:cs="仿宋_GB2312"/>
          <w:b/>
          <w:bCs/>
          <w:spacing w:val="-4"/>
          <w:sz w:val="32"/>
          <w:szCs w:val="32"/>
        </w:rPr>
      </w:pPr>
      <w:r>
        <w:rPr>
          <w:rFonts w:hint="eastAsia" w:ascii="仿宋_GB2312" w:hAnsi="仿宋_GB2312" w:eastAsia="仿宋_GB2312" w:cs="仿宋_GB2312"/>
          <w:kern w:val="0"/>
          <w:sz w:val="32"/>
          <w:szCs w:val="32"/>
        </w:rPr>
        <w:t>实施单位（公章）：</w:t>
      </w:r>
      <w:r>
        <w:rPr>
          <w:rStyle w:val="18"/>
          <w:rFonts w:hint="eastAsia" w:ascii="仿宋_GB2312" w:hAnsi="仿宋_GB2312" w:eastAsia="仿宋_GB2312" w:cs="仿宋_GB2312"/>
          <w:spacing w:val="-4"/>
          <w:sz w:val="32"/>
          <w:szCs w:val="32"/>
        </w:rPr>
        <w:t>中共新疆维吾尔自治区委员会机构编制委员会办公室</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838" w:firstLineChars="262"/>
        <w:jc w:val="left"/>
        <w:textAlignment w:val="auto"/>
        <w:rPr>
          <w:rFonts w:hint="eastAsia" w:ascii="仿宋_GB2312" w:hAnsi="仿宋_GB2312" w:eastAsia="仿宋_GB2312" w:cs="仿宋_GB2312"/>
          <w:b/>
          <w:bCs/>
          <w:spacing w:val="-4"/>
          <w:sz w:val="32"/>
          <w:szCs w:val="32"/>
        </w:rPr>
      </w:pPr>
      <w:r>
        <w:rPr>
          <w:rFonts w:hint="eastAsia" w:ascii="仿宋_GB2312" w:hAnsi="仿宋_GB2312" w:eastAsia="仿宋_GB2312" w:cs="仿宋_GB2312"/>
          <w:kern w:val="0"/>
          <w:sz w:val="32"/>
          <w:szCs w:val="32"/>
        </w:rPr>
        <w:t>主管部门（公章）：</w:t>
      </w:r>
      <w:r>
        <w:rPr>
          <w:rStyle w:val="18"/>
          <w:rFonts w:hint="eastAsia" w:ascii="仿宋_GB2312" w:hAnsi="仿宋_GB2312" w:eastAsia="仿宋_GB2312" w:cs="仿宋_GB2312"/>
          <w:spacing w:val="-4"/>
          <w:sz w:val="32"/>
          <w:szCs w:val="32"/>
        </w:rPr>
        <w:t>中共新疆维吾尔自治区委员会机构编制委员会办公室</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838" w:firstLineChars="262"/>
        <w:jc w:val="left"/>
        <w:textAlignment w:val="auto"/>
        <w:rPr>
          <w:rFonts w:hint="eastAsia" w:ascii="仿宋_GB2312" w:hAnsi="仿宋_GB2312" w:eastAsia="仿宋_GB2312" w:cs="仿宋_GB2312"/>
          <w:b/>
          <w:bCs/>
          <w:spacing w:val="-4"/>
          <w:sz w:val="32"/>
          <w:szCs w:val="32"/>
          <w:lang w:eastAsia="zh-CN"/>
        </w:rPr>
      </w:pPr>
      <w:r>
        <w:rPr>
          <w:rFonts w:hint="eastAsia" w:ascii="仿宋_GB2312" w:hAnsi="仿宋_GB2312" w:eastAsia="仿宋_GB2312" w:cs="仿宋_GB2312"/>
          <w:kern w:val="0"/>
          <w:sz w:val="32"/>
          <w:szCs w:val="32"/>
        </w:rPr>
        <w:t>项目负责人（签章）：</w:t>
      </w:r>
      <w:r>
        <w:rPr>
          <w:rStyle w:val="18"/>
          <w:rFonts w:hint="eastAsia" w:ascii="仿宋_GB2312" w:hAnsi="仿宋_GB2312" w:eastAsia="仿宋_GB2312" w:cs="仿宋_GB2312"/>
          <w:spacing w:val="-4"/>
          <w:sz w:val="32"/>
          <w:szCs w:val="32"/>
          <w:lang w:val="en-US" w:eastAsia="zh-CN"/>
        </w:rPr>
        <w:t>王君安</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838" w:firstLineChars="262"/>
        <w:jc w:val="left"/>
        <w:textAlignment w:val="auto"/>
        <w:rPr>
          <w:rStyle w:val="18"/>
          <w:rFonts w:hint="eastAsia" w:ascii="仿宋_GB2312" w:hAnsi="仿宋_GB2312" w:eastAsia="仿宋_GB2312" w:cs="仿宋_GB2312"/>
          <w:spacing w:val="-4"/>
          <w:sz w:val="32"/>
          <w:szCs w:val="32"/>
        </w:rPr>
      </w:pPr>
      <w:r>
        <w:rPr>
          <w:rFonts w:hint="eastAsia" w:ascii="仿宋_GB2312" w:hAnsi="仿宋_GB2312" w:eastAsia="仿宋_GB2312" w:cs="仿宋_GB2312"/>
          <w:kern w:val="0"/>
          <w:sz w:val="32"/>
          <w:szCs w:val="32"/>
        </w:rPr>
        <w:t>填报时间：</w:t>
      </w:r>
      <w:r>
        <w:rPr>
          <w:rStyle w:val="18"/>
          <w:rFonts w:hint="eastAsia" w:ascii="仿宋_GB2312" w:hAnsi="仿宋_GB2312" w:eastAsia="仿宋_GB2312" w:cs="仿宋_GB2312"/>
          <w:spacing w:val="-4"/>
          <w:sz w:val="32"/>
          <w:szCs w:val="32"/>
        </w:rPr>
        <w:t>2024年03月06日</w:t>
      </w:r>
    </w:p>
    <w:p>
      <w:pPr>
        <w:keepNext w:val="0"/>
        <w:keepLines w:val="0"/>
        <w:pageBreakBefore w:val="0"/>
        <w:widowControl w:val="0"/>
        <w:kinsoku/>
        <w:wordWrap/>
        <w:overflowPunct/>
        <w:topLinePunct w:val="0"/>
        <w:autoSpaceDE/>
        <w:autoSpaceDN/>
        <w:bidi w:val="0"/>
        <w:adjustRightInd/>
        <w:snapToGrid/>
        <w:spacing w:line="600" w:lineRule="exact"/>
        <w:ind w:left="0" w:firstLine="624" w:firstLineChars="200"/>
        <w:jc w:val="left"/>
        <w:textAlignment w:val="auto"/>
        <w:rPr>
          <w:rStyle w:val="18"/>
          <w:rFonts w:hint="eastAsia" w:ascii="黑体" w:hAnsi="黑体" w:eastAsia="黑体" w:cs="黑体"/>
          <w:b w:val="0"/>
          <w:bCs/>
          <w:spacing w:val="-4"/>
          <w:sz w:val="32"/>
          <w:szCs w:val="32"/>
        </w:rPr>
      </w:pPr>
      <w:r>
        <w:rPr>
          <w:rStyle w:val="18"/>
          <w:rFonts w:hint="eastAsia" w:ascii="黑体" w:hAnsi="黑体" w:eastAsia="黑体" w:cs="黑体"/>
          <w:b w:val="0"/>
          <w:bCs/>
          <w:spacing w:val="-4"/>
          <w:sz w:val="32"/>
          <w:szCs w:val="32"/>
        </w:rPr>
        <w:t>一、基本情况</w:t>
      </w:r>
    </w:p>
    <w:p>
      <w:pPr>
        <w:keepNext w:val="0"/>
        <w:keepLines w:val="0"/>
        <w:pageBreakBefore w:val="0"/>
        <w:widowControl w:val="0"/>
        <w:kinsoku/>
        <w:wordWrap/>
        <w:overflowPunct/>
        <w:topLinePunct w:val="0"/>
        <w:autoSpaceDE/>
        <w:autoSpaceDN/>
        <w:bidi w:val="0"/>
        <w:adjustRightInd/>
        <w:snapToGrid/>
        <w:spacing w:line="600" w:lineRule="exact"/>
        <w:ind w:left="0" w:firstLine="624" w:firstLineChars="200"/>
        <w:jc w:val="left"/>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（一）项目概况。包括项目背景、主要内容及实施情况、资金投入和使用情况等。</w:t>
      </w:r>
    </w:p>
    <w:p>
      <w:pPr>
        <w:keepNext w:val="0"/>
        <w:keepLines w:val="0"/>
        <w:pageBreakBefore w:val="0"/>
        <w:widowControl w:val="0"/>
        <w:kinsoku/>
        <w:wordWrap/>
        <w:overflowPunct/>
        <w:topLinePunct w:val="0"/>
        <w:autoSpaceDE/>
        <w:autoSpaceDN/>
        <w:bidi w:val="0"/>
        <w:adjustRightInd/>
        <w:snapToGrid/>
        <w:spacing w:line="600" w:lineRule="exact"/>
        <w:ind w:left="0" w:firstLine="624" w:firstLineChars="200"/>
        <w:jc w:val="left"/>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1、项目背景。坚持以习近平总书记新时代中国特色社会主义思想为指导，全面贯彻落实党的二十大和二十届二中全会精神，深入贯彻落实党中央及中央编委决策部署，贯彻落实全国组织部长、全国编办主任会议精神和自治区党的十届三次、五次、六次、七次全会精神，紧紧围绕坚持和加强党的全面领导，完整准确贯彻落实新时代党的治疆方略，在自治区改革发展稳定重点工作，加强基层力量建设、强化公共卫生体系建设、推进群团体制改革、支持推动经济高质量发展，做好体制机制和机构编制保障，进一步提升服务水平和保障能力，推动各项工作高质量发展。该项目为延续性项目，已组织实施多年。</w:t>
      </w:r>
      <w:r>
        <w:rPr>
          <w:rStyle w:val="18"/>
          <w:rFonts w:hint="eastAsia" w:ascii="仿宋_GB2312" w:hAnsi="仿宋_GB2312" w:eastAsia="仿宋_GB2312" w:cs="仿宋_GB2312"/>
          <w:b w:val="0"/>
          <w:bCs/>
          <w:spacing w:val="-4"/>
          <w:sz w:val="32"/>
          <w:szCs w:val="32"/>
        </w:rPr>
        <w:cr/>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2、主要内容。围绕自治区“十四五”规划重点任务，深入开展机构改革和机构编制管理研究工作，为自治区党委和编委决策提供政策支撑。巩固深化党政机构改革成果，深入推进重要领域体制机制改革，优化机构编制资源配置、构建机构编制法规制度体系，稳步推进事业单位改革，强化对事业单位法人的事中事后监管。全面贯彻实施《中国共产党机构编制工作条例》，抓好组织实施和宣传培训。加强机构编制系统自身建设，开展业务培训。</w:t>
      </w:r>
      <w:r>
        <w:rPr>
          <w:rStyle w:val="18"/>
          <w:rFonts w:hint="eastAsia" w:ascii="仿宋_GB2312" w:hAnsi="仿宋_GB2312" w:eastAsia="仿宋_GB2312" w:cs="仿宋_GB2312"/>
          <w:b w:val="0"/>
          <w:bCs/>
          <w:spacing w:val="-4"/>
          <w:sz w:val="32"/>
          <w:szCs w:val="32"/>
        </w:rPr>
        <w:cr/>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3、资金投入和使用情况。项目主要用于开展机构改革、机构编制管理、法治建设等方面调查研究、保证部门维持正常运转等方面。2023年批复项目预算340万元，其中：当年财政拨款340万元，截至2023年12月31日实际支出328.50万元。</w:t>
      </w:r>
    </w:p>
    <w:p>
      <w:pPr>
        <w:keepNext w:val="0"/>
        <w:keepLines w:val="0"/>
        <w:pageBreakBefore w:val="0"/>
        <w:widowControl w:val="0"/>
        <w:kinsoku/>
        <w:wordWrap/>
        <w:overflowPunct/>
        <w:topLinePunct w:val="0"/>
        <w:autoSpaceDE/>
        <w:autoSpaceDN/>
        <w:bidi w:val="0"/>
        <w:adjustRightInd/>
        <w:snapToGrid/>
        <w:spacing w:line="600" w:lineRule="exact"/>
        <w:ind w:left="0" w:firstLine="624" w:firstLineChars="200"/>
        <w:jc w:val="left"/>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（二）项目绩效目标。包括总体目标和阶段性目标。</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24" w:firstLineChars="200"/>
        <w:jc w:val="left"/>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1、总目标</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24" w:firstLineChars="200"/>
        <w:jc w:val="left"/>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深入学习宣传贯彻党的二十大精神，全面贯彻习近平新时代中国特色社会主义思想，完整准确贯彻新时代党的治疆方略，深入学习贯彻习近平总书记对新疆系列重要讲话重要指示批示精神，坚定拥护“两个确立”、坚决做到“两个维护”，不断增强“四个意识”、坚定“四个自信”、做到“两个维护”，围绕自治区改革发展稳定重点工作，加强基层力量建设、强化公共卫生体系建设、推进群团体制改革、支持推动经济高质量发展，做好体制机制和机构编制保障，进一步提升服务水平和保障能力，推动各项工作高质量发展。总体目标中产出：通过开展基层调研、撰写工作报告、组织召开工作推进会、面向服务单位开展事业单位法人登记审核等方式完成。</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24" w:firstLineChars="200"/>
        <w:jc w:val="left"/>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2、阶段性目标</w:t>
      </w:r>
      <w:r>
        <w:rPr>
          <w:rStyle w:val="18"/>
          <w:rFonts w:hint="eastAsia" w:ascii="仿宋_GB2312" w:hAnsi="仿宋_GB2312" w:eastAsia="仿宋_GB2312" w:cs="仿宋_GB2312"/>
          <w:b w:val="0"/>
          <w:bCs/>
          <w:spacing w:val="-4"/>
          <w:sz w:val="32"/>
          <w:szCs w:val="32"/>
        </w:rPr>
        <w:cr/>
      </w:r>
      <w:r>
        <w:rPr>
          <w:rStyle w:val="18"/>
          <w:rFonts w:hint="eastAsia" w:ascii="仿宋_GB2312" w:hAnsi="仿宋_GB2312" w:eastAsia="仿宋_GB2312" w:cs="仿宋_GB2312"/>
          <w:b w:val="0"/>
          <w:bCs/>
          <w:spacing w:val="-4"/>
          <w:sz w:val="32"/>
          <w:szCs w:val="32"/>
        </w:rPr>
        <w:t xml:space="preserve">    围绕贯彻落实新时代党的治疆方略特别是社会稳定和长治久安总目标，按照自治区党委、自治区党委编委的重点工作部署，敢于担当、主动作为、务求实效，扎实推进各项重点工作。一是贯彻党的决策部署强化顶层设计。坚持把加强党的全面领导作为新时代机构编制工作的主题主线，不折不扣贯彻落实党的二十大决策部署，完整准确全面贯彻新时代党的治疆方略。二是扎实推进党政机构改革。充分发挥编办机构改革“主力军”和“施工队”作用，坚持以系统思维统筹谋划机构改革，确保机构改革“规定动作”与党中央严丝合缝，“自选动作”与区情特点相得益彰。三是深化事业单位改革。对除学校、医院以外的事业单位进行优化整合，推进解决规模过小、分散设置、职责弱化等突出问题，有效发挥事业单位公寓属性。四是持续完善机构职能体系。健全完善加强党的全面领导的体制机制，确保自治区党委对重大工作的全面领导。五是推进基层管理体制机制创新。持续深化乡镇（街道）体制机制改革，明确乡镇（街道）行政执法主体地位。六是优化机构编制资源配置。服务保障科教兴疆战略，盘活高校附属机构编制资源，加强优势特色学科建设。支持职业教育发展，优化职业学校布局，推动自治区职业学校办学条件达标。七是推进机构编制法治建设。健全完善机构编制法规体系，持续推进机构编制执行情况和使用效益评估，推进机构编制科学化、规范化、精细化管理。强化机构编制法制约束，维护机构编制严肃性、权威性。</w:t>
      </w:r>
    </w:p>
    <w:p>
      <w:pPr>
        <w:keepNext w:val="0"/>
        <w:keepLines w:val="0"/>
        <w:pageBreakBefore w:val="0"/>
        <w:widowControl w:val="0"/>
        <w:kinsoku/>
        <w:wordWrap/>
        <w:overflowPunct/>
        <w:topLinePunct w:val="0"/>
        <w:autoSpaceDE/>
        <w:autoSpaceDN/>
        <w:bidi w:val="0"/>
        <w:adjustRightInd/>
        <w:snapToGrid/>
        <w:spacing w:line="600" w:lineRule="exact"/>
        <w:ind w:left="0" w:firstLine="624" w:firstLineChars="200"/>
        <w:jc w:val="left"/>
        <w:textAlignment w:val="auto"/>
        <w:rPr>
          <w:rStyle w:val="18"/>
          <w:rFonts w:hint="eastAsia" w:ascii="黑体" w:hAnsi="黑体" w:eastAsia="黑体" w:cs="黑体"/>
          <w:b w:val="0"/>
          <w:bCs/>
          <w:spacing w:val="-4"/>
          <w:sz w:val="32"/>
          <w:szCs w:val="32"/>
        </w:rPr>
      </w:pPr>
      <w:r>
        <w:rPr>
          <w:rStyle w:val="18"/>
          <w:rFonts w:hint="eastAsia" w:ascii="黑体" w:hAnsi="黑体" w:eastAsia="黑体" w:cs="黑体"/>
          <w:b w:val="0"/>
          <w:bCs/>
          <w:spacing w:val="-4"/>
          <w:sz w:val="32"/>
          <w:szCs w:val="32"/>
        </w:rPr>
        <w:t>二、绩效评价工作开展情况</w:t>
      </w:r>
    </w:p>
    <w:p>
      <w:pPr>
        <w:keepNext w:val="0"/>
        <w:keepLines w:val="0"/>
        <w:pageBreakBefore w:val="0"/>
        <w:widowControl w:val="0"/>
        <w:kinsoku/>
        <w:wordWrap/>
        <w:overflowPunct/>
        <w:topLinePunct w:val="0"/>
        <w:autoSpaceDE/>
        <w:autoSpaceDN/>
        <w:bidi w:val="0"/>
        <w:adjustRightInd/>
        <w:snapToGrid/>
        <w:spacing w:line="600" w:lineRule="exact"/>
        <w:ind w:left="0" w:firstLine="624" w:firstLineChars="200"/>
        <w:jc w:val="left"/>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（一）绩效评价目的、对象和范围。</w:t>
      </w:r>
    </w:p>
    <w:p>
      <w:pPr>
        <w:keepNext w:val="0"/>
        <w:keepLines w:val="0"/>
        <w:pageBreakBefore w:val="0"/>
        <w:widowControl w:val="0"/>
        <w:kinsoku/>
        <w:wordWrap/>
        <w:overflowPunct/>
        <w:topLinePunct w:val="0"/>
        <w:autoSpaceDE/>
        <w:autoSpaceDN/>
        <w:bidi w:val="0"/>
        <w:adjustRightInd/>
        <w:snapToGrid/>
        <w:spacing w:line="600" w:lineRule="exact"/>
        <w:ind w:left="0" w:firstLine="624" w:firstLineChars="200"/>
        <w:jc w:val="left"/>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根据《财政部关于印发&lt;预算绩效评价共性指标体系框架&gt;的通知》（财预〔2013〕53 号）和《财政部关于印发&lt;财政支出绩效评价管理暂行办法&gt;的通知》（财预〔2011〕285 号）的要求，对机构编制专项业务费项目进行科学评价，项目预算编制合理性、资金使用合规性、项目管理的规范性、项目目标的实现情况、服务对象的满意度等，通过本次绩效评价来总结经验和教训，促进项目成果转化和应用，为今后类似项目的长效管理，提供可行性参考建议。本次绩效评价对象为2021年度机构编制专项业务费项目，从项目决策（包括绩效目标、决策过程）、项目管理（包括项目资金、项目实施）、项目产出（包括项目产出数量、产出质量、产出时效和产出成本）、项目效益情况进行综合分析评价。通过评价，总结经验，发现问题，改进工作，进一步加强经费管理，提高财政资金的使用效益，为下一步预算资金安排提供重要参考。2023年预算安排专项业务费资金340万元，实际到位资金328.50万元,本年追加的专项资金为0万元，上年结转结余资金0万元，实际支出328.50万元，完成全年预算数的96.62%。</w:t>
      </w:r>
    </w:p>
    <w:p>
      <w:pPr>
        <w:keepNext w:val="0"/>
        <w:keepLines w:val="0"/>
        <w:pageBreakBefore w:val="0"/>
        <w:widowControl w:val="0"/>
        <w:kinsoku/>
        <w:wordWrap/>
        <w:overflowPunct/>
        <w:topLinePunct w:val="0"/>
        <w:autoSpaceDE/>
        <w:autoSpaceDN/>
        <w:bidi w:val="0"/>
        <w:adjustRightInd/>
        <w:snapToGrid/>
        <w:spacing w:line="600" w:lineRule="exact"/>
        <w:ind w:left="0" w:firstLine="624" w:firstLineChars="200"/>
        <w:jc w:val="left"/>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（二）绩效评价原则、评价指标体系（附表说明）、评价方法、评价标准等。</w:t>
      </w:r>
    </w:p>
    <w:p>
      <w:pPr>
        <w:keepNext w:val="0"/>
        <w:keepLines w:val="0"/>
        <w:pageBreakBefore w:val="0"/>
        <w:widowControl w:val="0"/>
        <w:kinsoku/>
        <w:wordWrap/>
        <w:overflowPunct/>
        <w:topLinePunct w:val="0"/>
        <w:autoSpaceDE/>
        <w:autoSpaceDN/>
        <w:bidi w:val="0"/>
        <w:adjustRightInd/>
        <w:snapToGrid/>
        <w:spacing w:line="600" w:lineRule="exact"/>
        <w:ind w:left="0" w:firstLine="624" w:firstLineChars="200"/>
        <w:jc w:val="left"/>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1、本次绩效评价主要遵循以下原则：</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rPr>
        <w:t xml:space="preserve">   （1）科学公正。绩效评价应当运用科学合理的方法，按照规范的程序，对项目绩效进行客观、公正的反映。</w:t>
      </w:r>
      <w:r>
        <w:rPr>
          <w:rStyle w:val="18"/>
          <w:rFonts w:hint="eastAsia" w:ascii="仿宋_GB2312" w:hAnsi="仿宋_GB2312" w:eastAsia="仿宋_GB2312" w:cs="仿宋_GB2312"/>
          <w:b w:val="0"/>
          <w:bCs/>
          <w:spacing w:val="-4"/>
          <w:sz w:val="32"/>
          <w:szCs w:val="32"/>
        </w:rPr>
        <w:cr/>
      </w:r>
      <w:r>
        <w:rPr>
          <w:rStyle w:val="18"/>
          <w:rFonts w:hint="eastAsia" w:ascii="仿宋_GB2312" w:hAnsi="仿宋_GB2312" w:eastAsia="仿宋_GB2312" w:cs="仿宋_GB2312"/>
          <w:b w:val="0"/>
          <w:bCs/>
          <w:spacing w:val="-4"/>
          <w:sz w:val="32"/>
          <w:szCs w:val="32"/>
        </w:rPr>
        <w:t xml:space="preserve">   （2）统筹兼顾。单位自评、部门评价和财政评价应职责明确，各有侧重，相互衔接。</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rPr>
        <w:t xml:space="preserve">   （3）激励约束。绩效评价结果应与预算安排、政策调整、改进管理实质性挂钩，体现奖优罚劣和激励相容导向，有效要安排、低效要压减、无效要问责。</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rPr>
        <w:t xml:space="preserve">   （4）公开透明。绩效评价结果应依法依规公开，并自觉接受社会监督。</w:t>
      </w:r>
      <w:r>
        <w:rPr>
          <w:rStyle w:val="18"/>
          <w:rFonts w:hint="eastAsia" w:ascii="仿宋_GB2312" w:hAnsi="仿宋_GB2312" w:eastAsia="仿宋_GB2312" w:cs="仿宋_GB2312"/>
          <w:b w:val="0"/>
          <w:bCs/>
          <w:spacing w:val="-4"/>
          <w:sz w:val="32"/>
          <w:szCs w:val="32"/>
        </w:rPr>
        <w:cr/>
      </w:r>
      <w:r>
        <w:rPr>
          <w:rStyle w:val="18"/>
          <w:rFonts w:hint="eastAsia" w:ascii="仿宋_GB2312" w:hAnsi="仿宋_GB2312" w:eastAsia="仿宋_GB2312" w:cs="仿宋_GB2312"/>
          <w:b w:val="0"/>
          <w:bCs/>
          <w:spacing w:val="-4"/>
          <w:sz w:val="32"/>
          <w:szCs w:val="32"/>
        </w:rPr>
        <w:t xml:space="preserve">     2、绩效评价指标体系</w:t>
      </w:r>
      <w:r>
        <w:rPr>
          <w:rStyle w:val="18"/>
          <w:rFonts w:hint="eastAsia" w:ascii="仿宋_GB2312" w:hAnsi="仿宋_GB2312" w:eastAsia="仿宋_GB2312" w:cs="仿宋_GB2312"/>
          <w:b w:val="0"/>
          <w:bCs/>
          <w:spacing w:val="-4"/>
          <w:sz w:val="32"/>
          <w:szCs w:val="32"/>
        </w:rPr>
        <w:cr/>
      </w:r>
      <w:r>
        <w:rPr>
          <w:rStyle w:val="18"/>
          <w:rFonts w:hint="eastAsia" w:ascii="仿宋_GB2312" w:hAnsi="仿宋_GB2312" w:eastAsia="仿宋_GB2312" w:cs="仿宋_GB2312"/>
          <w:b w:val="0"/>
          <w:bCs/>
          <w:spacing w:val="-4"/>
          <w:sz w:val="32"/>
          <w:szCs w:val="32"/>
        </w:rPr>
        <w:t xml:space="preserve">    本次评价指标体系包括决策、过程、产出、效果4个一级指标，6个二级指标和21个三级指标，满分为100分。其中决策（5分）主要评价项目立项、绩效目标情况，重点关注项目绩效目标设定情况。过程（5分）主要评价资金和业务管理情况，其中资金方面重点关注资金支出的合规性，业务方面关注各项工作开展的过程管控情况。产出（60分）主要评价项目在机构编制管理建设方面的产出数量、产出质量、产出时效情况，根据项目申报内容，重点核实产出数量是否达到设定目标、产出质量是否符合设定标准。效益（30分）主要评价社会效益及服务对象满意度情况。 </w:t>
      </w:r>
      <w:r>
        <w:rPr>
          <w:rStyle w:val="18"/>
          <w:rFonts w:hint="eastAsia" w:ascii="仿宋_GB2312" w:hAnsi="仿宋_GB2312" w:eastAsia="仿宋_GB2312" w:cs="仿宋_GB2312"/>
          <w:b w:val="0"/>
          <w:bCs/>
          <w:spacing w:val="-4"/>
          <w:sz w:val="32"/>
          <w:szCs w:val="32"/>
        </w:rPr>
        <w:cr/>
      </w:r>
      <w:r>
        <w:rPr>
          <w:rStyle w:val="18"/>
          <w:rFonts w:hint="eastAsia" w:ascii="仿宋_GB2312" w:hAnsi="仿宋_GB2312" w:eastAsia="仿宋_GB2312" w:cs="仿宋_GB2312"/>
          <w:b w:val="0"/>
          <w:bCs/>
          <w:spacing w:val="-4"/>
          <w:sz w:val="32"/>
          <w:szCs w:val="32"/>
        </w:rPr>
        <w:t xml:space="preserve">     3、评价方法</w:t>
      </w:r>
      <w:r>
        <w:rPr>
          <w:rStyle w:val="18"/>
          <w:rFonts w:hint="eastAsia" w:ascii="仿宋_GB2312" w:hAnsi="仿宋_GB2312" w:eastAsia="仿宋_GB2312" w:cs="仿宋_GB2312"/>
          <w:b w:val="0"/>
          <w:bCs/>
          <w:spacing w:val="-4"/>
          <w:sz w:val="32"/>
          <w:szCs w:val="32"/>
        </w:rPr>
        <w:cr/>
      </w:r>
      <w:r>
        <w:rPr>
          <w:rStyle w:val="18"/>
          <w:rFonts w:hint="eastAsia" w:ascii="仿宋_GB2312" w:hAnsi="仿宋_GB2312" w:eastAsia="仿宋_GB2312" w:cs="仿宋_GB2312"/>
          <w:b w:val="0"/>
          <w:bCs/>
          <w:spacing w:val="-4"/>
          <w:sz w:val="32"/>
          <w:szCs w:val="32"/>
        </w:rPr>
        <w:t xml:space="preserve">    本次绩效评价属于完成结果评价。本着科学、规范、独立、客观、公正的原则，主要采用比较法（对项目绩效目标与实施效果、预算与实际支出对比）、公众评判法等绩效评价方法对2023年度机构编制专项业务费项目进行绩效评价。</w:t>
      </w:r>
      <w:r>
        <w:rPr>
          <w:rStyle w:val="18"/>
          <w:rFonts w:hint="eastAsia" w:ascii="仿宋_GB2312" w:hAnsi="仿宋_GB2312" w:eastAsia="仿宋_GB2312" w:cs="仿宋_GB2312"/>
          <w:b w:val="0"/>
          <w:bCs/>
          <w:spacing w:val="-4"/>
          <w:sz w:val="32"/>
          <w:szCs w:val="32"/>
        </w:rPr>
        <w:cr/>
      </w:r>
      <w:r>
        <w:rPr>
          <w:rStyle w:val="18"/>
          <w:rFonts w:hint="eastAsia" w:ascii="仿宋_GB2312" w:hAnsi="仿宋_GB2312" w:eastAsia="仿宋_GB2312" w:cs="仿宋_GB2312"/>
          <w:b w:val="0"/>
          <w:bCs/>
          <w:spacing w:val="-4"/>
          <w:sz w:val="32"/>
          <w:szCs w:val="32"/>
        </w:rPr>
        <w:t xml:space="preserve">    4、绩效评价标准</w:t>
      </w:r>
      <w:r>
        <w:rPr>
          <w:rStyle w:val="18"/>
          <w:rFonts w:hint="eastAsia" w:ascii="仿宋_GB2312" w:hAnsi="仿宋_GB2312" w:eastAsia="仿宋_GB2312" w:cs="仿宋_GB2312"/>
          <w:b w:val="0"/>
          <w:bCs/>
          <w:spacing w:val="-4"/>
          <w:sz w:val="32"/>
          <w:szCs w:val="32"/>
        </w:rPr>
        <w:cr/>
      </w:r>
      <w:r>
        <w:rPr>
          <w:rStyle w:val="18"/>
          <w:rFonts w:hint="eastAsia" w:ascii="仿宋_GB2312" w:hAnsi="仿宋_GB2312" w:eastAsia="仿宋_GB2312" w:cs="仿宋_GB2312"/>
          <w:b w:val="0"/>
          <w:bCs/>
          <w:spacing w:val="-4"/>
          <w:sz w:val="32"/>
          <w:szCs w:val="32"/>
        </w:rPr>
        <w:t xml:space="preserve">    本次评价主要采用了计划标准和行业标准。</w:t>
      </w:r>
    </w:p>
    <w:p>
      <w:pPr>
        <w:keepNext w:val="0"/>
        <w:keepLines w:val="0"/>
        <w:pageBreakBefore w:val="0"/>
        <w:widowControl w:val="0"/>
        <w:kinsoku/>
        <w:wordWrap/>
        <w:overflowPunct/>
        <w:topLinePunct w:val="0"/>
        <w:autoSpaceDE/>
        <w:autoSpaceDN/>
        <w:bidi w:val="0"/>
        <w:adjustRightInd/>
        <w:snapToGrid/>
        <w:spacing w:line="600" w:lineRule="exact"/>
        <w:ind w:left="0" w:firstLine="624" w:firstLineChars="200"/>
        <w:jc w:val="left"/>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（三）绩效评价工作过程。</w:t>
      </w:r>
    </w:p>
    <w:p>
      <w:pPr>
        <w:keepNext w:val="0"/>
        <w:keepLines w:val="0"/>
        <w:pageBreakBefore w:val="0"/>
        <w:widowControl w:val="0"/>
        <w:kinsoku/>
        <w:wordWrap/>
        <w:overflowPunct/>
        <w:topLinePunct w:val="0"/>
        <w:autoSpaceDE/>
        <w:autoSpaceDN/>
        <w:bidi w:val="0"/>
        <w:adjustRightInd/>
        <w:snapToGrid/>
        <w:spacing w:line="600" w:lineRule="exact"/>
        <w:ind w:left="0" w:firstLine="624" w:firstLineChars="200"/>
        <w:jc w:val="left"/>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包括评价基础数据收集、资料来源和依据等佐证材料情况，不断完善该项目的所有资料准备，重点项目建设各项任务如期完成。</w:t>
      </w:r>
    </w:p>
    <w:p>
      <w:pPr>
        <w:keepNext w:val="0"/>
        <w:keepLines w:val="0"/>
        <w:pageBreakBefore w:val="0"/>
        <w:widowControl w:val="0"/>
        <w:kinsoku/>
        <w:wordWrap/>
        <w:overflowPunct/>
        <w:topLinePunct w:val="0"/>
        <w:autoSpaceDE/>
        <w:autoSpaceDN/>
        <w:bidi w:val="0"/>
        <w:adjustRightInd/>
        <w:snapToGrid/>
        <w:spacing w:line="600" w:lineRule="exact"/>
        <w:ind w:left="0" w:firstLine="624" w:firstLineChars="200"/>
        <w:jc w:val="left"/>
        <w:textAlignment w:val="auto"/>
        <w:rPr>
          <w:rStyle w:val="18"/>
          <w:rFonts w:hint="eastAsia" w:ascii="黑体" w:hAnsi="黑体" w:eastAsia="黑体" w:cs="黑体"/>
          <w:b w:val="0"/>
          <w:bCs/>
          <w:spacing w:val="-4"/>
          <w:sz w:val="32"/>
          <w:szCs w:val="32"/>
        </w:rPr>
      </w:pPr>
      <w:r>
        <w:rPr>
          <w:rStyle w:val="18"/>
          <w:rFonts w:hint="eastAsia" w:ascii="黑体" w:hAnsi="黑体" w:eastAsia="黑体" w:cs="黑体"/>
          <w:b w:val="0"/>
          <w:bCs/>
          <w:spacing w:val="-4"/>
          <w:sz w:val="32"/>
          <w:szCs w:val="32"/>
        </w:rPr>
        <w:t>三、综合评价情况及评价结论</w:t>
      </w:r>
    </w:p>
    <w:p>
      <w:pPr>
        <w:keepNext w:val="0"/>
        <w:keepLines w:val="0"/>
        <w:pageBreakBefore w:val="0"/>
        <w:widowControl w:val="0"/>
        <w:kinsoku/>
        <w:wordWrap/>
        <w:overflowPunct/>
        <w:topLinePunct w:val="0"/>
        <w:autoSpaceDE/>
        <w:autoSpaceDN/>
        <w:bidi w:val="0"/>
        <w:adjustRightInd/>
        <w:snapToGrid/>
        <w:spacing w:line="600" w:lineRule="exact"/>
        <w:ind w:left="0" w:firstLine="624" w:firstLineChars="200"/>
        <w:jc w:val="left"/>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该项目绩效评价综合得分为 99.66分，评价等级为“优”。评价认为，该项目 2023年度绩效目标完成情况较好。</w:t>
      </w:r>
    </w:p>
    <w:p>
      <w:pPr>
        <w:keepNext w:val="0"/>
        <w:keepLines w:val="0"/>
        <w:pageBreakBefore w:val="0"/>
        <w:widowControl w:val="0"/>
        <w:kinsoku/>
        <w:wordWrap/>
        <w:overflowPunct/>
        <w:topLinePunct w:val="0"/>
        <w:autoSpaceDE/>
        <w:autoSpaceDN/>
        <w:bidi w:val="0"/>
        <w:adjustRightInd/>
        <w:snapToGrid/>
        <w:spacing w:line="600" w:lineRule="exact"/>
        <w:ind w:left="0" w:firstLine="624" w:firstLineChars="200"/>
        <w:jc w:val="left"/>
        <w:textAlignment w:val="auto"/>
        <w:rPr>
          <w:rStyle w:val="18"/>
          <w:rFonts w:hint="eastAsia" w:ascii="黑体" w:hAnsi="黑体" w:eastAsia="黑体" w:cs="黑体"/>
          <w:b w:val="0"/>
          <w:bCs/>
          <w:sz w:val="32"/>
          <w:szCs w:val="32"/>
        </w:rPr>
      </w:pPr>
      <w:r>
        <w:rPr>
          <w:rStyle w:val="18"/>
          <w:rFonts w:hint="eastAsia" w:ascii="黑体" w:hAnsi="黑体" w:eastAsia="黑体" w:cs="黑体"/>
          <w:b w:val="0"/>
          <w:bCs/>
          <w:spacing w:val="-4"/>
          <w:sz w:val="32"/>
          <w:szCs w:val="32"/>
        </w:rPr>
        <w:t xml:space="preserve">四、绩效评价指标分析 </w:t>
      </w:r>
    </w:p>
    <w:p>
      <w:pPr>
        <w:keepNext w:val="0"/>
        <w:keepLines w:val="0"/>
        <w:pageBreakBefore w:val="0"/>
        <w:widowControl w:val="0"/>
        <w:kinsoku/>
        <w:wordWrap/>
        <w:overflowPunct/>
        <w:topLinePunct w:val="0"/>
        <w:autoSpaceDE/>
        <w:autoSpaceDN/>
        <w:bidi w:val="0"/>
        <w:adjustRightInd/>
        <w:snapToGrid/>
        <w:spacing w:line="600" w:lineRule="exact"/>
        <w:ind w:left="0" w:firstLine="624" w:firstLineChars="200"/>
        <w:jc w:val="left"/>
        <w:textAlignment w:val="auto"/>
        <w:rPr>
          <w:rFonts w:hint="eastAsia" w:ascii="仿宋_GB2312" w:hAnsi="仿宋_GB2312" w:eastAsia="仿宋_GB2312" w:cs="仿宋_GB2312"/>
          <w:b w:val="0"/>
          <w:bCs/>
          <w:spacing w:val="-4"/>
          <w:sz w:val="32"/>
          <w:szCs w:val="32"/>
        </w:rPr>
      </w:pPr>
      <w:r>
        <w:rPr>
          <w:rFonts w:hint="eastAsia" w:ascii="仿宋_GB2312" w:hAnsi="仿宋_GB2312" w:eastAsia="仿宋_GB2312" w:cs="仿宋_GB2312"/>
          <w:b w:val="0"/>
          <w:bCs/>
          <w:spacing w:val="-4"/>
          <w:sz w:val="32"/>
          <w:szCs w:val="32"/>
        </w:rPr>
        <w:t>（一）项目决策情况。</w:t>
      </w:r>
    </w:p>
    <w:p>
      <w:pPr>
        <w:keepNext w:val="0"/>
        <w:keepLines w:val="0"/>
        <w:pageBreakBefore w:val="0"/>
        <w:widowControl w:val="0"/>
        <w:kinsoku/>
        <w:wordWrap/>
        <w:overflowPunct/>
        <w:topLinePunct w:val="0"/>
        <w:autoSpaceDE/>
        <w:autoSpaceDN/>
        <w:bidi w:val="0"/>
        <w:adjustRightInd/>
        <w:snapToGrid/>
        <w:spacing w:line="600" w:lineRule="exact"/>
        <w:ind w:left="0" w:firstLine="624" w:firstLineChars="200"/>
        <w:jc w:val="left"/>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项目决策指标从目标内容、决策依据2个方面对项目的立项决策目标完成情况进行考察，该指标分值5分，实际得分5分，得分率100%。项目立项依据较充分，程序较规范。绩效目标较明确，绩效指标较为清晰。</w:t>
      </w:r>
    </w:p>
    <w:p>
      <w:pPr>
        <w:keepNext w:val="0"/>
        <w:keepLines w:val="0"/>
        <w:pageBreakBefore w:val="0"/>
        <w:widowControl w:val="0"/>
        <w:kinsoku/>
        <w:wordWrap/>
        <w:overflowPunct/>
        <w:topLinePunct w:val="0"/>
        <w:autoSpaceDE/>
        <w:autoSpaceDN/>
        <w:bidi w:val="0"/>
        <w:adjustRightInd/>
        <w:snapToGrid/>
        <w:spacing w:line="600" w:lineRule="exact"/>
        <w:ind w:left="0" w:firstLine="624" w:firstLineChars="200"/>
        <w:jc w:val="left"/>
        <w:textAlignment w:val="auto"/>
        <w:rPr>
          <w:rFonts w:hint="eastAsia" w:ascii="仿宋_GB2312" w:hAnsi="仿宋_GB2312" w:eastAsia="仿宋_GB2312" w:cs="仿宋_GB2312"/>
          <w:b w:val="0"/>
          <w:bCs/>
          <w:spacing w:val="-4"/>
          <w:sz w:val="32"/>
          <w:szCs w:val="32"/>
        </w:rPr>
      </w:pPr>
      <w:r>
        <w:rPr>
          <w:rFonts w:hint="eastAsia" w:ascii="仿宋_GB2312" w:hAnsi="仿宋_GB2312" w:eastAsia="仿宋_GB2312" w:cs="仿宋_GB2312"/>
          <w:b w:val="0"/>
          <w:bCs/>
          <w:spacing w:val="-4"/>
          <w:sz w:val="32"/>
          <w:szCs w:val="32"/>
        </w:rPr>
        <w:t>（二）项目过程情况。</w:t>
      </w:r>
    </w:p>
    <w:p>
      <w:pPr>
        <w:keepNext w:val="0"/>
        <w:keepLines w:val="0"/>
        <w:pageBreakBefore w:val="0"/>
        <w:widowControl w:val="0"/>
        <w:kinsoku/>
        <w:wordWrap/>
        <w:overflowPunct/>
        <w:topLinePunct w:val="0"/>
        <w:autoSpaceDE/>
        <w:autoSpaceDN/>
        <w:bidi w:val="0"/>
        <w:adjustRightInd/>
        <w:snapToGrid/>
        <w:spacing w:line="600" w:lineRule="exact"/>
        <w:ind w:left="0" w:firstLine="624" w:firstLineChars="200"/>
        <w:jc w:val="left"/>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项目管理指标从项目资金的资金到位情况过程控制2个方面对项目的管理情况进行考察。项目管理类指标分值5分，实际得分4.66分。项目预算批复流程合规、手续完整，资金到位率100%，项目建立了相关业务管理制度，项目实施符合相关管理规定。</w:t>
      </w:r>
    </w:p>
    <w:p>
      <w:pPr>
        <w:keepNext w:val="0"/>
        <w:keepLines w:val="0"/>
        <w:pageBreakBefore w:val="0"/>
        <w:widowControl w:val="0"/>
        <w:kinsoku/>
        <w:wordWrap/>
        <w:overflowPunct/>
        <w:topLinePunct w:val="0"/>
        <w:autoSpaceDE/>
        <w:autoSpaceDN/>
        <w:bidi w:val="0"/>
        <w:adjustRightInd/>
        <w:snapToGrid/>
        <w:spacing w:line="600" w:lineRule="exact"/>
        <w:ind w:left="0" w:firstLine="624" w:firstLineChars="200"/>
        <w:jc w:val="left"/>
        <w:textAlignment w:val="auto"/>
        <w:rPr>
          <w:rFonts w:hint="eastAsia" w:ascii="仿宋_GB2312" w:hAnsi="仿宋_GB2312" w:eastAsia="仿宋_GB2312" w:cs="仿宋_GB2312"/>
          <w:b w:val="0"/>
          <w:bCs/>
          <w:spacing w:val="-4"/>
          <w:sz w:val="32"/>
          <w:szCs w:val="32"/>
        </w:rPr>
      </w:pPr>
      <w:r>
        <w:rPr>
          <w:rFonts w:hint="eastAsia" w:ascii="仿宋_GB2312" w:hAnsi="仿宋_GB2312" w:eastAsia="仿宋_GB2312" w:cs="仿宋_GB2312"/>
          <w:b w:val="0"/>
          <w:bCs/>
          <w:spacing w:val="-4"/>
          <w:sz w:val="32"/>
          <w:szCs w:val="32"/>
        </w:rPr>
        <w:t>（三）项目产出情况。</w:t>
      </w:r>
    </w:p>
    <w:p>
      <w:pPr>
        <w:keepNext w:val="0"/>
        <w:keepLines w:val="0"/>
        <w:pageBreakBefore w:val="0"/>
        <w:widowControl w:val="0"/>
        <w:kinsoku/>
        <w:wordWrap/>
        <w:overflowPunct/>
        <w:topLinePunct w:val="0"/>
        <w:autoSpaceDE/>
        <w:autoSpaceDN/>
        <w:bidi w:val="0"/>
        <w:adjustRightInd/>
        <w:snapToGrid/>
        <w:spacing w:line="600" w:lineRule="exact"/>
        <w:ind w:left="0" w:firstLine="624" w:firstLineChars="200"/>
        <w:jc w:val="left"/>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项目绩效主要从项目产出的产出数量、产出质量、产出时效、成本情况4个方面对项目的绩效情况进行评价。项目绩效类指标分值60分，实际得分60分，得分率为100%。项目任务基本完成，质量较高，总体成本控制情况较好。</w:t>
      </w:r>
    </w:p>
    <w:p>
      <w:pPr>
        <w:keepNext w:val="0"/>
        <w:keepLines w:val="0"/>
        <w:pageBreakBefore w:val="0"/>
        <w:widowControl w:val="0"/>
        <w:kinsoku/>
        <w:wordWrap/>
        <w:overflowPunct/>
        <w:topLinePunct w:val="0"/>
        <w:autoSpaceDE/>
        <w:autoSpaceDN/>
        <w:bidi w:val="0"/>
        <w:adjustRightInd/>
        <w:snapToGrid/>
        <w:spacing w:line="600" w:lineRule="exact"/>
        <w:ind w:left="0" w:firstLine="624" w:firstLineChars="200"/>
        <w:jc w:val="left"/>
        <w:textAlignment w:val="auto"/>
        <w:rPr>
          <w:rFonts w:hint="eastAsia" w:ascii="仿宋_GB2312" w:hAnsi="仿宋_GB2312" w:eastAsia="仿宋_GB2312" w:cs="仿宋_GB2312"/>
          <w:b w:val="0"/>
          <w:bCs/>
          <w:spacing w:val="-4"/>
          <w:sz w:val="32"/>
          <w:szCs w:val="32"/>
        </w:rPr>
      </w:pPr>
      <w:r>
        <w:rPr>
          <w:rFonts w:hint="eastAsia" w:ascii="仿宋_GB2312" w:hAnsi="仿宋_GB2312" w:eastAsia="仿宋_GB2312" w:cs="仿宋_GB2312"/>
          <w:b w:val="0"/>
          <w:bCs/>
          <w:spacing w:val="-4"/>
          <w:sz w:val="32"/>
          <w:szCs w:val="32"/>
        </w:rPr>
        <w:t>（四）项目效益情况。</w:t>
      </w:r>
    </w:p>
    <w:p>
      <w:pPr>
        <w:keepNext w:val="0"/>
        <w:keepLines w:val="0"/>
        <w:pageBreakBefore w:val="0"/>
        <w:widowControl w:val="0"/>
        <w:kinsoku/>
        <w:wordWrap/>
        <w:overflowPunct/>
        <w:topLinePunct w:val="0"/>
        <w:autoSpaceDE/>
        <w:autoSpaceDN/>
        <w:bidi w:val="0"/>
        <w:adjustRightInd/>
        <w:snapToGrid/>
        <w:spacing w:line="600" w:lineRule="exact"/>
        <w:ind w:left="0" w:firstLine="624" w:firstLineChars="200"/>
        <w:jc w:val="left"/>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项目绩效主要从项目产出的效果的社会效益方面对项目的绩效情况进行评价。项目绩效类指标分值20分，实际得分20分，得分率为100%。项目实施效益较为显著，项目在进一步提高政府执行力，提高工作效能，构建工作体系上效果显著；为完善社会治理体系、提高治理能力，实现社会稳定和长治久安总目标提供了组织保障；在提升机构编制工作社会影响力，为推进机构编制工作和办领导决策提供参考借鉴等方面效果较好。</w:t>
      </w:r>
    </w:p>
    <w:p>
      <w:pPr>
        <w:keepNext w:val="0"/>
        <w:keepLines w:val="0"/>
        <w:pageBreakBefore w:val="0"/>
        <w:widowControl w:val="0"/>
        <w:kinsoku/>
        <w:wordWrap/>
        <w:overflowPunct/>
        <w:topLinePunct w:val="0"/>
        <w:autoSpaceDE/>
        <w:autoSpaceDN/>
        <w:bidi w:val="0"/>
        <w:adjustRightInd/>
        <w:snapToGrid/>
        <w:spacing w:line="600" w:lineRule="exact"/>
        <w:ind w:left="0" w:firstLine="624" w:firstLineChars="200"/>
        <w:jc w:val="left"/>
        <w:textAlignment w:val="auto"/>
        <w:rPr>
          <w:rFonts w:hint="eastAsia" w:ascii="仿宋_GB2312" w:hAnsi="仿宋_GB2312" w:eastAsia="仿宋_GB2312" w:cs="仿宋_GB2312"/>
          <w:b w:val="0"/>
          <w:bCs/>
          <w:spacing w:val="-4"/>
          <w:sz w:val="32"/>
          <w:szCs w:val="32"/>
        </w:rPr>
      </w:pPr>
      <w:r>
        <w:rPr>
          <w:rFonts w:hint="eastAsia" w:ascii="仿宋_GB2312" w:hAnsi="仿宋_GB2312" w:eastAsia="仿宋_GB2312" w:cs="仿宋_GB2312"/>
          <w:b w:val="0"/>
          <w:bCs/>
          <w:spacing w:val="-4"/>
          <w:sz w:val="32"/>
          <w:szCs w:val="32"/>
        </w:rPr>
        <w:t>（五）满意度指标完成情况分析。</w:t>
      </w:r>
    </w:p>
    <w:p>
      <w:pPr>
        <w:keepNext w:val="0"/>
        <w:keepLines w:val="0"/>
        <w:pageBreakBefore w:val="0"/>
        <w:widowControl w:val="0"/>
        <w:kinsoku/>
        <w:wordWrap/>
        <w:overflowPunct/>
        <w:topLinePunct w:val="0"/>
        <w:autoSpaceDE/>
        <w:autoSpaceDN/>
        <w:bidi w:val="0"/>
        <w:adjustRightInd/>
        <w:snapToGrid/>
        <w:spacing w:line="600" w:lineRule="exact"/>
        <w:ind w:left="0" w:firstLine="624" w:firstLineChars="200"/>
        <w:jc w:val="left"/>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社会公众和服务对象满意度较高,根据评分标准该指标不扣分。</w:t>
      </w:r>
    </w:p>
    <w:p>
      <w:pPr>
        <w:keepNext w:val="0"/>
        <w:keepLines w:val="0"/>
        <w:pageBreakBefore w:val="0"/>
        <w:widowControl w:val="0"/>
        <w:kinsoku/>
        <w:wordWrap/>
        <w:overflowPunct/>
        <w:topLinePunct w:val="0"/>
        <w:autoSpaceDE/>
        <w:autoSpaceDN/>
        <w:bidi w:val="0"/>
        <w:adjustRightInd/>
        <w:snapToGrid/>
        <w:spacing w:line="600" w:lineRule="exact"/>
        <w:ind w:left="0" w:firstLine="624" w:firstLineChars="200"/>
        <w:jc w:val="left"/>
        <w:textAlignment w:val="auto"/>
        <w:rPr>
          <w:rStyle w:val="18"/>
          <w:rFonts w:hint="eastAsia" w:ascii="黑体" w:hAnsi="黑体" w:eastAsia="黑体" w:cs="黑体"/>
          <w:b w:val="0"/>
          <w:bCs/>
          <w:spacing w:val="-4"/>
          <w:sz w:val="32"/>
          <w:szCs w:val="32"/>
        </w:rPr>
      </w:pPr>
      <w:r>
        <w:rPr>
          <w:rStyle w:val="18"/>
          <w:rFonts w:hint="eastAsia" w:ascii="黑体" w:hAnsi="黑体" w:eastAsia="黑体" w:cs="黑体"/>
          <w:b w:val="0"/>
          <w:bCs/>
          <w:spacing w:val="-4"/>
          <w:sz w:val="32"/>
          <w:szCs w:val="32"/>
          <w:lang w:eastAsia="zh-CN"/>
        </w:rPr>
        <w:t>五</w:t>
      </w:r>
      <w:r>
        <w:rPr>
          <w:rStyle w:val="18"/>
          <w:rFonts w:hint="eastAsia" w:ascii="黑体" w:hAnsi="黑体" w:eastAsia="黑体" w:cs="黑体"/>
          <w:b w:val="0"/>
          <w:bCs/>
          <w:spacing w:val="-4"/>
          <w:sz w:val="32"/>
          <w:szCs w:val="32"/>
        </w:rPr>
        <w:t>、主要经验及做法、存在的问题及原因分析</w:t>
      </w:r>
    </w:p>
    <w:p>
      <w:pPr>
        <w:keepNext w:val="0"/>
        <w:keepLines w:val="0"/>
        <w:pageBreakBefore w:val="0"/>
        <w:widowControl w:val="0"/>
        <w:kinsoku/>
        <w:wordWrap/>
        <w:overflowPunct/>
        <w:topLinePunct w:val="0"/>
        <w:autoSpaceDE/>
        <w:autoSpaceDN/>
        <w:bidi w:val="0"/>
        <w:adjustRightInd/>
        <w:snapToGrid/>
        <w:spacing w:line="600" w:lineRule="exact"/>
        <w:ind w:left="0" w:firstLine="624" w:firstLineChars="200"/>
        <w:jc w:val="left"/>
        <w:textAlignment w:val="auto"/>
        <w:rPr>
          <w:rFonts w:hint="eastAsia" w:ascii="仿宋_GB2312" w:hAnsi="仿宋_GB2312" w:eastAsia="仿宋_GB2312" w:cs="仿宋_GB2312"/>
          <w:b w:val="0"/>
          <w:bCs/>
          <w:spacing w:val="-4"/>
          <w:sz w:val="32"/>
          <w:szCs w:val="32"/>
        </w:rPr>
      </w:pPr>
      <w:r>
        <w:rPr>
          <w:rFonts w:hint="eastAsia" w:ascii="仿宋_GB2312" w:hAnsi="仿宋_GB2312" w:eastAsia="仿宋_GB2312" w:cs="仿宋_GB2312"/>
          <w:b w:val="0"/>
          <w:bCs/>
          <w:spacing w:val="-4"/>
          <w:sz w:val="32"/>
          <w:szCs w:val="32"/>
        </w:rPr>
        <w:t>（一）主要经验及做法。</w:t>
      </w:r>
    </w:p>
    <w:p>
      <w:pPr>
        <w:keepNext w:val="0"/>
        <w:keepLines w:val="0"/>
        <w:pageBreakBefore w:val="0"/>
        <w:widowControl w:val="0"/>
        <w:kinsoku/>
        <w:wordWrap/>
        <w:overflowPunct/>
        <w:topLinePunct w:val="0"/>
        <w:autoSpaceDE/>
        <w:autoSpaceDN/>
        <w:bidi w:val="0"/>
        <w:adjustRightInd/>
        <w:snapToGrid/>
        <w:spacing w:line="600" w:lineRule="exact"/>
        <w:ind w:left="0" w:firstLine="624" w:firstLineChars="200"/>
        <w:jc w:val="left"/>
        <w:textAlignment w:val="auto"/>
        <w:rPr>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一是制定了明确的项目绩效目标，项目的所有工作围绕这些目标实施，为绩效评价提供了有力依据。二是在项目执行过程中，部门之间定期沟通，及时调整工作方向。</w:t>
      </w:r>
      <w:r>
        <w:rPr>
          <w:rStyle w:val="18"/>
          <w:rFonts w:hint="eastAsia" w:ascii="仿宋_GB2312" w:hAnsi="仿宋_GB2312" w:eastAsia="仿宋_GB2312" w:cs="仿宋_GB2312"/>
          <w:b w:val="0"/>
          <w:bCs/>
          <w:spacing w:val="-4"/>
          <w:sz w:val="32"/>
          <w:szCs w:val="32"/>
        </w:rPr>
        <w:cr/>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Fonts w:hint="eastAsia" w:ascii="仿宋_GB2312" w:hAnsi="仿宋_GB2312" w:eastAsia="仿宋_GB2312" w:cs="仿宋_GB2312"/>
          <w:b w:val="0"/>
          <w:bCs/>
          <w:spacing w:val="-4"/>
          <w:sz w:val="32"/>
          <w:szCs w:val="32"/>
        </w:rPr>
        <w:t>（二）存在的问题。</w:t>
      </w:r>
    </w:p>
    <w:p>
      <w:pPr>
        <w:keepNext w:val="0"/>
        <w:keepLines w:val="0"/>
        <w:pageBreakBefore w:val="0"/>
        <w:widowControl w:val="0"/>
        <w:kinsoku/>
        <w:wordWrap/>
        <w:overflowPunct/>
        <w:topLinePunct w:val="0"/>
        <w:autoSpaceDE/>
        <w:autoSpaceDN/>
        <w:bidi w:val="0"/>
        <w:adjustRightInd/>
        <w:snapToGrid/>
        <w:spacing w:line="600" w:lineRule="exact"/>
        <w:ind w:left="0" w:firstLine="624" w:firstLineChars="200"/>
        <w:jc w:val="left"/>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一是项目预算编制不够科学，未充分考虑年度工作需要。二是部分项目绩效指标设置不够完整。</w:t>
      </w:r>
    </w:p>
    <w:p>
      <w:pPr>
        <w:keepNext w:val="0"/>
        <w:keepLines w:val="0"/>
        <w:pageBreakBefore w:val="0"/>
        <w:widowControl w:val="0"/>
        <w:kinsoku/>
        <w:wordWrap/>
        <w:overflowPunct/>
        <w:topLinePunct w:val="0"/>
        <w:autoSpaceDE/>
        <w:autoSpaceDN/>
        <w:bidi w:val="0"/>
        <w:adjustRightInd/>
        <w:snapToGrid/>
        <w:spacing w:line="600" w:lineRule="exact"/>
        <w:ind w:left="0" w:firstLine="624" w:firstLineChars="200"/>
        <w:jc w:val="left"/>
        <w:textAlignment w:val="auto"/>
        <w:rPr>
          <w:rStyle w:val="18"/>
          <w:rFonts w:hint="eastAsia" w:ascii="黑体" w:hAnsi="黑体" w:eastAsia="黑体" w:cs="黑体"/>
          <w:b w:val="0"/>
          <w:bCs/>
          <w:spacing w:val="-4"/>
          <w:sz w:val="32"/>
          <w:szCs w:val="32"/>
        </w:rPr>
      </w:pPr>
      <w:r>
        <w:rPr>
          <w:rStyle w:val="18"/>
          <w:rFonts w:hint="eastAsia" w:ascii="黑体" w:hAnsi="黑体" w:eastAsia="黑体" w:cs="黑体"/>
          <w:b w:val="0"/>
          <w:bCs/>
          <w:spacing w:val="-4"/>
          <w:sz w:val="32"/>
          <w:szCs w:val="32"/>
          <w:lang w:eastAsia="zh-CN"/>
        </w:rPr>
        <w:t>六</w:t>
      </w:r>
      <w:r>
        <w:rPr>
          <w:rStyle w:val="18"/>
          <w:rFonts w:hint="eastAsia" w:ascii="黑体" w:hAnsi="黑体" w:eastAsia="黑体" w:cs="黑体"/>
          <w:b w:val="0"/>
          <w:bCs/>
          <w:spacing w:val="-4"/>
          <w:sz w:val="32"/>
          <w:szCs w:val="32"/>
        </w:rPr>
        <w:t>、有关建议</w:t>
      </w:r>
    </w:p>
    <w:p>
      <w:pPr>
        <w:keepNext w:val="0"/>
        <w:keepLines w:val="0"/>
        <w:pageBreakBefore w:val="0"/>
        <w:widowControl w:val="0"/>
        <w:kinsoku/>
        <w:wordWrap/>
        <w:overflowPunct/>
        <w:topLinePunct w:val="0"/>
        <w:autoSpaceDE/>
        <w:autoSpaceDN/>
        <w:bidi w:val="0"/>
        <w:adjustRightInd/>
        <w:snapToGrid/>
        <w:spacing w:line="600" w:lineRule="exact"/>
        <w:ind w:left="0" w:firstLine="624" w:firstLineChars="200"/>
        <w:jc w:val="left"/>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建议项目单位科学编制预算，提高预算与目标匹配度。加强预算执行力度，对预算执行情况进行定期检查和评估，及时发现和纠正问题。加强预算执行过程的动态监督，减少过程中的调整，保证项目完成质量，进一步提升项目绩效。</w:t>
      </w:r>
    </w:p>
    <w:p>
      <w:pPr>
        <w:keepNext w:val="0"/>
        <w:keepLines w:val="0"/>
        <w:pageBreakBefore w:val="0"/>
        <w:widowControl w:val="0"/>
        <w:kinsoku/>
        <w:wordWrap/>
        <w:overflowPunct/>
        <w:topLinePunct w:val="0"/>
        <w:autoSpaceDE/>
        <w:autoSpaceDN/>
        <w:bidi w:val="0"/>
        <w:adjustRightInd/>
        <w:snapToGrid/>
        <w:spacing w:line="600" w:lineRule="exact"/>
        <w:ind w:left="0" w:firstLine="624" w:firstLineChars="200"/>
        <w:jc w:val="left"/>
        <w:textAlignment w:val="auto"/>
        <w:rPr>
          <w:rStyle w:val="18"/>
          <w:rFonts w:hint="eastAsia" w:ascii="黑体" w:hAnsi="黑体" w:eastAsia="黑体" w:cs="黑体"/>
          <w:b w:val="0"/>
          <w:bCs/>
          <w:spacing w:val="-4"/>
          <w:sz w:val="32"/>
          <w:szCs w:val="32"/>
        </w:rPr>
      </w:pPr>
      <w:r>
        <w:rPr>
          <w:rStyle w:val="18"/>
          <w:rFonts w:hint="eastAsia" w:ascii="黑体" w:hAnsi="黑体" w:eastAsia="黑体" w:cs="黑体"/>
          <w:b w:val="0"/>
          <w:bCs/>
          <w:spacing w:val="-4"/>
          <w:sz w:val="32"/>
          <w:szCs w:val="32"/>
          <w:lang w:eastAsia="zh-CN"/>
        </w:rPr>
        <w:t>七</w:t>
      </w:r>
      <w:r>
        <w:rPr>
          <w:rStyle w:val="18"/>
          <w:rFonts w:hint="eastAsia" w:ascii="黑体" w:hAnsi="黑体" w:eastAsia="黑体" w:cs="黑体"/>
          <w:b w:val="0"/>
          <w:bCs/>
          <w:spacing w:val="-4"/>
          <w:sz w:val="32"/>
          <w:szCs w:val="32"/>
        </w:rPr>
        <w:t>、其他需要说明的问题</w:t>
      </w:r>
    </w:p>
    <w:p>
      <w:pPr>
        <w:keepNext w:val="0"/>
        <w:keepLines w:val="0"/>
        <w:pageBreakBefore w:val="0"/>
        <w:widowControl w:val="0"/>
        <w:kinsoku/>
        <w:wordWrap/>
        <w:overflowPunct/>
        <w:topLinePunct w:val="0"/>
        <w:autoSpaceDE/>
        <w:autoSpaceDN/>
        <w:bidi w:val="0"/>
        <w:adjustRightInd/>
        <w:snapToGrid/>
        <w:spacing w:line="600" w:lineRule="exact"/>
        <w:ind w:left="0" w:firstLine="624" w:firstLineChars="200"/>
        <w:jc w:val="left"/>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无</w:t>
      </w:r>
    </w:p>
    <w:p>
      <w:pPr>
        <w:keepNext w:val="0"/>
        <w:keepLines w:val="0"/>
        <w:pageBreakBefore w:val="0"/>
        <w:widowControl w:val="0"/>
        <w:kinsoku/>
        <w:wordWrap/>
        <w:overflowPunct/>
        <w:topLinePunct w:val="0"/>
        <w:autoSpaceDE/>
        <w:autoSpaceDN/>
        <w:bidi w:val="0"/>
        <w:adjustRightInd/>
        <w:snapToGrid/>
        <w:spacing w:line="600" w:lineRule="exact"/>
        <w:ind w:left="0" w:firstLine="624" w:firstLineChars="200"/>
        <w:jc w:val="left"/>
        <w:textAlignment w:val="auto"/>
        <w:rPr>
          <w:rStyle w:val="18"/>
          <w:rFonts w:hint="eastAsia" w:ascii="仿宋_GB2312" w:hAnsi="仿宋_GB2312" w:eastAsia="仿宋_GB2312" w:cs="仿宋_GB2312"/>
          <w:b w:val="0"/>
          <w:bCs/>
          <w:spacing w:val="-4"/>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left="0" w:firstLine="624" w:firstLineChars="200"/>
        <w:jc w:val="left"/>
        <w:textAlignment w:val="auto"/>
        <w:rPr>
          <w:rStyle w:val="18"/>
          <w:rFonts w:hint="eastAsia" w:ascii="仿宋_GB2312" w:hAnsi="仿宋_GB2312" w:eastAsia="仿宋_GB2312" w:cs="仿宋_GB2312"/>
          <w:b w:val="0"/>
          <w:bCs/>
          <w:spacing w:val="-4"/>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left="0" w:firstLine="624" w:firstLineChars="200"/>
        <w:jc w:val="left"/>
        <w:textAlignment w:val="auto"/>
        <w:rPr>
          <w:rStyle w:val="18"/>
          <w:rFonts w:hint="eastAsia" w:ascii="仿宋_GB2312" w:hAnsi="仿宋_GB2312" w:eastAsia="仿宋_GB2312" w:cs="仿宋_GB2312"/>
          <w:b w:val="0"/>
          <w:bCs/>
          <w:spacing w:val="-4"/>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left="0" w:firstLine="624" w:firstLineChars="200"/>
        <w:jc w:val="left"/>
        <w:textAlignment w:val="auto"/>
        <w:rPr>
          <w:rStyle w:val="18"/>
          <w:rFonts w:hint="eastAsia" w:ascii="仿宋_GB2312" w:hAnsi="仿宋_GB2312" w:eastAsia="仿宋_GB2312" w:cs="仿宋_GB2312"/>
          <w:b w:val="0"/>
          <w:bCs/>
          <w:spacing w:val="-4"/>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left="0" w:firstLine="624" w:firstLineChars="200"/>
        <w:jc w:val="left"/>
        <w:textAlignment w:val="auto"/>
        <w:rPr>
          <w:rStyle w:val="18"/>
          <w:rFonts w:hint="eastAsia" w:ascii="仿宋_GB2312" w:hAnsi="仿宋_GB2312" w:eastAsia="仿宋_GB2312" w:cs="仿宋_GB2312"/>
          <w:b w:val="0"/>
          <w:bCs/>
          <w:spacing w:val="-4"/>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left="0" w:firstLine="624" w:firstLineChars="200"/>
        <w:jc w:val="left"/>
        <w:textAlignment w:val="auto"/>
        <w:rPr>
          <w:rStyle w:val="18"/>
          <w:rFonts w:hint="eastAsia" w:ascii="仿宋_GB2312" w:hAnsi="仿宋_GB2312" w:eastAsia="仿宋_GB2312" w:cs="仿宋_GB2312"/>
          <w:b w:val="0"/>
          <w:bCs/>
          <w:spacing w:val="-4"/>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left="0" w:firstLine="624" w:firstLineChars="200"/>
        <w:jc w:val="left"/>
        <w:textAlignment w:val="auto"/>
        <w:rPr>
          <w:rStyle w:val="18"/>
          <w:rFonts w:hint="eastAsia" w:ascii="仿宋_GB2312" w:hAnsi="仿宋_GB2312" w:eastAsia="仿宋_GB2312" w:cs="仿宋_GB2312"/>
          <w:b w:val="0"/>
          <w:bCs/>
          <w:spacing w:val="-4"/>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left="0" w:firstLine="624" w:firstLineChars="200"/>
        <w:jc w:val="left"/>
        <w:textAlignment w:val="auto"/>
        <w:rPr>
          <w:rStyle w:val="18"/>
          <w:rFonts w:hint="eastAsia" w:ascii="仿宋_GB2312" w:hAnsi="仿宋_GB2312" w:eastAsia="仿宋_GB2312" w:cs="仿宋_GB2312"/>
          <w:b w:val="0"/>
          <w:bCs/>
          <w:spacing w:val="-4"/>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left="0" w:firstLine="624" w:firstLineChars="200"/>
        <w:jc w:val="left"/>
        <w:textAlignment w:val="auto"/>
        <w:rPr>
          <w:rStyle w:val="18"/>
          <w:rFonts w:hint="eastAsia" w:ascii="仿宋_GB2312" w:hAnsi="仿宋_GB2312" w:eastAsia="仿宋_GB2312" w:cs="仿宋_GB2312"/>
          <w:b w:val="0"/>
          <w:bCs/>
          <w:spacing w:val="-4"/>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left="0" w:firstLine="624" w:firstLineChars="200"/>
        <w:jc w:val="left"/>
        <w:textAlignment w:val="auto"/>
        <w:rPr>
          <w:rStyle w:val="18"/>
          <w:rFonts w:hint="eastAsia" w:ascii="仿宋_GB2312" w:hAnsi="仿宋_GB2312" w:eastAsia="仿宋_GB2312" w:cs="仿宋_GB2312"/>
          <w:b w:val="0"/>
          <w:bCs/>
          <w:spacing w:val="-4"/>
          <w:sz w:val="32"/>
          <w:szCs w:val="32"/>
        </w:rPr>
      </w:pPr>
    </w:p>
    <w:sectPr>
      <w:footerReference r:id="rId3" w:type="default"/>
      <w:pgSz w:w="11906" w:h="16838"/>
      <w:pgMar w:top="2098" w:right="1474" w:bottom="1984" w:left="1587"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422003363"/>
                            <w:docPartObj>
                              <w:docPartGallery w:val="autotext"/>
                            </w:docPartObj>
                          </w:sdtPr>
                          <w:sdtContent>
                            <w:p>
                              <w:pPr>
                                <w:pStyle w:val="12"/>
                                <w:jc w:val="cente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PAGE   \* MERGEFORMAT</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lang w:val="zh-CN"/>
                                </w:rPr>
                                <w:t>1</w:t>
                              </w:r>
                              <w:r>
                                <w:rPr>
                                  <w:rFonts w:hint="eastAsia" w:ascii="仿宋_GB2312" w:hAnsi="仿宋_GB2312" w:eastAsia="仿宋_GB2312" w:cs="仿宋_GB2312"/>
                                  <w:sz w:val="32"/>
                                  <w:szCs w:val="32"/>
                                </w:rPr>
                                <w:fldChar w:fldCharType="end"/>
                              </w:r>
                            </w:p>
                          </w:sdtContent>
                        </w:sdt>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sdt>
                    <w:sdtPr>
                      <w:id w:val="422003363"/>
                      <w:docPartObj>
                        <w:docPartGallery w:val="autotext"/>
                      </w:docPartObj>
                    </w:sdtPr>
                    <w:sdtContent>
                      <w:p>
                        <w:pPr>
                          <w:pStyle w:val="12"/>
                          <w:jc w:val="cente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PAGE   \* MERGEFORMAT</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lang w:val="zh-CN"/>
                          </w:rPr>
                          <w:t>1</w:t>
                        </w:r>
                        <w:r>
                          <w:rPr>
                            <w:rFonts w:hint="eastAsia" w:ascii="仿宋_GB2312" w:hAnsi="仿宋_GB2312" w:eastAsia="仿宋_GB2312" w:cs="仿宋_GB2312"/>
                            <w:sz w:val="32"/>
                            <w:szCs w:val="32"/>
                          </w:rPr>
                          <w:fldChar w:fldCharType="end"/>
                        </w:r>
                      </w:p>
                    </w:sdtContent>
                  </w:sdt>
                  <w:p/>
                </w:txbxContent>
              </v:textbox>
            </v:shape>
          </w:pict>
        </mc:Fallback>
      </mc:AlternateContent>
    </w:r>
  </w:p>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M0YzQzMGFjMjUzMGYwODMwZjhmZTEzMTA0N2U0NTcifQ=="/>
  </w:docVars>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CB44F22"/>
    <w:rsid w:val="12DA5E21"/>
    <w:rsid w:val="17E61175"/>
    <w:rsid w:val="29AE467B"/>
    <w:rsid w:val="2C4461CA"/>
    <w:rsid w:val="4D2606A1"/>
    <w:rsid w:val="5207117A"/>
    <w:rsid w:val="59683EB1"/>
    <w:rsid w:val="635C4C6C"/>
    <w:rsid w:val="63F17A3E"/>
    <w:rsid w:val="78526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3713</Words>
  <Characters>3804</Characters>
  <Lines>5</Lines>
  <Paragraphs>1</Paragraphs>
  <TotalTime>0</TotalTime>
  <ScaleCrop>false</ScaleCrop>
  <LinksUpToDate>false</LinksUpToDate>
  <CharactersWithSpaces>3872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HUAWEI</cp:lastModifiedBy>
  <cp:lastPrinted>2018-12-31T10:56:00Z</cp:lastPrinted>
  <dcterms:modified xsi:type="dcterms:W3CDTF">2024-08-27T09:05:27Z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9E853DEADD474AD88B908C8BDA05CCAD_12</vt:lpwstr>
  </property>
</Properties>
</file>