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1E2112">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57E3F5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4288984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新疆维吾尔自治区政务服务和公共资源交易中心</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部门决算公开说明</w:t>
      </w:r>
    </w:p>
    <w:p w14:paraId="25AF1CCE">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5B1F1678">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259D92C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14BFE75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5602E90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2625DC1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1E67A6D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4930A47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0E79532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2AE7CC6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48701D2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6625997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6D65D64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0C99B5F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227DEABF">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60EB6F4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2DA8064F">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4726F5D7">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213C2B2F">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13DAEDA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074D89A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460B0B3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696D135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356BB00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5330022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654A041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72F30FA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4FD50F9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543CBF5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0F83A5E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451A85B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19478D5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04428D87">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12C43D34">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57D04F6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14:paraId="7239B8D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76E4D7EF">
      <w:pPr>
        <w:pStyle w:val="16"/>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新疆维吾尔自治区政务服务和公共资源交易中心主要职责是:</w:t>
      </w:r>
    </w:p>
    <w:p w14:paraId="15A65EBB">
      <w:pPr>
        <w:pStyle w:val="16"/>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(一)贯彻执行党和国家政务服务和公共资源交易的法律法规和方针政策。</w:t>
      </w:r>
    </w:p>
    <w:p w14:paraId="55A14C9E">
      <w:pPr>
        <w:pStyle w:val="16"/>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(二)承担自治区政务服务规范化、标准化工作，以及各地、各部门政务 服务能力评估工作，为“放管服”改革落地提供支撑。</w:t>
      </w:r>
    </w:p>
    <w:p w14:paraId="29E933FE">
      <w:pPr>
        <w:pStyle w:val="16"/>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(三)负责对自治区本级工程建设项目招标投标、矿业权出让、国有产权交易、政府采购、及以市场化方式配置的自然资源、资产股权、环境权等各类 公共资源交易，提供见证、场所、信息、档案、专家抽取等管理和服务。</w:t>
      </w:r>
    </w:p>
    <w:p w14:paraId="57C96DDC">
      <w:pPr>
        <w:pStyle w:val="16"/>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(四)承担全区政务服务数据汇聚整合、共享开放、应用融合等数据管理工作。</w:t>
      </w:r>
    </w:p>
    <w:p w14:paraId="61D2A7C4">
      <w:pPr>
        <w:pStyle w:val="16"/>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(五)对地(州、市)、县(市、区)政务服务和公共资源交易中心进行业务指导。</w:t>
      </w:r>
    </w:p>
    <w:p w14:paraId="49991651">
      <w:pPr>
        <w:pStyle w:val="16"/>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(六)承担全区一体化在线政务服务平台和公共资源交易平台建设、运行 维护等工作，承担“12345”在线服务平台相关工作。</w:t>
      </w:r>
    </w:p>
    <w:p w14:paraId="3337A323">
      <w:pPr>
        <w:pStyle w:val="16"/>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(七)承担自治区政务服务大厅和公共资源交易大厅的日常管理及规范化 建设工作。</w:t>
      </w:r>
    </w:p>
    <w:p w14:paraId="1CF0AC40">
      <w:pPr>
        <w:pStyle w:val="16"/>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(八)完成自治区党委、自治区人民政府交办的其他事项。</w:t>
      </w:r>
    </w:p>
    <w:p w14:paraId="1EB25334">
      <w:pPr>
        <w:pStyle w:val="16"/>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(九)承担自治区政务服务和公共资源交易中心场地、车辆、固定资产等后勤保障工作；</w:t>
      </w:r>
    </w:p>
    <w:p w14:paraId="61245520">
      <w:pPr>
        <w:pStyle w:val="16"/>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(十)承担“12345”在线服务平台保障；</w:t>
      </w:r>
    </w:p>
    <w:p w14:paraId="3ADCFD57">
      <w:pPr>
        <w:pStyle w:val="16"/>
        <w:spacing w:line="560" w:lineRule="exact"/>
        <w:ind w:firstLine="560"/>
        <w:rPr>
          <w:rFonts w:hint="eastAsia" w:ascii="仿宋_GB2312" w:eastAsia="仿宋_GB2312"/>
          <w:color w:val="auto"/>
          <w:sz w:val="32"/>
          <w:szCs w:val="32"/>
          <w:highlight w:val="none"/>
        </w:rPr>
      </w:pPr>
      <w:r>
        <w:rPr>
          <w:rFonts w:hint="eastAsia" w:ascii="仿宋" w:hAnsi="仿宋" w:eastAsia="仿宋"/>
          <w:color w:val="000000"/>
          <w:sz w:val="28"/>
          <w:szCs w:val="28"/>
        </w:rPr>
        <w:t>(十一)承担一体化在线政务服务平台、政务数据和公共资源交易第三方服务工作。</w:t>
      </w:r>
    </w:p>
    <w:p w14:paraId="3FA3A35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02337F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新疆维吾尔自治区政务服务和公共资源交易中心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78</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76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w:t>
      </w:r>
      <w:r>
        <w:rPr>
          <w:rFonts w:hint="eastAsia" w:ascii="仿宋_GB2312" w:eastAsia="仿宋_GB2312"/>
          <w:color w:val="auto"/>
          <w:sz w:val="32"/>
          <w:szCs w:val="32"/>
          <w:highlight w:val="none"/>
        </w:rPr>
        <w:t>人。</w:t>
      </w:r>
    </w:p>
    <w:p w14:paraId="75A427B3">
      <w:pPr>
        <w:pStyle w:val="16"/>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从</w:t>
      </w:r>
      <w:r>
        <w:rPr>
          <w:rFonts w:hint="eastAsia" w:ascii="仿宋_GB2312" w:eastAsia="仿宋_GB2312"/>
          <w:color w:val="auto"/>
          <w:sz w:val="32"/>
          <w:szCs w:val="32"/>
          <w:highlight w:val="none"/>
          <w:lang w:eastAsia="zh-CN"/>
        </w:rPr>
        <w:t>部门</w:t>
      </w:r>
      <w:r>
        <w:rPr>
          <w:rFonts w:hint="eastAsia" w:ascii="仿宋_GB2312" w:eastAsia="仿宋_GB2312"/>
          <w:color w:val="auto"/>
          <w:sz w:val="32"/>
          <w:szCs w:val="32"/>
          <w:highlight w:val="none"/>
        </w:rPr>
        <w:t>决算</w:t>
      </w:r>
      <w:r>
        <w:rPr>
          <w:rFonts w:hint="eastAsia" w:ascii="仿宋" w:hAnsi="仿宋" w:eastAsia="仿宋"/>
          <w:color w:val="000000"/>
          <w:sz w:val="28"/>
          <w:szCs w:val="28"/>
        </w:rPr>
        <w:t>单位构成看，新疆维吾尔自治区政务服务和公共资源交易中心的</w:t>
      </w:r>
      <w:r>
        <w:rPr>
          <w:rFonts w:hint="eastAsia" w:ascii="仿宋" w:hAnsi="仿宋" w:eastAsia="仿宋"/>
          <w:color w:val="000000"/>
          <w:sz w:val="28"/>
          <w:szCs w:val="28"/>
          <w:lang w:val="en-US" w:eastAsia="zh-CN"/>
        </w:rPr>
        <w:t>决算</w:t>
      </w:r>
      <w:r>
        <w:rPr>
          <w:rFonts w:hint="eastAsia" w:ascii="仿宋" w:hAnsi="仿宋" w:eastAsia="仿宋"/>
          <w:color w:val="000000"/>
          <w:sz w:val="28"/>
          <w:szCs w:val="28"/>
        </w:rPr>
        <w:t>包括：新疆维吾尔自治区政务服务和公共资源交易中心本级</w:t>
      </w:r>
      <w:r>
        <w:rPr>
          <w:rFonts w:hint="eastAsia" w:ascii="仿宋" w:hAnsi="仿宋" w:eastAsia="仿宋"/>
          <w:color w:val="000000"/>
          <w:sz w:val="28"/>
          <w:szCs w:val="28"/>
          <w:lang w:val="en-US" w:eastAsia="zh-CN"/>
        </w:rPr>
        <w:t>决算</w:t>
      </w:r>
      <w:r>
        <w:rPr>
          <w:rFonts w:hint="eastAsia" w:ascii="仿宋" w:hAnsi="仿宋" w:eastAsia="仿宋"/>
          <w:color w:val="000000"/>
          <w:sz w:val="28"/>
          <w:szCs w:val="28"/>
        </w:rPr>
        <w:t>及</w:t>
      </w:r>
      <w:r>
        <w:rPr>
          <w:rFonts w:hint="eastAsia" w:ascii="仿宋" w:hAnsi="仿宋" w:eastAsia="仿宋"/>
          <w:color w:val="000000"/>
          <w:sz w:val="28"/>
          <w:szCs w:val="28"/>
          <w:lang w:val="en-US" w:eastAsia="zh-CN"/>
        </w:rPr>
        <w:t>所</w:t>
      </w:r>
      <w:r>
        <w:rPr>
          <w:rFonts w:hint="eastAsia" w:ascii="仿宋" w:hAnsi="仿宋" w:eastAsia="仿宋"/>
          <w:color w:val="000000"/>
          <w:sz w:val="28"/>
          <w:szCs w:val="28"/>
        </w:rPr>
        <w:t>属单位</w:t>
      </w:r>
      <w:r>
        <w:rPr>
          <w:rFonts w:hint="eastAsia" w:ascii="仿宋" w:hAnsi="仿宋" w:eastAsia="仿宋"/>
          <w:color w:val="000000"/>
          <w:sz w:val="28"/>
          <w:szCs w:val="28"/>
          <w:lang w:val="en-US" w:eastAsia="zh-CN"/>
        </w:rPr>
        <w:t>决算</w:t>
      </w:r>
      <w:r>
        <w:rPr>
          <w:rFonts w:hint="eastAsia" w:ascii="仿宋" w:hAnsi="仿宋" w:eastAsia="仿宋"/>
          <w:color w:val="000000"/>
          <w:sz w:val="28"/>
          <w:szCs w:val="28"/>
        </w:rPr>
        <w:t>。</w:t>
      </w:r>
    </w:p>
    <w:p w14:paraId="160657FA">
      <w:pPr>
        <w:pStyle w:val="16"/>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新疆维吾尔自治区政务服务和公共资源交易中心本级下设13个处室，分别是：综合部、政务服务部、公共资源交易部、大数据部、大厅管理部、建设管理部、工程交易部、自然资源交易部、政府采购部、医疗药品采购部、现场监督部、财务审计部、组织人事部(机关党委)。</w:t>
      </w:r>
    </w:p>
    <w:p w14:paraId="581D3A51">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纳入新疆维吾尔自治区政务服务和公共资源交易中心（部门）</w:t>
      </w: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rPr>
        <w:t>部门决算编制范围的</w:t>
      </w:r>
      <w:r>
        <w:rPr>
          <w:rFonts w:hint="eastAsia" w:ascii="仿宋_GB2312" w:eastAsia="仿宋_GB2312"/>
          <w:color w:val="auto"/>
          <w:spacing w:val="0"/>
          <w:sz w:val="32"/>
          <w:szCs w:val="32"/>
          <w:highlight w:val="none"/>
          <w:lang w:val="en-US" w:eastAsia="zh-CN"/>
        </w:rPr>
        <w:t>下属预算</w:t>
      </w:r>
      <w:r>
        <w:rPr>
          <w:rFonts w:hint="eastAsia" w:ascii="仿宋_GB2312" w:eastAsia="仿宋_GB2312"/>
          <w:color w:val="auto"/>
          <w:spacing w:val="0"/>
          <w:sz w:val="32"/>
          <w:szCs w:val="32"/>
          <w:highlight w:val="none"/>
        </w:rPr>
        <w:t>单位</w:t>
      </w:r>
      <w:r>
        <w:rPr>
          <w:rFonts w:hint="eastAsia" w:ascii="仿宋_GB2312" w:eastAsia="仿宋_GB2312"/>
          <w:color w:val="auto"/>
          <w:spacing w:val="0"/>
          <w:sz w:val="32"/>
          <w:szCs w:val="32"/>
          <w:highlight w:val="none"/>
          <w:lang w:val="en-US" w:eastAsia="zh-CN"/>
        </w:rPr>
        <w:t>包括</w:t>
      </w:r>
      <w:r>
        <w:rPr>
          <w:rFonts w:hint="eastAsia" w:ascii="仿宋_GB2312" w:eastAsia="仿宋_GB2312"/>
          <w:color w:val="auto"/>
          <w:spacing w:val="0"/>
          <w:sz w:val="32"/>
          <w:szCs w:val="32"/>
          <w:highlight w:val="none"/>
          <w:lang w:eastAsia="zh-CN"/>
        </w:rPr>
        <w:t>：</w:t>
      </w:r>
    </w:p>
    <w:p w14:paraId="38F9A9FD">
      <w:pPr>
        <w:pStyle w:val="16"/>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1、新疆维吾尔自治区政务服务和公共资源交易中心</w:t>
      </w:r>
    </w:p>
    <w:p w14:paraId="0E426CEE">
      <w:pPr>
        <w:pStyle w:val="16"/>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2、新疆维吾尔自治区政务资源综合服务中心</w:t>
      </w:r>
    </w:p>
    <w:p w14:paraId="706660C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4B961D6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61F3793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31,064.74万元，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31,064.74万元，使用非财政拨款结余0.00万元，年初结转和结余0.00万元。</w:t>
      </w:r>
    </w:p>
    <w:p w14:paraId="151139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31,064.74万元，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15,823.28万元，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15,189.10万元，年末结转和结余52.35万元。</w:t>
      </w:r>
    </w:p>
    <w:p w14:paraId="56FA9F1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增加20,615.32万元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增长197.29%</w:t>
      </w:r>
      <w:r>
        <w:rPr>
          <w:rFonts w:hint="eastAsia" w:ascii="仿宋_GB2312" w:eastAsia="仿宋_GB2312"/>
          <w:color w:val="auto"/>
          <w:spacing w:val="0"/>
          <w:sz w:val="32"/>
          <w:szCs w:val="32"/>
          <w:highlight w:val="none"/>
          <w:lang w:eastAsia="zh-CN"/>
        </w:rPr>
        <w:t>，主要原因是</w:t>
      </w:r>
      <w:r>
        <w:rPr>
          <w:rFonts w:hint="eastAsia" w:ascii="Times New Roman" w:hAnsi="Times New Roman" w:eastAsia="仿宋_GB2312" w:cs="Times New Roman"/>
          <w:sz w:val="32"/>
          <w:szCs w:val="32"/>
          <w:highlight w:val="none"/>
          <w:lang w:val="en-US" w:eastAsia="zh-CN"/>
        </w:rPr>
        <w:t>政务服务和公共资源交易中心及下属二级单位政务资源综合服务中心</w:t>
      </w:r>
      <w:r>
        <w:rPr>
          <w:rFonts w:hint="default" w:ascii="Times New Roman" w:hAnsi="Times New Roman" w:eastAsia="仿宋_GB2312" w:cs="Times New Roman"/>
          <w:color w:val="auto"/>
          <w:sz w:val="32"/>
          <w:szCs w:val="32"/>
          <w:highlight w:val="none"/>
          <w:lang w:val="en-US" w:eastAsia="zh-CN"/>
        </w:rPr>
        <w:t>2022年</w:t>
      </w:r>
      <w:r>
        <w:rPr>
          <w:rFonts w:hint="eastAsia" w:ascii="Times New Roman" w:hAnsi="Times New Roman" w:eastAsia="仿宋_GB2312" w:cs="Times New Roman"/>
          <w:color w:val="auto"/>
          <w:sz w:val="32"/>
          <w:szCs w:val="32"/>
          <w:highlight w:val="none"/>
          <w:lang w:val="en-US" w:eastAsia="zh-CN"/>
        </w:rPr>
        <w:t>资金为追加预算资金。</w:t>
      </w:r>
      <w:r>
        <w:rPr>
          <w:rFonts w:hint="eastAsia" w:eastAsia="仿宋_GB2312" w:cs="Times New Roman"/>
          <w:color w:val="auto"/>
          <w:sz w:val="32"/>
          <w:szCs w:val="32"/>
          <w:highlight w:val="none"/>
          <w:lang w:val="en-US" w:eastAsia="zh-CN"/>
        </w:rPr>
        <w:t>2022年财政拨款为1140.04万元，事业单位经营收入为4614.12万元，本年度，2023年财政拨款为1419.40万元，较上年增加279.36万元，事业单位经营收入为6986.57万元，较上年增加2372.45万元。</w:t>
      </w:r>
    </w:p>
    <w:p w14:paraId="3298F7B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277799D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31,064.74</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2,378.93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7.66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28,510.43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91.78</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175.38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0.56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61148C1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4DC05E6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本年支出15,823.28万元，其中：基本支出1,601.87万元，占10.12%；项目支出736.20万元，占4.65%；上缴上级支出0.00万元，占0.00%；经营支出13,485.21万元，占85.22%；对附属单位补助支出0.00万元，占0.00%。</w:t>
      </w:r>
    </w:p>
    <w:p w14:paraId="3B0C1BE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4A15430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2,378.93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2,378.93</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2,378.93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52.35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2,326.58</w:t>
      </w:r>
      <w:r>
        <w:rPr>
          <w:rFonts w:hint="eastAsia" w:ascii="仿宋_GB2312" w:eastAsia="仿宋_GB2312"/>
          <w:color w:val="auto"/>
          <w:spacing w:val="0"/>
          <w:sz w:val="32"/>
          <w:szCs w:val="32"/>
          <w:highlight w:val="none"/>
          <w:lang w:eastAsia="zh-CN"/>
        </w:rPr>
        <w:t>万元。</w:t>
      </w:r>
    </w:p>
    <w:p w14:paraId="3BAF7E1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增加249.82万元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增长11.73%，</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依据自治区人社厅绩效工资调整标准，本年度人员工资薪金增加。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1,419.40</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2,378.93</w:t>
      </w:r>
      <w:r>
        <w:rPr>
          <w:rFonts w:hint="eastAsia" w:ascii="仿宋_GB2312" w:eastAsia="仿宋_GB2312"/>
          <w:color w:val="auto"/>
          <w:spacing w:val="0"/>
          <w:sz w:val="32"/>
          <w:szCs w:val="32"/>
          <w:highlight w:val="none"/>
          <w:lang w:eastAsia="zh-CN"/>
        </w:rPr>
        <w:t>万元，预决算差异率67.60%，主要原因是</w:t>
      </w:r>
      <w:r>
        <w:rPr>
          <w:rFonts w:hint="eastAsia" w:ascii="仿宋_GB2312" w:eastAsia="仿宋_GB2312"/>
          <w:color w:val="auto"/>
          <w:spacing w:val="0"/>
          <w:sz w:val="32"/>
          <w:szCs w:val="32"/>
          <w:highlight w:val="none"/>
          <w:lang w:val="en-US" w:eastAsia="zh-CN"/>
        </w:rPr>
        <w:t>追加了自治区一体化在线政务服务平台深化应用项目及</w:t>
      </w:r>
      <w:r>
        <w:rPr>
          <w:rFonts w:hint="eastAsia" w:ascii="仿宋_GB2312" w:eastAsia="仿宋_GB2312"/>
          <w:color w:val="auto"/>
          <w:spacing w:val="0"/>
          <w:sz w:val="32"/>
          <w:szCs w:val="32"/>
          <w:highlight w:val="none"/>
          <w:lang w:eastAsia="zh-CN"/>
        </w:rPr>
        <w:t>特定目标0210689C</w:t>
      </w:r>
      <w:r>
        <w:rPr>
          <w:rFonts w:hint="eastAsia" w:ascii="仿宋_GB2312" w:eastAsia="仿宋_GB2312"/>
          <w:color w:val="auto"/>
          <w:spacing w:val="0"/>
          <w:sz w:val="32"/>
          <w:szCs w:val="32"/>
          <w:highlight w:val="none"/>
          <w:lang w:val="en-US" w:eastAsia="zh-CN"/>
        </w:rPr>
        <w:t>项目资金。</w:t>
      </w:r>
    </w:p>
    <w:p w14:paraId="295A2B8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120EA39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7876EAF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2023年度一般公共预算财政拨款支出2,326.58万元，占本年支出合计的</w:t>
      </w:r>
      <w:r>
        <w:rPr>
          <w:rFonts w:hint="eastAsia" w:ascii="仿宋_GB2312" w:eastAsia="仿宋_GB2312"/>
          <w:color w:val="auto"/>
          <w:spacing w:val="0"/>
          <w:sz w:val="32"/>
          <w:szCs w:val="32"/>
          <w:highlight w:val="none"/>
          <w:lang w:val="zh-CN" w:eastAsia="zh-CN"/>
        </w:rPr>
        <w:t>14.70%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增加197.47万元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增长9.27%，</w:t>
      </w:r>
      <w:r>
        <w:rPr>
          <w:rFonts w:hint="eastAsia" w:ascii="仿宋_GB2312" w:eastAsia="仿宋_GB2312"/>
          <w:color w:val="auto"/>
          <w:spacing w:val="0"/>
          <w:sz w:val="32"/>
          <w:szCs w:val="32"/>
          <w:highlight w:val="none"/>
          <w:lang w:eastAsia="zh-CN"/>
        </w:rPr>
        <w:t>主要原因是主要原因是</w:t>
      </w:r>
      <w:r>
        <w:rPr>
          <w:rFonts w:hint="eastAsia" w:ascii="仿宋_GB2312" w:eastAsia="仿宋_GB2312"/>
          <w:color w:val="auto"/>
          <w:spacing w:val="0"/>
          <w:sz w:val="32"/>
          <w:szCs w:val="32"/>
          <w:highlight w:val="none"/>
          <w:lang w:val="en-US" w:eastAsia="zh-CN"/>
        </w:rPr>
        <w:t>依据自治区人社厅绩效工资调整标准，本年度人员工资薪金增加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1,419.40</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2,326.58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63.91%</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追加了自治区一体化在线政务服务平台深化应用项目及</w:t>
      </w:r>
      <w:r>
        <w:rPr>
          <w:rFonts w:hint="eastAsia" w:ascii="仿宋_GB2312" w:eastAsia="仿宋_GB2312"/>
          <w:color w:val="auto"/>
          <w:spacing w:val="0"/>
          <w:sz w:val="32"/>
          <w:szCs w:val="32"/>
          <w:highlight w:val="none"/>
          <w:lang w:eastAsia="zh-CN"/>
        </w:rPr>
        <w:t>特定目标0210689C</w:t>
      </w:r>
      <w:r>
        <w:rPr>
          <w:rFonts w:hint="eastAsia" w:ascii="仿宋_GB2312" w:eastAsia="仿宋_GB2312"/>
          <w:color w:val="auto"/>
          <w:spacing w:val="0"/>
          <w:sz w:val="32"/>
          <w:szCs w:val="32"/>
          <w:highlight w:val="none"/>
          <w:lang w:val="en-US" w:eastAsia="zh-CN"/>
        </w:rPr>
        <w:t>项目资金。</w:t>
      </w:r>
    </w:p>
    <w:p w14:paraId="2B95D55A">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1E2E7594">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1,943.35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83.53</w:t>
      </w:r>
      <w:r>
        <w:rPr>
          <w:rFonts w:hint="default" w:ascii="仿宋_GB2312" w:hAnsi="Times New Roman" w:eastAsia="仿宋_GB2312" w:cs="Times New Roman"/>
          <w:color w:val="auto"/>
          <w:spacing w:val="0"/>
          <w:kern w:val="2"/>
          <w:sz w:val="32"/>
          <w:szCs w:val="32"/>
          <w:highlight w:val="none"/>
          <w:lang w:val="zh-CN" w:eastAsia="zh-CN" w:bidi="ar-SA"/>
        </w:rPr>
        <w:t>%；</w:t>
      </w:r>
    </w:p>
    <w:p w14:paraId="2C9AE078">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149.31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6.42</w:t>
      </w:r>
      <w:r>
        <w:rPr>
          <w:rFonts w:hint="default" w:ascii="仿宋_GB2312" w:hAnsi="Times New Roman" w:eastAsia="仿宋_GB2312" w:cs="Times New Roman"/>
          <w:color w:val="auto"/>
          <w:spacing w:val="0"/>
          <w:kern w:val="2"/>
          <w:sz w:val="32"/>
          <w:szCs w:val="32"/>
          <w:highlight w:val="none"/>
          <w:lang w:val="zh-CN" w:eastAsia="zh-CN" w:bidi="ar-SA"/>
        </w:rPr>
        <w:t>%；</w:t>
      </w:r>
    </w:p>
    <w:p w14:paraId="070158C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131.07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5.63</w:t>
      </w:r>
      <w:r>
        <w:rPr>
          <w:rFonts w:hint="default" w:ascii="仿宋_GB2312" w:hAnsi="Times New Roman" w:eastAsia="仿宋_GB2312" w:cs="Times New Roman"/>
          <w:color w:val="auto"/>
          <w:spacing w:val="0"/>
          <w:kern w:val="2"/>
          <w:sz w:val="32"/>
          <w:szCs w:val="32"/>
          <w:highlight w:val="none"/>
          <w:lang w:val="zh-CN" w:eastAsia="zh-CN" w:bidi="ar-SA"/>
        </w:rPr>
        <w:t>%；</w:t>
      </w:r>
    </w:p>
    <w:p w14:paraId="5F9C942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102.84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4.42</w:t>
      </w:r>
      <w:r>
        <w:rPr>
          <w:rFonts w:hint="default" w:ascii="仿宋_GB2312" w:hAnsi="Times New Roman" w:eastAsia="仿宋_GB2312" w:cs="Times New Roman"/>
          <w:color w:val="auto"/>
          <w:spacing w:val="0"/>
          <w:kern w:val="2"/>
          <w:sz w:val="32"/>
          <w:szCs w:val="32"/>
          <w:highlight w:val="none"/>
          <w:lang w:val="zh-CN" w:eastAsia="zh-CN" w:bidi="ar-SA"/>
        </w:rPr>
        <w:t>%；</w:t>
      </w:r>
    </w:p>
    <w:p w14:paraId="422F357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6D79588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1.一般公共服务支出（类）政府办公厅（室）及相关机构事务（款）专项业务及机关事务管理（项）:支出决算数为57.54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57.54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上年度为追加预算，未安排商品和服务支出，本年度安排了商品和服务支出项目。</w:t>
      </w:r>
    </w:p>
    <w:p w14:paraId="0538E7A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2.卫生健康支出（类）行政事业单位医疗（款）事业单位医疗（项）:支出决算数为71.09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14.56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25.75%，主要原因是工资调整等相应政策使得基本支出较上年增加</w:t>
      </w:r>
      <w:r>
        <w:rPr>
          <w:rFonts w:hint="eastAsia" w:ascii="Times New Roman" w:hAnsi="Times New Roman" w:eastAsia="仿宋_GB2312" w:cs="Times New Roman"/>
          <w:color w:val="auto"/>
          <w:kern w:val="2"/>
          <w:sz w:val="32"/>
          <w:szCs w:val="32"/>
          <w:highlight w:val="none"/>
          <w:lang w:val="zh-CN" w:eastAsia="zh-CN" w:bidi="ar-SA"/>
        </w:rPr>
        <w:t>。</w:t>
      </w:r>
    </w:p>
    <w:p w14:paraId="05B8487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3.卫生健康支出（类）行政事业单位医疗（款）公务员医疗补助（项）:支出决算数为59.98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16.01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36.42%，主要原因是工资调整等相应政策使得基本支出较上年增加</w:t>
      </w:r>
      <w:r>
        <w:rPr>
          <w:rFonts w:hint="eastAsia" w:ascii="Times New Roman" w:hAnsi="Times New Roman" w:eastAsia="仿宋_GB2312" w:cs="Times New Roman"/>
          <w:color w:val="auto"/>
          <w:kern w:val="2"/>
          <w:sz w:val="32"/>
          <w:szCs w:val="32"/>
          <w:highlight w:val="none"/>
          <w:lang w:val="zh-CN" w:eastAsia="zh-CN" w:bidi="ar-SA"/>
        </w:rPr>
        <w:t>。</w:t>
      </w:r>
    </w:p>
    <w:p w14:paraId="0152E5B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4.住房保障支出（类）住房改革支出（款）住房公积金（项）:支出决算数为102.84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21.70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26.75%，主要原因是工资调整等相应政策使得基本支出较上年增加</w:t>
      </w:r>
      <w:r>
        <w:rPr>
          <w:rFonts w:hint="eastAsia" w:ascii="Times New Roman" w:hAnsi="Times New Roman" w:eastAsia="仿宋_GB2312" w:cs="Times New Roman"/>
          <w:color w:val="auto"/>
          <w:kern w:val="2"/>
          <w:sz w:val="32"/>
          <w:szCs w:val="32"/>
          <w:highlight w:val="none"/>
          <w:lang w:val="zh-CN" w:eastAsia="zh-CN" w:bidi="ar-SA"/>
        </w:rPr>
        <w:t>。</w:t>
      </w:r>
    </w:p>
    <w:p w14:paraId="5878F4B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5.一般公共服务支出（类）政府办公厅（室）及相关机构事务（款）事业运行（项）:支出决算数为1,203.39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45.25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3.91%，主要原因是工资调整等相应政策使得基本支出较上年增加</w:t>
      </w:r>
      <w:r>
        <w:rPr>
          <w:rFonts w:hint="eastAsia" w:ascii="Times New Roman" w:hAnsi="Times New Roman" w:eastAsia="仿宋_GB2312" w:cs="Times New Roman"/>
          <w:color w:val="auto"/>
          <w:kern w:val="2"/>
          <w:sz w:val="32"/>
          <w:szCs w:val="32"/>
          <w:highlight w:val="none"/>
          <w:lang w:val="zh-CN" w:eastAsia="zh-CN" w:bidi="ar-SA"/>
        </w:rPr>
        <w:t>。</w:t>
      </w:r>
    </w:p>
    <w:p w14:paraId="0D9B146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6.社会保障和就业支出（类）行政事业单位养老支出（款）机关事业单位职业年金缴费支出（项）:支出决算数为12.18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10.45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增长604.05</w:t>
      </w:r>
      <w:r>
        <w:rPr>
          <w:rFonts w:hint="eastAsia" w:ascii="Times New Roman" w:hAnsi="Times New Roman" w:eastAsia="仿宋_GB2312" w:cs="Times New Roman"/>
          <w:color w:val="auto"/>
          <w:kern w:val="2"/>
          <w:sz w:val="32"/>
          <w:szCs w:val="32"/>
          <w:highlight w:val="none"/>
          <w:lang w:val="en-US" w:eastAsia="zh-CN" w:bidi="ar-SA"/>
        </w:rPr>
        <w:t>%，主要原因是工资调整等相应政策使得基本支出较上年增加</w:t>
      </w:r>
      <w:r>
        <w:rPr>
          <w:rFonts w:hint="eastAsia" w:ascii="Times New Roman" w:hAnsi="Times New Roman" w:eastAsia="仿宋_GB2312" w:cs="Times New Roman"/>
          <w:color w:val="auto"/>
          <w:kern w:val="2"/>
          <w:sz w:val="32"/>
          <w:szCs w:val="32"/>
          <w:highlight w:val="none"/>
          <w:lang w:val="zh-CN" w:eastAsia="zh-CN" w:bidi="ar-SA"/>
        </w:rPr>
        <w:t>。</w:t>
      </w:r>
    </w:p>
    <w:p w14:paraId="19BB257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7.社会保障和就业支出（类）行政事业单位养老支出（款）机关事业单位基本养老保险缴费支出（项）:支出决算数为137.13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28.95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26.76%，主要原因是</w:t>
      </w:r>
      <w:r>
        <w:rPr>
          <w:rFonts w:hint="eastAsia" w:ascii="仿宋" w:hAnsi="微软雅黑" w:eastAsia="仿宋"/>
          <w:sz w:val="28"/>
          <w:szCs w:val="28"/>
        </w:rPr>
        <w:t>工资调整等相应政策使得基本支出</w:t>
      </w:r>
      <w:r>
        <w:rPr>
          <w:rFonts w:hint="eastAsia" w:eastAsia="仿宋_GB2312" w:cs="Times New Roman"/>
          <w:color w:val="auto"/>
          <w:sz w:val="32"/>
          <w:szCs w:val="32"/>
          <w:highlight w:val="none"/>
          <w:lang w:val="en-US" w:eastAsia="zh-CN"/>
        </w:rPr>
        <w:t>较上年增加</w:t>
      </w:r>
      <w:r>
        <w:rPr>
          <w:rFonts w:hint="eastAsia" w:eastAsia="仿宋_GB2312" w:cs="Times New Roman"/>
          <w:color w:val="auto"/>
          <w:kern w:val="2"/>
          <w:sz w:val="32"/>
          <w:szCs w:val="32"/>
          <w:highlight w:val="none"/>
          <w:lang w:val="zh-CN" w:eastAsia="zh-CN" w:bidi="ar-SA"/>
        </w:rPr>
        <w:t>。</w:t>
      </w:r>
    </w:p>
    <w:p w14:paraId="1C162D4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8.一般公共服务支出（类）政府办公厅（室）及相关机构事务（款）其他政府办公厅（室）及相关机构事务支出（项）:支出决算数为682.42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4.52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，增长0.67%，主要原因是中心本级工资调整等相应政策使得基本支出较上年增加，下属二级单位未发生此项支出。</w:t>
      </w:r>
    </w:p>
    <w:p w14:paraId="24B5D51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9.一般公共服务支出（类）政协事务（款）事业运行（项）:支出决算数为0.00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1.51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，下降100%，主要原因是</w:t>
      </w:r>
      <w:r>
        <w:rPr>
          <w:rFonts w:hint="eastAsia" w:eastAsia="仿宋_GB2312" w:cs="Times New Roman"/>
          <w:color w:val="auto"/>
          <w:kern w:val="2"/>
          <w:sz w:val="32"/>
          <w:szCs w:val="32"/>
          <w:highlight w:val="none"/>
          <w:lang w:val="en-US" w:eastAsia="zh-CN" w:bidi="ar-SA"/>
        </w:rPr>
        <w:t>本年度未发生此项目支出</w:t>
      </w:r>
      <w:r>
        <w:rPr>
          <w:rFonts w:hint="eastAsia" w:ascii="Times New Roman" w:hAnsi="Times New Roman" w:eastAsia="仿宋_GB2312" w:cs="Times New Roman"/>
          <w:color w:val="auto"/>
          <w:kern w:val="2"/>
          <w:sz w:val="32"/>
          <w:szCs w:val="32"/>
          <w:highlight w:val="none"/>
          <w:lang w:val="zh-CN" w:eastAsia="zh-CN" w:bidi="ar-SA"/>
        </w:rPr>
        <w:t>。</w:t>
      </w:r>
    </w:p>
    <w:p w14:paraId="6497E9A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2F14CA4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1,591.87</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1,438.23</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w:t>
      </w:r>
    </w:p>
    <w:p w14:paraId="7AD0D41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153.64</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办公费、邮电费、差旅费、培训费、公务接待费、工会经费、福利费、公务用车运行维护费、其他交通费用、其他商品和服务支出。</w:t>
      </w:r>
    </w:p>
    <w:p w14:paraId="4476C8E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021092D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“三公”经费支出19.82万元，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增加19.82万元，增长</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2022年</w:t>
      </w:r>
      <w:r>
        <w:rPr>
          <w:rFonts w:ascii="Times New Roman" w:hAnsi="Times New Roman" w:eastAsia="仿宋_GB2312" w:cs="Times New Roman"/>
          <w:color w:val="000000"/>
          <w:sz w:val="32"/>
          <w:szCs w:val="32"/>
        </w:rPr>
        <w:t>公务用车保有量为１辆</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本年保有量</w:t>
      </w:r>
      <w:r>
        <w:rPr>
          <w:rFonts w:ascii="Times New Roman" w:hAnsi="Times New Roman" w:eastAsia="仿宋_GB2312" w:cs="Times New Roman"/>
          <w:color w:val="000000"/>
          <w:sz w:val="32"/>
          <w:szCs w:val="32"/>
        </w:rPr>
        <w:t>为</w:t>
      </w:r>
      <w:r>
        <w:rPr>
          <w:rFonts w:hint="eastAsia" w:eastAsia="仿宋_GB2312" w:cs="Times New Roman"/>
          <w:color w:val="000000"/>
          <w:sz w:val="32"/>
          <w:szCs w:val="32"/>
          <w:lang w:val="en-US" w:eastAsia="zh-CN"/>
        </w:rPr>
        <w:t>7</w:t>
      </w:r>
      <w:r>
        <w:rPr>
          <w:rFonts w:ascii="Times New Roman" w:hAnsi="Times New Roman" w:eastAsia="仿宋_GB2312" w:cs="Times New Roman"/>
          <w:color w:val="000000"/>
          <w:sz w:val="32"/>
          <w:szCs w:val="32"/>
        </w:rPr>
        <w:t>辆</w:t>
      </w:r>
      <w:r>
        <w:rPr>
          <w:rFonts w:hint="eastAsia" w:ascii="仿宋_GB2312" w:eastAsia="仿宋_GB2312"/>
          <w:color w:val="auto"/>
          <w:sz w:val="32"/>
          <w:szCs w:val="32"/>
          <w:highlight w:val="none"/>
          <w:lang w:val="zh-CN" w:eastAsia="zh-CN"/>
        </w:rPr>
        <w:t>。其中：因公出国（境）费支出0.00万元，占0.00%，比上年增加0.00万元，增长0.00%，</w:t>
      </w:r>
      <w:r>
        <w:rPr>
          <w:rFonts w:hint="eastAsia" w:ascii="Times New Roman" w:hAnsi="Times New Roman" w:eastAsia="仿宋_GB2312"/>
          <w:sz w:val="32"/>
          <w:szCs w:val="32"/>
          <w:lang w:val="zh-CN" w:eastAsia="zh-CN"/>
        </w:rPr>
        <w:t>主要原因是：</w:t>
      </w:r>
      <w:r>
        <w:rPr>
          <w:rFonts w:hint="eastAsia" w:ascii="Times New Roman" w:hAnsi="Times New Roman" w:eastAsia="仿宋_GB2312"/>
          <w:sz w:val="32"/>
          <w:szCs w:val="32"/>
          <w:lang w:val="en-US" w:eastAsia="zh-CN"/>
        </w:rPr>
        <w:t>本年度我单位无</w:t>
      </w:r>
      <w:r>
        <w:rPr>
          <w:rFonts w:hint="eastAsia" w:ascii="Times New Roman" w:hAnsi="Times New Roman" w:eastAsia="仿宋_GB2312"/>
          <w:sz w:val="32"/>
          <w:szCs w:val="32"/>
          <w:lang w:val="zh-CN"/>
        </w:rPr>
        <w:t>因公出国（境）</w:t>
      </w:r>
      <w:r>
        <w:rPr>
          <w:rFonts w:hint="eastAsia" w:ascii="Times New Roman" w:hAnsi="Times New Roman" w:eastAsia="仿宋_GB2312"/>
          <w:sz w:val="32"/>
          <w:szCs w:val="32"/>
          <w:lang w:val="en-US" w:eastAsia="zh-CN"/>
        </w:rPr>
        <w:t>事项，无相关经费支出</w:t>
      </w:r>
      <w:r>
        <w:rPr>
          <w:rFonts w:hint="eastAsia" w:ascii="仿宋_GB2312" w:eastAsia="仿宋_GB2312"/>
          <w:color w:val="auto"/>
          <w:sz w:val="32"/>
          <w:szCs w:val="32"/>
          <w:highlight w:val="none"/>
          <w:lang w:val="zh-CN" w:eastAsia="zh-CN"/>
        </w:rPr>
        <w:t>；公务用车购置及运行维护费支出19.46万元，占</w:t>
      </w:r>
      <w:r>
        <w:rPr>
          <w:rFonts w:hint="eastAsia" w:ascii="仿宋_GB2312" w:eastAsia="仿宋_GB2312"/>
          <w:color w:val="auto"/>
          <w:sz w:val="32"/>
          <w:szCs w:val="32"/>
          <w:highlight w:val="none"/>
          <w:lang w:val="en-US" w:eastAsia="zh-CN"/>
        </w:rPr>
        <w:t>98.18</w:t>
      </w:r>
      <w:r>
        <w:rPr>
          <w:rFonts w:hint="eastAsia" w:ascii="仿宋_GB2312" w:eastAsia="仿宋_GB2312"/>
          <w:color w:val="auto"/>
          <w:sz w:val="32"/>
          <w:szCs w:val="32"/>
          <w:highlight w:val="none"/>
          <w:lang w:val="zh-CN" w:eastAsia="zh-CN"/>
        </w:rPr>
        <w:t>%，比上年增加19.46万元，增长</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2022年</w:t>
      </w:r>
      <w:r>
        <w:rPr>
          <w:rFonts w:ascii="Times New Roman" w:hAnsi="Times New Roman" w:eastAsia="仿宋_GB2312" w:cs="Times New Roman"/>
          <w:color w:val="000000"/>
          <w:sz w:val="32"/>
          <w:szCs w:val="32"/>
        </w:rPr>
        <w:t>公务用车保有量为１辆</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本年保有量</w:t>
      </w:r>
      <w:r>
        <w:rPr>
          <w:rFonts w:ascii="Times New Roman" w:hAnsi="Times New Roman" w:eastAsia="仿宋_GB2312" w:cs="Times New Roman"/>
          <w:color w:val="000000"/>
          <w:sz w:val="32"/>
          <w:szCs w:val="32"/>
        </w:rPr>
        <w:t>为</w:t>
      </w:r>
      <w:r>
        <w:rPr>
          <w:rFonts w:hint="eastAsia" w:eastAsia="仿宋_GB2312" w:cs="Times New Roman"/>
          <w:color w:val="000000"/>
          <w:sz w:val="32"/>
          <w:szCs w:val="32"/>
          <w:lang w:val="en-US" w:eastAsia="zh-CN"/>
        </w:rPr>
        <w:t>7</w:t>
      </w:r>
      <w:r>
        <w:rPr>
          <w:rFonts w:ascii="Times New Roman" w:hAnsi="Times New Roman" w:eastAsia="仿宋_GB2312" w:cs="Times New Roman"/>
          <w:color w:val="000000"/>
          <w:sz w:val="32"/>
          <w:szCs w:val="32"/>
        </w:rPr>
        <w:t>辆</w:t>
      </w:r>
      <w:r>
        <w:rPr>
          <w:rFonts w:hint="eastAsia" w:ascii="仿宋_GB2312" w:eastAsia="仿宋_GB2312"/>
          <w:color w:val="auto"/>
          <w:sz w:val="32"/>
          <w:szCs w:val="32"/>
          <w:highlight w:val="none"/>
          <w:lang w:val="zh-CN" w:eastAsia="zh-CN"/>
        </w:rPr>
        <w:t>；公务接待费支出0.36万元，占</w:t>
      </w:r>
      <w:r>
        <w:rPr>
          <w:rFonts w:hint="eastAsia" w:ascii="仿宋_GB2312" w:eastAsia="仿宋_GB2312"/>
          <w:color w:val="auto"/>
          <w:sz w:val="32"/>
          <w:szCs w:val="32"/>
          <w:highlight w:val="none"/>
          <w:lang w:val="en-US" w:eastAsia="zh-CN"/>
        </w:rPr>
        <w:t>1.82</w:t>
      </w:r>
      <w:r>
        <w:rPr>
          <w:rFonts w:hint="eastAsia" w:ascii="仿宋_GB2312" w:eastAsia="仿宋_GB2312"/>
          <w:color w:val="auto"/>
          <w:sz w:val="32"/>
          <w:szCs w:val="32"/>
          <w:highlight w:val="none"/>
          <w:lang w:val="zh-CN" w:eastAsia="zh-CN"/>
        </w:rPr>
        <w:t>%，比上年增加0.36万元，增长</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因工作需要，来访人员增加</w:t>
      </w:r>
      <w:r>
        <w:rPr>
          <w:rFonts w:hint="eastAsia" w:ascii="仿宋_GB2312" w:eastAsia="仿宋_GB2312"/>
          <w:color w:val="auto"/>
          <w:sz w:val="32"/>
          <w:szCs w:val="32"/>
          <w:highlight w:val="none"/>
          <w:lang w:val="zh-CN" w:eastAsia="zh-CN"/>
        </w:rPr>
        <w:t>。</w:t>
      </w:r>
    </w:p>
    <w:p w14:paraId="70DE3BC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3F849B9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 w:hAnsi="仿宋" w:eastAsia="仿宋" w:cs="仿宋"/>
          <w:color w:val="auto"/>
          <w:sz w:val="32"/>
          <w:szCs w:val="32"/>
          <w:highlight w:val="none"/>
          <w:lang w:val="zh-CN" w:eastAsia="zh-CN"/>
        </w:rPr>
      </w:pPr>
      <w:r>
        <w:rPr>
          <w:rFonts w:hint="eastAsia" w:ascii="仿宋" w:hAnsi="仿宋" w:eastAsia="仿宋" w:cs="仿宋"/>
          <w:color w:val="auto"/>
          <w:sz w:val="32"/>
          <w:szCs w:val="32"/>
          <w:highlight w:val="none"/>
          <w:lang w:val="zh-CN" w:eastAsia="zh-CN"/>
        </w:rPr>
        <w:t>因公出国（境）费支出0.00万元，</w:t>
      </w:r>
      <w:r>
        <w:rPr>
          <w:rFonts w:hint="eastAsia" w:ascii="仿宋" w:hAnsi="仿宋" w:eastAsia="仿宋" w:cs="仿宋"/>
          <w:color w:val="auto"/>
          <w:sz w:val="32"/>
          <w:szCs w:val="32"/>
          <w:highlight w:val="none"/>
          <w:lang w:val="en-US" w:eastAsia="zh-CN"/>
        </w:rPr>
        <w:t>开支内容包括：</w:t>
      </w:r>
      <w:r>
        <w:rPr>
          <w:rFonts w:hint="eastAsia" w:ascii="仿宋_GB2312" w:hAnsi="仿宋_GB2312" w:eastAsia="仿宋_GB2312" w:cs="仿宋_GB2312"/>
          <w:bCs/>
          <w:color w:val="auto"/>
          <w:kern w:val="0"/>
          <w:sz w:val="32"/>
          <w:szCs w:val="32"/>
          <w:highlight w:val="none"/>
          <w:lang w:val="en-US" w:eastAsia="zh-CN"/>
        </w:rPr>
        <w:t>我单位无</w:t>
      </w:r>
      <w:r>
        <w:rPr>
          <w:rFonts w:hint="eastAsia" w:ascii="仿宋_GB2312" w:hAnsi="仿宋_GB2312" w:eastAsia="仿宋_GB2312" w:cs="仿宋_GB2312"/>
          <w:bCs/>
          <w:color w:val="auto"/>
          <w:kern w:val="0"/>
          <w:sz w:val="32"/>
          <w:szCs w:val="32"/>
          <w:highlight w:val="none"/>
          <w:lang w:val="zh-CN" w:eastAsia="zh-CN"/>
        </w:rPr>
        <w:t>因公出国（境）费</w:t>
      </w:r>
      <w:r>
        <w:rPr>
          <w:rFonts w:hint="eastAsia" w:ascii="仿宋_GB2312" w:hAnsi="仿宋_GB2312" w:eastAsia="仿宋_GB2312" w:cs="仿宋_GB2312"/>
          <w:bCs/>
          <w:color w:val="auto"/>
          <w:kern w:val="0"/>
          <w:sz w:val="32"/>
          <w:szCs w:val="32"/>
          <w:highlight w:val="none"/>
          <w:lang w:val="en-US" w:eastAsia="zh-CN"/>
        </w:rPr>
        <w:t>支出。</w:t>
      </w:r>
      <w:r>
        <w:rPr>
          <w:rFonts w:hint="eastAsia" w:ascii="仿宋" w:hAnsi="仿宋" w:eastAsia="仿宋" w:cs="仿宋"/>
          <w:color w:val="auto"/>
          <w:sz w:val="32"/>
          <w:szCs w:val="32"/>
          <w:highlight w:val="none"/>
          <w:lang w:val="zh-CN" w:eastAsia="zh-CN"/>
        </w:rPr>
        <w:t>单位全年安排的因公出国（境）团组0个，因公出国（境）0人次。</w:t>
      </w:r>
      <w:bookmarkStart w:id="48" w:name="_GoBack"/>
      <w:bookmarkEnd w:id="48"/>
    </w:p>
    <w:p w14:paraId="3677501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公务用车购置及运行维护费19.46万元，其中：公务用车购置费0.00万元，公务用车运行维护费19.46万元。公务用车运行维护费开支内容包括</w:t>
      </w:r>
      <w:r>
        <w:rPr>
          <w:rFonts w:hint="eastAsia" w:ascii="仿宋_GB2312" w:eastAsia="仿宋_GB2312"/>
          <w:color w:val="auto"/>
          <w:sz w:val="32"/>
          <w:szCs w:val="32"/>
          <w:highlight w:val="none"/>
          <w:lang w:val="en-US" w:eastAsia="zh-CN"/>
        </w:rPr>
        <w:t>公务用车燃料费、维修费、过桥过路费和保险费等</w:t>
      </w:r>
      <w:r>
        <w:rPr>
          <w:rFonts w:hint="eastAsia" w:ascii="仿宋_GB2312" w:eastAsia="仿宋_GB2312"/>
          <w:color w:val="auto"/>
          <w:sz w:val="32"/>
          <w:szCs w:val="32"/>
          <w:highlight w:val="none"/>
          <w:lang w:val="zh-CN" w:eastAsia="zh-CN"/>
        </w:rPr>
        <w:t>。公务用车购置数0辆，公务用车保有量7辆。国有资产占用情况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7辆，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保有量差异原因是：无差异</w:t>
      </w:r>
      <w:r>
        <w:rPr>
          <w:rFonts w:hint="eastAsia" w:ascii="仿宋_GB2312" w:eastAsia="仿宋_GB2312"/>
          <w:color w:val="auto"/>
          <w:sz w:val="32"/>
          <w:szCs w:val="32"/>
          <w:highlight w:val="none"/>
          <w:lang w:val="zh-CN" w:eastAsia="zh-CN"/>
        </w:rPr>
        <w:t>。</w:t>
      </w:r>
    </w:p>
    <w:p w14:paraId="699805A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公务接待费0.36万元，开支内容包括</w:t>
      </w:r>
      <w:r>
        <w:rPr>
          <w:rFonts w:hint="eastAsia" w:ascii="仿宋_GB2312" w:eastAsia="仿宋_GB2312"/>
          <w:color w:val="auto"/>
          <w:sz w:val="32"/>
          <w:szCs w:val="32"/>
          <w:highlight w:val="none"/>
          <w:lang w:val="en-US" w:eastAsia="zh-CN"/>
        </w:rPr>
        <w:t>食堂就餐费</w:t>
      </w:r>
      <w:r>
        <w:rPr>
          <w:rFonts w:hint="eastAsia" w:ascii="仿宋_GB2312" w:eastAsia="仿宋_GB2312"/>
          <w:color w:val="auto"/>
          <w:sz w:val="32"/>
          <w:szCs w:val="32"/>
          <w:highlight w:val="none"/>
          <w:lang w:val="zh-CN" w:eastAsia="zh-CN"/>
        </w:rPr>
        <w:t>。单位全年安排的国内公务接待3批次，61人次。</w:t>
      </w:r>
    </w:p>
    <w:p w14:paraId="4816D79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color w:val="auto"/>
          <w:sz w:val="32"/>
          <w:szCs w:val="32"/>
          <w:highlight w:val="none"/>
          <w:lang w:val="zh-CN" w:eastAsia="zh-CN"/>
        </w:rPr>
      </w:pPr>
      <w:r>
        <w:rPr>
          <w:rFonts w:hint="eastAsia" w:ascii="Times New Roman" w:hAnsi="Times New Roman" w:eastAsia="仿宋_GB2312"/>
          <w:sz w:val="32"/>
          <w:szCs w:val="32"/>
          <w:lang w:val="zh-CN"/>
        </w:rPr>
        <w:t>与</w:t>
      </w:r>
      <w:r>
        <w:rPr>
          <w:rFonts w:hint="eastAsia" w:ascii="Times New Roman" w:hAnsi="Times New Roman" w:eastAsia="仿宋_GB2312"/>
          <w:sz w:val="32"/>
          <w:szCs w:val="32"/>
          <w:lang w:val="en-US" w:eastAsia="zh-CN"/>
        </w:rPr>
        <w:t>全年</w:t>
      </w:r>
      <w:r>
        <w:rPr>
          <w:rFonts w:hint="eastAsia" w:ascii="Times New Roman" w:hAnsi="Times New Roman" w:eastAsia="仿宋_GB2312"/>
          <w:sz w:val="32"/>
          <w:szCs w:val="32"/>
          <w:lang w:val="zh-CN" w:eastAsia="zh-CN"/>
        </w:rPr>
        <w:t>预算</w:t>
      </w:r>
      <w:r>
        <w:rPr>
          <w:rFonts w:hint="eastAsia" w:ascii="Times New Roman" w:hAnsi="Times New Roman" w:eastAsia="仿宋_GB2312"/>
          <w:sz w:val="32"/>
          <w:szCs w:val="32"/>
          <w:lang w:val="zh-CN"/>
        </w:rPr>
        <w:t>相比，</w:t>
      </w:r>
      <w:r>
        <w:rPr>
          <w:rFonts w:hint="eastAsia" w:ascii="Times New Roman" w:hAnsi="Times New Roman" w:eastAsia="仿宋_GB2312"/>
          <w:sz w:val="32"/>
          <w:szCs w:val="32"/>
          <w:lang w:val="zh-CN" w:eastAsia="zh-CN"/>
        </w:rPr>
        <w:t>财政拨款</w:t>
      </w:r>
      <w:r>
        <w:rPr>
          <w:rFonts w:hint="eastAsia" w:ascii="Times New Roman" w:hAnsi="Times New Roman" w:eastAsia="仿宋_GB2312"/>
          <w:sz w:val="32"/>
          <w:szCs w:val="32"/>
          <w:lang w:val="zh-CN"/>
        </w:rPr>
        <w:t>“三公”经费支出</w:t>
      </w:r>
      <w:r>
        <w:rPr>
          <w:rFonts w:hint="eastAsia" w:ascii="Times New Roman" w:hAnsi="Times New Roman" w:eastAsia="仿宋_GB2312"/>
          <w:sz w:val="32"/>
          <w:szCs w:val="32"/>
          <w:lang w:val="en-US" w:eastAsia="zh-CN"/>
        </w:rPr>
        <w:t>全年</w:t>
      </w:r>
      <w:r>
        <w:rPr>
          <w:rFonts w:hint="eastAsia" w:ascii="Times New Roman" w:hAnsi="Times New Roman" w:eastAsia="仿宋_GB2312"/>
          <w:sz w:val="32"/>
          <w:szCs w:val="32"/>
          <w:lang w:val="zh-CN" w:eastAsia="zh-CN"/>
        </w:rPr>
        <w:t>预算数</w:t>
      </w:r>
      <w:r>
        <w:rPr>
          <w:rFonts w:hint="eastAsia" w:ascii="Times New Roman" w:hAnsi="Times New Roman" w:eastAsia="仿宋_GB2312"/>
          <w:sz w:val="32"/>
          <w:szCs w:val="32"/>
          <w:lang w:val="en-US" w:eastAsia="zh-CN"/>
        </w:rPr>
        <w:t>19.82</w:t>
      </w:r>
      <w:r>
        <w:rPr>
          <w:rFonts w:hint="eastAsia" w:ascii="Times New Roman" w:hAnsi="Times New Roman" w:eastAsia="仿宋_GB2312"/>
          <w:sz w:val="32"/>
          <w:szCs w:val="32"/>
          <w:lang w:val="zh-CN"/>
        </w:rPr>
        <w:t>万元，决算数</w:t>
      </w:r>
      <w:r>
        <w:rPr>
          <w:rFonts w:hint="eastAsia" w:ascii="Times New Roman" w:hAnsi="Times New Roman" w:eastAsia="仿宋_GB2312"/>
          <w:sz w:val="32"/>
          <w:szCs w:val="32"/>
          <w:lang w:val="en-US" w:eastAsia="zh-CN"/>
        </w:rPr>
        <w:t>19.82</w:t>
      </w:r>
      <w:r>
        <w:rPr>
          <w:rFonts w:hint="eastAsia" w:ascii="Times New Roman" w:hAnsi="Times New Roman" w:eastAsia="仿宋_GB2312"/>
          <w:sz w:val="32"/>
          <w:szCs w:val="32"/>
          <w:lang w:val="zh-CN"/>
        </w:rPr>
        <w:t>万元，预决算差异率</w:t>
      </w:r>
      <w:r>
        <w:rPr>
          <w:rFonts w:hint="eastAsia" w:eastAsia="仿宋_GB2312"/>
          <w:sz w:val="32"/>
          <w:szCs w:val="32"/>
          <w:lang w:val="en-US" w:eastAsia="zh-CN"/>
        </w:rPr>
        <w:t>0.00</w:t>
      </w:r>
      <w:r>
        <w:rPr>
          <w:rFonts w:hint="eastAsia" w:ascii="Times New Roman" w:hAnsi="Times New Roman" w:eastAsia="仿宋_GB2312"/>
          <w:sz w:val="32"/>
          <w:szCs w:val="32"/>
          <w:lang w:val="zh-CN" w:eastAsia="zh-CN"/>
        </w:rPr>
        <w:t>%</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val="zh-CN" w:eastAsia="zh-CN"/>
        </w:rPr>
        <w:t>主要原因是：</w:t>
      </w:r>
      <w:r>
        <w:rPr>
          <w:rFonts w:hint="eastAsia" w:ascii="Times New Roman" w:hAnsi="Times New Roman" w:eastAsia="仿宋_GB2312"/>
          <w:sz w:val="32"/>
          <w:szCs w:val="32"/>
          <w:lang w:val="en-US" w:eastAsia="zh-CN"/>
        </w:rPr>
        <w:t>坚持厉行节约，进一步压减公务用车运行维护费和</w:t>
      </w:r>
      <w:r>
        <w:rPr>
          <w:rFonts w:hint="eastAsia" w:ascii="Times New Roman" w:hAnsi="Times New Roman" w:eastAsia="仿宋_GB2312"/>
          <w:sz w:val="32"/>
          <w:szCs w:val="32"/>
          <w:lang w:val="zh-CN"/>
        </w:rPr>
        <w:t>公务接待费</w:t>
      </w:r>
      <w:r>
        <w:rPr>
          <w:rFonts w:hint="eastAsia" w:ascii="Times New Roman" w:hAnsi="Times New Roman" w:eastAsia="仿宋_GB2312"/>
          <w:sz w:val="32"/>
          <w:szCs w:val="32"/>
          <w:lang w:val="en-US" w:eastAsia="zh-CN"/>
        </w:rPr>
        <w:t>的支出</w:t>
      </w:r>
      <w:r>
        <w:rPr>
          <w:rFonts w:hint="eastAsia" w:ascii="Times New Roman" w:hAnsi="Times New Roman" w:eastAsia="仿宋_GB2312"/>
          <w:sz w:val="32"/>
          <w:szCs w:val="32"/>
          <w:lang w:val="zh-CN"/>
        </w:rPr>
        <w:t>。其中：因公出国（境）费</w:t>
      </w:r>
      <w:r>
        <w:rPr>
          <w:rFonts w:hint="eastAsia" w:ascii="Times New Roman" w:hAnsi="Times New Roman" w:eastAsia="仿宋_GB2312"/>
          <w:sz w:val="32"/>
          <w:szCs w:val="32"/>
          <w:lang w:val="en-US" w:eastAsia="zh-CN"/>
        </w:rPr>
        <w:t>全年预算数</w:t>
      </w:r>
      <w:r>
        <w:rPr>
          <w:rFonts w:hint="eastAsia" w:ascii="Times New Roman" w:hAnsi="Times New Roman" w:eastAsia="仿宋_GB2312"/>
          <w:sz w:val="32"/>
          <w:szCs w:val="32"/>
          <w:lang w:val="zh-CN" w:eastAsia="zh-CN"/>
        </w:rPr>
        <w:t>0.00</w:t>
      </w:r>
      <w:r>
        <w:rPr>
          <w:rFonts w:hint="eastAsia" w:ascii="Times New Roman" w:hAnsi="Times New Roman" w:eastAsia="仿宋_GB2312"/>
          <w:sz w:val="32"/>
          <w:szCs w:val="32"/>
          <w:lang w:val="zh-CN"/>
        </w:rPr>
        <w:t>万元，决算数</w:t>
      </w:r>
      <w:r>
        <w:rPr>
          <w:rFonts w:hint="eastAsia" w:ascii="Times New Roman" w:hAnsi="Times New Roman" w:eastAsia="仿宋_GB2312"/>
          <w:sz w:val="32"/>
          <w:szCs w:val="32"/>
          <w:lang w:val="zh-CN" w:eastAsia="zh-CN"/>
        </w:rPr>
        <w:t>0.00</w:t>
      </w:r>
      <w:r>
        <w:rPr>
          <w:rFonts w:hint="eastAsia" w:ascii="Times New Roman" w:hAnsi="Times New Roman" w:eastAsia="仿宋_GB2312"/>
          <w:sz w:val="32"/>
          <w:szCs w:val="32"/>
          <w:lang w:val="zh-CN"/>
        </w:rPr>
        <w:t>万元，预决算差异率</w:t>
      </w:r>
      <w:r>
        <w:rPr>
          <w:rFonts w:hint="eastAsia" w:ascii="Times New Roman" w:hAnsi="Times New Roman" w:eastAsia="仿宋_GB2312"/>
          <w:sz w:val="32"/>
          <w:szCs w:val="32"/>
          <w:lang w:val="zh-CN" w:eastAsia="zh-CN"/>
        </w:rPr>
        <w:t>0.00%</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val="zh-CN" w:eastAsia="zh-CN"/>
        </w:rPr>
        <w:t>主要原因是：</w:t>
      </w:r>
      <w:r>
        <w:rPr>
          <w:rFonts w:hint="eastAsia" w:ascii="Times New Roman" w:hAnsi="Times New Roman" w:eastAsia="仿宋_GB2312"/>
          <w:sz w:val="32"/>
          <w:szCs w:val="32"/>
          <w:lang w:val="en-US" w:eastAsia="zh-CN"/>
        </w:rPr>
        <w:t>本年度我单位无</w:t>
      </w:r>
      <w:r>
        <w:rPr>
          <w:rFonts w:hint="eastAsia" w:ascii="Times New Roman" w:hAnsi="Times New Roman" w:eastAsia="仿宋_GB2312"/>
          <w:sz w:val="32"/>
          <w:szCs w:val="32"/>
          <w:lang w:val="zh-CN"/>
        </w:rPr>
        <w:t>因公出国（境）</w:t>
      </w:r>
      <w:r>
        <w:rPr>
          <w:rFonts w:hint="eastAsia" w:ascii="Times New Roman" w:hAnsi="Times New Roman" w:eastAsia="仿宋_GB2312"/>
          <w:sz w:val="32"/>
          <w:szCs w:val="32"/>
          <w:lang w:val="en-US" w:eastAsia="zh-CN"/>
        </w:rPr>
        <w:t>事项，无相关经费支出</w:t>
      </w:r>
      <w:r>
        <w:rPr>
          <w:rFonts w:hint="eastAsia" w:ascii="Times New Roman" w:hAnsi="Times New Roman" w:eastAsia="仿宋_GB2312"/>
          <w:sz w:val="32"/>
          <w:szCs w:val="32"/>
          <w:lang w:val="zh-CN"/>
        </w:rPr>
        <w:t>；公务用车购置费</w:t>
      </w:r>
      <w:r>
        <w:rPr>
          <w:rFonts w:hint="eastAsia" w:ascii="Times New Roman" w:hAnsi="Times New Roman" w:eastAsia="仿宋_GB2312"/>
          <w:sz w:val="32"/>
          <w:szCs w:val="32"/>
          <w:lang w:val="en-US" w:eastAsia="zh-CN"/>
        </w:rPr>
        <w:t>全年</w:t>
      </w:r>
      <w:r>
        <w:rPr>
          <w:rFonts w:hint="eastAsia" w:ascii="Times New Roman" w:hAnsi="Times New Roman" w:eastAsia="仿宋_GB2312"/>
          <w:sz w:val="32"/>
          <w:szCs w:val="32"/>
          <w:lang w:val="zh-CN"/>
        </w:rPr>
        <w:t>预算数</w:t>
      </w:r>
      <w:r>
        <w:rPr>
          <w:rFonts w:hint="eastAsia" w:ascii="Times New Roman" w:hAnsi="Times New Roman" w:eastAsia="仿宋_GB2312"/>
          <w:sz w:val="32"/>
          <w:szCs w:val="32"/>
          <w:lang w:val="en-US" w:eastAsia="zh-CN"/>
        </w:rPr>
        <w:t>0.00</w:t>
      </w:r>
      <w:r>
        <w:rPr>
          <w:rFonts w:hint="eastAsia" w:ascii="Times New Roman" w:hAnsi="Times New Roman" w:eastAsia="仿宋_GB2312"/>
          <w:sz w:val="32"/>
          <w:szCs w:val="32"/>
          <w:lang w:val="zh-CN"/>
        </w:rPr>
        <w:t>万元，决算数</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val="zh-CN" w:eastAsia="zh-CN"/>
        </w:rPr>
        <w:t>.00</w:t>
      </w:r>
      <w:r>
        <w:rPr>
          <w:rFonts w:hint="eastAsia" w:ascii="Times New Roman" w:hAnsi="Times New Roman" w:eastAsia="仿宋_GB2312"/>
          <w:sz w:val="32"/>
          <w:szCs w:val="32"/>
          <w:lang w:val="zh-CN"/>
        </w:rPr>
        <w:t>万元，预决算差异率</w:t>
      </w:r>
      <w:r>
        <w:rPr>
          <w:rFonts w:hint="eastAsia" w:ascii="Times New Roman" w:hAnsi="Times New Roman" w:eastAsia="仿宋_GB2312"/>
          <w:sz w:val="32"/>
          <w:szCs w:val="32"/>
          <w:lang w:val="zh-CN" w:eastAsia="zh-CN"/>
        </w:rPr>
        <w:t>0.00%</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val="zh-CN" w:eastAsia="zh-CN"/>
        </w:rPr>
        <w:t>主要原因是：</w:t>
      </w:r>
      <w:r>
        <w:rPr>
          <w:rFonts w:hint="eastAsia" w:ascii="Times New Roman" w:hAnsi="Times New Roman" w:eastAsia="仿宋_GB2312"/>
          <w:sz w:val="32"/>
          <w:szCs w:val="32"/>
          <w:lang w:val="en-US" w:eastAsia="zh-CN"/>
        </w:rPr>
        <w:t>我单位本年度未安排公务用车购置费</w:t>
      </w:r>
      <w:r>
        <w:rPr>
          <w:rFonts w:hint="eastAsia" w:ascii="Times New Roman" w:hAnsi="Times New Roman" w:eastAsia="仿宋_GB2312"/>
          <w:sz w:val="32"/>
          <w:szCs w:val="32"/>
          <w:lang w:val="zh-CN"/>
        </w:rPr>
        <w:t>；公务用车运行费</w:t>
      </w:r>
      <w:r>
        <w:rPr>
          <w:rFonts w:hint="eastAsia" w:ascii="Times New Roman" w:hAnsi="Times New Roman" w:eastAsia="仿宋_GB2312"/>
          <w:sz w:val="32"/>
          <w:szCs w:val="32"/>
          <w:lang w:val="en-US" w:eastAsia="zh-CN"/>
        </w:rPr>
        <w:t>全年</w:t>
      </w:r>
      <w:r>
        <w:rPr>
          <w:rFonts w:hint="eastAsia" w:ascii="Times New Roman" w:hAnsi="Times New Roman" w:eastAsia="仿宋_GB2312"/>
          <w:sz w:val="32"/>
          <w:szCs w:val="32"/>
          <w:lang w:val="zh-CN"/>
        </w:rPr>
        <w:t>预算数</w:t>
      </w:r>
      <w:r>
        <w:rPr>
          <w:rFonts w:hint="eastAsia" w:ascii="Times New Roman" w:hAnsi="Times New Roman" w:eastAsia="仿宋_GB2312"/>
          <w:sz w:val="32"/>
          <w:szCs w:val="32"/>
          <w:lang w:val="en-US" w:eastAsia="zh-CN"/>
        </w:rPr>
        <w:t>19.46</w:t>
      </w:r>
      <w:r>
        <w:rPr>
          <w:rFonts w:hint="eastAsia" w:ascii="Times New Roman" w:hAnsi="Times New Roman" w:eastAsia="仿宋_GB2312"/>
          <w:sz w:val="32"/>
          <w:szCs w:val="32"/>
          <w:lang w:val="zh-CN"/>
        </w:rPr>
        <w:t>万元，决算数</w:t>
      </w:r>
      <w:r>
        <w:rPr>
          <w:rFonts w:hint="eastAsia" w:ascii="Times New Roman" w:hAnsi="Times New Roman" w:eastAsia="仿宋_GB2312"/>
          <w:sz w:val="32"/>
          <w:szCs w:val="32"/>
          <w:lang w:val="en-US" w:eastAsia="zh-CN"/>
        </w:rPr>
        <w:t>19.46</w:t>
      </w:r>
      <w:r>
        <w:rPr>
          <w:rFonts w:hint="eastAsia" w:ascii="Times New Roman" w:hAnsi="Times New Roman" w:eastAsia="仿宋_GB2312"/>
          <w:sz w:val="32"/>
          <w:szCs w:val="32"/>
          <w:lang w:val="zh-CN"/>
        </w:rPr>
        <w:t>万元，预决算差异率</w:t>
      </w:r>
      <w:r>
        <w:rPr>
          <w:rFonts w:hint="eastAsia" w:ascii="Times New Roman" w:hAnsi="Times New Roman" w:eastAsia="仿宋_GB2312"/>
          <w:sz w:val="32"/>
          <w:szCs w:val="32"/>
          <w:lang w:val="zh-CN" w:eastAsia="zh-CN"/>
        </w:rPr>
        <w:t>0.00%</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val="zh-CN" w:eastAsia="zh-CN"/>
        </w:rPr>
        <w:t>主要原因是：</w:t>
      </w:r>
      <w:r>
        <w:rPr>
          <w:rFonts w:hint="eastAsia" w:eastAsia="仿宋_GB2312"/>
          <w:sz w:val="30"/>
          <w:szCs w:val="30"/>
          <w:lang w:val="en-US" w:eastAsia="zh-CN"/>
        </w:rPr>
        <w:t>严格按照预算执行，无差异</w:t>
      </w:r>
      <w:r>
        <w:rPr>
          <w:rFonts w:hint="eastAsia" w:ascii="Times New Roman" w:hAnsi="Times New Roman" w:eastAsia="仿宋_GB2312"/>
          <w:sz w:val="32"/>
          <w:szCs w:val="32"/>
          <w:lang w:val="zh-CN"/>
        </w:rPr>
        <w:t>；公务接待费</w:t>
      </w:r>
      <w:r>
        <w:rPr>
          <w:rFonts w:hint="eastAsia" w:ascii="Times New Roman" w:hAnsi="Times New Roman" w:eastAsia="仿宋_GB2312"/>
          <w:sz w:val="32"/>
          <w:szCs w:val="32"/>
          <w:lang w:val="en-US" w:eastAsia="zh-CN"/>
        </w:rPr>
        <w:t>全年</w:t>
      </w:r>
      <w:r>
        <w:rPr>
          <w:rFonts w:hint="eastAsia" w:ascii="Times New Roman" w:hAnsi="Times New Roman" w:eastAsia="仿宋_GB2312"/>
          <w:sz w:val="32"/>
          <w:szCs w:val="32"/>
          <w:lang w:val="zh-CN"/>
        </w:rPr>
        <w:t>预算数</w:t>
      </w:r>
      <w:r>
        <w:rPr>
          <w:rFonts w:hint="eastAsia" w:ascii="Times New Roman" w:hAnsi="Times New Roman" w:eastAsia="仿宋_GB2312"/>
          <w:sz w:val="32"/>
          <w:szCs w:val="32"/>
          <w:lang w:val="en-US" w:eastAsia="zh-CN"/>
        </w:rPr>
        <w:t>0.36</w:t>
      </w:r>
      <w:r>
        <w:rPr>
          <w:rFonts w:hint="eastAsia" w:ascii="Times New Roman" w:hAnsi="Times New Roman" w:eastAsia="仿宋_GB2312"/>
          <w:sz w:val="32"/>
          <w:szCs w:val="32"/>
          <w:lang w:val="zh-CN"/>
        </w:rPr>
        <w:t>万元，决算数</w:t>
      </w:r>
      <w:r>
        <w:rPr>
          <w:rFonts w:hint="eastAsia" w:ascii="Times New Roman" w:hAnsi="Times New Roman" w:eastAsia="仿宋_GB2312"/>
          <w:sz w:val="32"/>
          <w:szCs w:val="32"/>
          <w:lang w:val="en-US" w:eastAsia="zh-CN"/>
        </w:rPr>
        <w:t>0.36</w:t>
      </w:r>
      <w:r>
        <w:rPr>
          <w:rFonts w:hint="eastAsia" w:ascii="Times New Roman" w:hAnsi="Times New Roman" w:eastAsia="仿宋_GB2312"/>
          <w:sz w:val="32"/>
          <w:szCs w:val="32"/>
          <w:lang w:val="zh-CN"/>
        </w:rPr>
        <w:t>万元，预决算差异率</w:t>
      </w:r>
      <w:r>
        <w:rPr>
          <w:rFonts w:hint="eastAsia" w:eastAsia="仿宋_GB2312"/>
          <w:sz w:val="32"/>
          <w:szCs w:val="32"/>
          <w:lang w:val="en-US" w:eastAsia="zh-CN"/>
        </w:rPr>
        <w:t>0.00</w:t>
      </w:r>
      <w:r>
        <w:rPr>
          <w:rFonts w:hint="eastAsia" w:ascii="Times New Roman" w:hAnsi="Times New Roman" w:eastAsia="仿宋_GB2312"/>
          <w:sz w:val="32"/>
          <w:szCs w:val="32"/>
          <w:lang w:val="zh-CN" w:eastAsia="zh-CN"/>
        </w:rPr>
        <w:t>%</w:t>
      </w:r>
      <w:r>
        <w:rPr>
          <w:rFonts w:hint="eastAsia" w:ascii="Times New Roman" w:hAnsi="Times New Roman" w:eastAsia="仿宋_GB2312"/>
          <w:sz w:val="32"/>
          <w:szCs w:val="32"/>
          <w:lang w:val="zh-CN"/>
        </w:rPr>
        <w:t>，</w:t>
      </w:r>
      <w:r>
        <w:rPr>
          <w:rFonts w:hint="eastAsia" w:ascii="Times New Roman" w:hAnsi="Times New Roman" w:eastAsia="仿宋_GB2312"/>
          <w:sz w:val="32"/>
          <w:szCs w:val="32"/>
          <w:lang w:val="zh-CN" w:eastAsia="zh-CN"/>
        </w:rPr>
        <w:t>主要原因是：</w:t>
      </w:r>
      <w:r>
        <w:rPr>
          <w:rFonts w:hint="eastAsia" w:ascii="Times New Roman" w:hAnsi="Times New Roman" w:eastAsia="仿宋_GB2312"/>
          <w:sz w:val="32"/>
          <w:szCs w:val="32"/>
          <w:lang w:val="en-US" w:eastAsia="zh-CN"/>
        </w:rPr>
        <w:t>坚持厉行节约，进一步压减</w:t>
      </w:r>
      <w:r>
        <w:rPr>
          <w:rFonts w:hint="eastAsia" w:ascii="Times New Roman" w:hAnsi="Times New Roman" w:eastAsia="仿宋_GB2312"/>
          <w:sz w:val="32"/>
          <w:szCs w:val="32"/>
          <w:lang w:val="zh-CN"/>
        </w:rPr>
        <w:t>公务接待费。</w:t>
      </w:r>
    </w:p>
    <w:p w14:paraId="6D7A0B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7B4DEF7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4E04B42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4EF99D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4DABBBC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435C959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1089F388">
      <w:pPr>
        <w:ind w:firstLine="640" w:firstLineChars="200"/>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新疆维吾尔自治区政务服务和公共资源交易中心</w:t>
      </w:r>
      <w:r>
        <w:rPr>
          <w:rFonts w:hint="eastAsia" w:eastAsia="仿宋_GB2312" w:cs="Times New Roman"/>
          <w:color w:val="auto"/>
          <w:sz w:val="32"/>
          <w:szCs w:val="32"/>
          <w:highlight w:val="none"/>
          <w:lang w:val="en-US" w:eastAsia="zh-CN"/>
        </w:rPr>
        <w:t>公用</w:t>
      </w:r>
      <w:r>
        <w:rPr>
          <w:rFonts w:hint="eastAsia" w:ascii="Times New Roman" w:hAnsi="Times New Roman" w:eastAsia="仿宋_GB2312" w:cs="Times New Roman"/>
          <w:color w:val="auto"/>
          <w:sz w:val="32"/>
          <w:szCs w:val="32"/>
          <w:highlight w:val="none"/>
          <w:lang w:val="en-US" w:eastAsia="zh-CN"/>
        </w:rPr>
        <w:t>经费支出</w:t>
      </w:r>
      <w:r>
        <w:rPr>
          <w:rFonts w:hint="eastAsia" w:eastAsia="仿宋_GB2312" w:cs="Times New Roman"/>
          <w:color w:val="auto"/>
          <w:sz w:val="32"/>
          <w:szCs w:val="32"/>
          <w:highlight w:val="none"/>
          <w:lang w:val="en-US" w:eastAsia="zh-CN"/>
        </w:rPr>
        <w:t>153.64</w:t>
      </w:r>
      <w:r>
        <w:rPr>
          <w:rFonts w:hint="eastAsia" w:ascii="Times New Roman" w:hAnsi="Times New Roman" w:eastAsia="仿宋_GB2312" w:cs="Times New Roman"/>
          <w:color w:val="auto"/>
          <w:sz w:val="32"/>
          <w:szCs w:val="32"/>
          <w:highlight w:val="none"/>
          <w:lang w:val="en-US" w:eastAsia="zh-CN"/>
        </w:rPr>
        <w:t>万元，比上年增加</w:t>
      </w:r>
      <w:r>
        <w:rPr>
          <w:rFonts w:hint="eastAsia" w:eastAsia="仿宋_GB2312" w:cs="Times New Roman"/>
          <w:color w:val="auto"/>
          <w:sz w:val="32"/>
          <w:szCs w:val="32"/>
          <w:highlight w:val="none"/>
          <w:lang w:val="en-US" w:eastAsia="zh-CN"/>
        </w:rPr>
        <w:t>21.80</w:t>
      </w:r>
      <w:r>
        <w:rPr>
          <w:rFonts w:hint="eastAsia" w:ascii="Times New Roman" w:hAnsi="Times New Roman" w:eastAsia="仿宋_GB2312" w:cs="Times New Roman"/>
          <w:color w:val="auto"/>
          <w:sz w:val="32"/>
          <w:szCs w:val="32"/>
          <w:highlight w:val="none"/>
          <w:lang w:val="en-US" w:eastAsia="zh-CN"/>
        </w:rPr>
        <w:t>万元，增长</w:t>
      </w:r>
      <w:r>
        <w:rPr>
          <w:rFonts w:hint="eastAsia" w:eastAsia="仿宋_GB2312" w:cs="Times New Roman"/>
          <w:color w:val="auto"/>
          <w:sz w:val="32"/>
          <w:szCs w:val="32"/>
          <w:highlight w:val="none"/>
          <w:lang w:val="en-US" w:eastAsia="zh-CN"/>
        </w:rPr>
        <w:t>16.54</w:t>
      </w:r>
      <w:r>
        <w:rPr>
          <w:rFonts w:hint="eastAsia" w:ascii="Times New Roman" w:hAnsi="Times New Roman" w:eastAsia="仿宋_GB2312" w:cs="Times New Roman"/>
          <w:color w:val="auto"/>
          <w:sz w:val="32"/>
          <w:szCs w:val="32"/>
          <w:highlight w:val="none"/>
          <w:lang w:val="en-US" w:eastAsia="zh-CN"/>
        </w:rPr>
        <w:t>%,主要原因是：</w:t>
      </w:r>
      <w:r>
        <w:rPr>
          <w:rFonts w:hint="eastAsia" w:ascii="仿宋" w:hAnsi="仿宋" w:eastAsia="仿宋" w:cs="仿宋"/>
          <w:color w:val="auto"/>
          <w:sz w:val="32"/>
          <w:szCs w:val="32"/>
          <w:highlight w:val="none"/>
          <w:lang w:val="en-US" w:eastAsia="zh-CN"/>
        </w:rPr>
        <w:t>中心职能任务增加，为进一步提高自治区本级政务服务和公共资源交易质量，本年度政务大厅和公共资源交易大厅运行经费支出增加。</w:t>
      </w:r>
    </w:p>
    <w:p w14:paraId="216B3FF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6D14DC8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4,799.49万元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其中：政府采购货物支出129.21万元、政府采购工程支出194.90万元、政府采购服务支出4,475.37万元。</w:t>
      </w:r>
    </w:p>
    <w:p w14:paraId="561737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授予中小企业合同金额2,651.08万元，占政府采购支出总额的55.24</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，其中：授予小微企业合同金额1,638.54万元，占政府采购支出总额的34.14</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3084282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567493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3,590.40</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屋0.0平方米，价值0.00万元。车辆7辆，价值229.01万元，其中：副部（省）级及以上领导用车0辆、主要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用车0辆、其他用车7辆，其他用车主要是</w:t>
      </w:r>
      <w:r>
        <w:rPr>
          <w:rFonts w:hint="eastAsia" w:eastAsia="仿宋_GB2312" w:cs="Times New Roman"/>
          <w:color w:val="auto"/>
          <w:sz w:val="32"/>
          <w:szCs w:val="32"/>
          <w:highlight w:val="none"/>
          <w:lang w:val="en-US" w:eastAsia="zh-CN"/>
        </w:rPr>
        <w:t>公务用车</w:t>
      </w:r>
      <w:r>
        <w:rPr>
          <w:rFonts w:hint="eastAsia" w:ascii="Times New Roman" w:hAnsi="Times New Roman" w:eastAsia="仿宋_GB2312" w:cs="Times New Roman"/>
          <w:color w:val="auto"/>
          <w:sz w:val="32"/>
          <w:szCs w:val="32"/>
          <w:highlight w:val="none"/>
          <w:lang w:val="zh-CN" w:eastAsia="zh-CN"/>
        </w:rPr>
        <w:t>；单价100万元（含）以上设备（不含车辆）1</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7FA29E4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1F71C48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eastAsia" w:ascii="仿宋_GB2312" w:eastAsia="仿宋_GB2312"/>
          <w:color w:val="auto"/>
          <w:sz w:val="32"/>
          <w:szCs w:val="32"/>
          <w:highlight w:val="none"/>
        </w:rPr>
        <w:t>9324.64万元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eastAsia" w:ascii="仿宋_GB2312" w:eastAsia="仿宋_GB2312"/>
          <w:color w:val="auto"/>
          <w:sz w:val="32"/>
          <w:szCs w:val="32"/>
          <w:highlight w:val="none"/>
        </w:rPr>
        <w:t>8386.87万元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全年预算数7862.03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全年执行数6783.98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其中，政务服务和公共资源交易大厅建设类项目预算金额为510万元，执行金额为447.76万元；政务服务和公共资源交易运转保障项目预算金额6476.57万元，执行金额为5601.04万元；特定目标0210689C项目，预算金额为196.80万元，执行金额为57.52万元；自治区一体化在线政务服务平台深化应用项目，预算金额为678.66万元，执行金额为678.66万元。（说明：特定目标0210689C项目为涉密项目，绩效自评表不予公开；自治区一体化在线政务服务平台深化应用项目因涉及机构改革，项目法人变更为自治区信息中心，因此本单位不报送绩效自评表。）</w:t>
      </w:r>
    </w:p>
    <w:p w14:paraId="78E781C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eastAsia="zh-CN"/>
        </w:rPr>
      </w:pPr>
      <w:r>
        <w:rPr>
          <w:rFonts w:hint="eastAsia" w:ascii="仿宋_GB2312" w:eastAsia="仿宋_GB2312"/>
          <w:color w:val="auto"/>
          <w:sz w:val="32"/>
          <w:szCs w:val="32"/>
          <w:highlight w:val="none"/>
          <w:lang w:eastAsia="zh-CN"/>
        </w:rPr>
        <w:t>预算绩效管理取得的成效：</w:t>
      </w:r>
      <w:r>
        <w:rPr>
          <w:rFonts w:hint="eastAsia" w:ascii="Times New Roman" w:hAnsi="Times New Roman" w:eastAsia="楷体" w:cs="Times New Roman"/>
          <w:b w:val="0"/>
          <w:bCs w:val="0"/>
          <w:sz w:val="32"/>
          <w:szCs w:val="32"/>
          <w:lang w:val="en-US" w:eastAsia="zh-CN"/>
        </w:rPr>
        <w:t>一是</w:t>
      </w:r>
      <w:r>
        <w:rPr>
          <w:rFonts w:hint="eastAsia" w:ascii="楷体_GB2312" w:hAnsi="仿宋" w:eastAsia="楷体_GB2312"/>
          <w:sz w:val="32"/>
          <w:szCs w:val="32"/>
        </w:rPr>
        <w:t>加强预算绩效管理的组织领导</w:t>
      </w:r>
      <w:r>
        <w:rPr>
          <w:rFonts w:hint="eastAsia" w:ascii="楷体_GB2312" w:hAnsi="仿宋" w:eastAsia="楷体_GB2312"/>
          <w:sz w:val="32"/>
          <w:szCs w:val="32"/>
          <w:lang w:eastAsia="zh-CN"/>
        </w:rPr>
        <w:t>，</w:t>
      </w:r>
      <w:r>
        <w:rPr>
          <w:rFonts w:hint="default" w:ascii="Times New Roman" w:hAnsi="Times New Roman" w:eastAsia="楷体" w:cs="Times New Roman"/>
          <w:b w:val="0"/>
          <w:bCs w:val="0"/>
          <w:sz w:val="32"/>
          <w:szCs w:val="32"/>
          <w:lang w:val="en-US" w:eastAsia="zh-CN"/>
        </w:rPr>
        <w:t>成立预算绩效管理领导小组</w:t>
      </w:r>
      <w:r>
        <w:rPr>
          <w:rFonts w:hint="eastAsia" w:ascii="Times New Roman" w:hAnsi="Times New Roman" w:eastAsia="楷体" w:cs="Times New Roman"/>
          <w:b w:val="0"/>
          <w:bCs w:val="0"/>
          <w:sz w:val="32"/>
          <w:szCs w:val="32"/>
          <w:lang w:val="en-US" w:eastAsia="zh-CN"/>
        </w:rPr>
        <w:t>。</w:t>
      </w:r>
      <w:r>
        <w:rPr>
          <w:rFonts w:hint="default" w:ascii="Times New Roman" w:hAnsi="Times New Roman" w:eastAsia="仿宋" w:cs="Times New Roman"/>
          <w:sz w:val="32"/>
          <w:szCs w:val="32"/>
          <w:lang w:val="en-US" w:eastAsia="zh-CN"/>
        </w:rPr>
        <w:t>为加快推进</w:t>
      </w:r>
      <w:r>
        <w:rPr>
          <w:rFonts w:hint="eastAsia" w:ascii="Times New Roman" w:hAnsi="Times New Roman" w:eastAsia="仿宋" w:cs="Times New Roman"/>
          <w:sz w:val="32"/>
          <w:szCs w:val="32"/>
          <w:lang w:val="en-US" w:eastAsia="zh-CN"/>
        </w:rPr>
        <w:t>政务</w:t>
      </w:r>
      <w:r>
        <w:rPr>
          <w:rFonts w:hint="default" w:ascii="Times New Roman" w:hAnsi="Times New Roman" w:eastAsia="仿宋" w:cs="Times New Roman"/>
          <w:sz w:val="32"/>
          <w:szCs w:val="32"/>
          <w:lang w:val="en-US" w:eastAsia="zh-CN"/>
        </w:rPr>
        <w:t>中心全面实施预算绩效管理各项工作，</w:t>
      </w:r>
      <w:r>
        <w:rPr>
          <w:rFonts w:hint="eastAsia" w:ascii="仿宋_GB2312" w:hAnsi="宋体" w:eastAsia="仿宋_GB2312"/>
          <w:sz w:val="32"/>
          <w:szCs w:val="32"/>
        </w:rPr>
        <w:t>20</w:t>
      </w:r>
      <w:r>
        <w:rPr>
          <w:rFonts w:hint="eastAsia" w:ascii="仿宋_GB2312" w:hAnsi="宋体" w:eastAsia="仿宋_GB2312"/>
          <w:sz w:val="32"/>
          <w:szCs w:val="32"/>
          <w:lang w:val="en-US" w:eastAsia="zh-CN"/>
        </w:rPr>
        <w:t>23</w:t>
      </w:r>
      <w:r>
        <w:rPr>
          <w:rFonts w:hint="eastAsia" w:ascii="仿宋_GB2312" w:hAnsi="宋体" w:eastAsia="仿宋_GB2312"/>
          <w:sz w:val="32"/>
          <w:szCs w:val="32"/>
        </w:rPr>
        <w:t>年</w:t>
      </w:r>
      <w:r>
        <w:rPr>
          <w:rFonts w:hint="eastAsia" w:ascii="仿宋_GB2312" w:hAnsi="宋体" w:eastAsia="仿宋_GB2312"/>
          <w:sz w:val="32"/>
          <w:szCs w:val="32"/>
          <w:lang w:val="en-US" w:eastAsia="zh-CN"/>
        </w:rPr>
        <w:t>10</w:t>
      </w:r>
      <w:r>
        <w:rPr>
          <w:rFonts w:hint="eastAsia" w:ascii="仿宋_GB2312" w:hAnsi="宋体" w:eastAsia="仿宋_GB2312"/>
          <w:sz w:val="32"/>
          <w:szCs w:val="32"/>
        </w:rPr>
        <w:t>月，</w:t>
      </w:r>
      <w:r>
        <w:rPr>
          <w:rFonts w:hint="eastAsia" w:ascii="仿宋_GB2312" w:hAnsi="宋体" w:eastAsia="仿宋_GB2312"/>
          <w:sz w:val="32"/>
          <w:szCs w:val="32"/>
          <w:lang w:val="en-US" w:eastAsia="zh-CN"/>
        </w:rPr>
        <w:t>政务中心第30次党组会审议通过了</w:t>
      </w:r>
      <w:r>
        <w:rPr>
          <w:rFonts w:hint="default" w:ascii="Times New Roman" w:hAnsi="Times New Roman" w:eastAsia="仿宋" w:cs="Times New Roman"/>
          <w:sz w:val="32"/>
          <w:szCs w:val="32"/>
          <w:lang w:val="en-US" w:eastAsia="zh-CN"/>
        </w:rPr>
        <w:t>“</w:t>
      </w:r>
      <w:r>
        <w:rPr>
          <w:rFonts w:hint="eastAsia" w:ascii="Times New Roman" w:hAnsi="Times New Roman" w:eastAsia="仿宋" w:cs="Times New Roman"/>
          <w:sz w:val="32"/>
          <w:szCs w:val="32"/>
          <w:lang w:val="en-US" w:eastAsia="zh-CN"/>
        </w:rPr>
        <w:t>关于成立政务中心</w:t>
      </w:r>
      <w:r>
        <w:rPr>
          <w:rFonts w:hint="default" w:ascii="Times New Roman" w:hAnsi="Times New Roman" w:eastAsia="仿宋" w:cs="Times New Roman"/>
          <w:sz w:val="32"/>
          <w:szCs w:val="32"/>
          <w:lang w:val="en-US" w:eastAsia="zh-CN"/>
        </w:rPr>
        <w:t>预算绩效管理领导小组”</w:t>
      </w:r>
      <w:r>
        <w:rPr>
          <w:rFonts w:hint="eastAsia" w:ascii="Times New Roman" w:hAnsi="Times New Roman" w:eastAsia="仿宋" w:cs="Times New Roman"/>
          <w:sz w:val="32"/>
          <w:szCs w:val="32"/>
          <w:lang w:val="en-US" w:eastAsia="zh-CN"/>
        </w:rPr>
        <w:t>的决议并确定了</w:t>
      </w:r>
      <w:r>
        <w:rPr>
          <w:rFonts w:hint="default" w:ascii="Times New Roman" w:hAnsi="Times New Roman" w:eastAsia="仿宋" w:cs="Times New Roman"/>
          <w:sz w:val="32"/>
          <w:szCs w:val="32"/>
          <w:lang w:val="en-US" w:eastAsia="zh-CN"/>
        </w:rPr>
        <w:t>领导小组成员</w:t>
      </w:r>
      <w:r>
        <w:rPr>
          <w:rFonts w:hint="eastAsia" w:ascii="Times New Roman" w:hAnsi="Times New Roman" w:eastAsia="仿宋" w:cs="Times New Roman"/>
          <w:sz w:val="32"/>
          <w:szCs w:val="32"/>
          <w:lang w:val="en-US" w:eastAsia="zh-CN"/>
        </w:rPr>
        <w:t>及</w:t>
      </w:r>
      <w:r>
        <w:rPr>
          <w:rFonts w:hint="default" w:ascii="Times New Roman" w:hAnsi="Times New Roman" w:eastAsia="仿宋" w:cs="Times New Roman"/>
          <w:sz w:val="32"/>
          <w:szCs w:val="32"/>
          <w:lang w:val="en-US" w:eastAsia="zh-CN"/>
        </w:rPr>
        <w:t>主要职责</w:t>
      </w:r>
      <w:r>
        <w:rPr>
          <w:rFonts w:hint="eastAsia" w:ascii="Times New Roman" w:hAnsi="Times New Roman" w:eastAsia="仿宋" w:cs="Times New Roman"/>
          <w:sz w:val="32"/>
          <w:szCs w:val="32"/>
          <w:lang w:val="en-US" w:eastAsia="zh-CN"/>
        </w:rPr>
        <w:t>。同时</w:t>
      </w:r>
      <w:r>
        <w:rPr>
          <w:rFonts w:hint="eastAsia" w:ascii="仿宋_GB2312" w:hAnsi="宋体" w:eastAsia="仿宋_GB2312"/>
          <w:sz w:val="32"/>
          <w:szCs w:val="32"/>
        </w:rPr>
        <w:t>按照</w:t>
      </w:r>
      <w:r>
        <w:rPr>
          <w:rFonts w:hint="eastAsia" w:ascii="仿宋_GB2312" w:hAnsi="宋体" w:eastAsia="仿宋_GB2312"/>
          <w:sz w:val="32"/>
          <w:szCs w:val="32"/>
          <w:lang w:val="en-US" w:eastAsia="zh-CN"/>
        </w:rPr>
        <w:t>上级业务部门的工作要求，</w:t>
      </w:r>
      <w:r>
        <w:rPr>
          <w:rFonts w:hint="eastAsia" w:ascii="仿宋_GB2312" w:hAnsi="宋体" w:eastAsia="仿宋_GB2312"/>
          <w:sz w:val="32"/>
          <w:szCs w:val="32"/>
        </w:rPr>
        <w:t>组织召开专题会议安排部署</w:t>
      </w:r>
      <w:r>
        <w:rPr>
          <w:rFonts w:hint="eastAsia" w:ascii="仿宋_GB2312" w:hAnsi="宋体" w:eastAsia="仿宋_GB2312"/>
          <w:sz w:val="32"/>
          <w:szCs w:val="32"/>
          <w:lang w:val="en-US" w:eastAsia="zh-CN"/>
        </w:rPr>
        <w:t>中心</w:t>
      </w:r>
      <w:r>
        <w:rPr>
          <w:rFonts w:hint="eastAsia" w:ascii="仿宋_GB2312" w:hAnsi="宋体" w:eastAsia="仿宋_GB2312"/>
          <w:sz w:val="32"/>
          <w:szCs w:val="32"/>
        </w:rPr>
        <w:t>20</w:t>
      </w:r>
      <w:r>
        <w:rPr>
          <w:rFonts w:hint="eastAsia" w:ascii="仿宋_GB2312" w:hAnsi="宋体" w:eastAsia="仿宋_GB2312"/>
          <w:sz w:val="32"/>
          <w:szCs w:val="32"/>
          <w:lang w:val="en-US" w:eastAsia="zh-CN"/>
        </w:rPr>
        <w:t>23</w:t>
      </w:r>
      <w:r>
        <w:rPr>
          <w:rFonts w:hint="eastAsia" w:ascii="仿宋_GB2312" w:hAnsi="宋体" w:eastAsia="仿宋_GB2312"/>
          <w:sz w:val="32"/>
          <w:szCs w:val="32"/>
        </w:rPr>
        <w:t>年</w:t>
      </w:r>
      <w:r>
        <w:rPr>
          <w:rFonts w:hint="default" w:ascii="Times New Roman" w:hAnsi="Times New Roman" w:eastAsia="仿宋" w:cs="Times New Roman"/>
          <w:sz w:val="32"/>
          <w:szCs w:val="32"/>
          <w:lang w:val="en-US" w:eastAsia="zh-CN"/>
        </w:rPr>
        <w:t>全面实施预算绩效管理工作</w:t>
      </w:r>
      <w:r>
        <w:rPr>
          <w:rFonts w:hint="eastAsia" w:ascii="Times New Roman" w:hAnsi="Times New Roman" w:eastAsia="仿宋" w:cs="Times New Roman"/>
          <w:sz w:val="32"/>
          <w:szCs w:val="32"/>
          <w:lang w:val="en-US" w:eastAsia="zh-CN"/>
        </w:rPr>
        <w:t>；二是</w:t>
      </w:r>
      <w:r>
        <w:rPr>
          <w:rFonts w:hint="eastAsia" w:ascii="楷体_GB2312" w:hAnsi="仿宋" w:eastAsia="楷体_GB2312"/>
          <w:color w:val="auto"/>
          <w:sz w:val="32"/>
          <w:szCs w:val="32"/>
        </w:rPr>
        <w:t>强化预算绩效目标管理</w:t>
      </w:r>
      <w:r>
        <w:rPr>
          <w:rFonts w:hint="eastAsia" w:ascii="楷体_GB2312" w:hAnsi="仿宋" w:eastAsia="楷体_GB2312"/>
          <w:color w:val="auto"/>
          <w:sz w:val="32"/>
          <w:szCs w:val="32"/>
          <w:lang w:eastAsia="zh-CN"/>
        </w:rPr>
        <w:t>，</w:t>
      </w:r>
      <w:r>
        <w:rPr>
          <w:rFonts w:hint="eastAsia" w:ascii="楷体_GB2312" w:hAnsi="仿宋" w:eastAsia="楷体_GB2312"/>
          <w:color w:val="auto"/>
          <w:sz w:val="32"/>
          <w:szCs w:val="32"/>
          <w:lang w:val="en-US" w:eastAsia="zh-CN"/>
        </w:rPr>
        <w:t>严格落实绩效目标管理的各项要求。</w:t>
      </w:r>
      <w:r>
        <w:rPr>
          <w:rFonts w:hint="default" w:ascii="仿宋_GB2312" w:hAnsi="宋体" w:eastAsia="仿宋_GB2312" w:cs="Times New Roman"/>
          <w:sz w:val="32"/>
          <w:szCs w:val="32"/>
          <w:lang w:val="en-US" w:eastAsia="zh-CN"/>
        </w:rPr>
        <w:t>一方面加强预算编制绩效管理</w:t>
      </w:r>
      <w:r>
        <w:rPr>
          <w:rFonts w:hint="eastAsia" w:ascii="仿宋_GB2312" w:hAnsi="宋体" w:eastAsia="仿宋_GB2312" w:cs="Times New Roman"/>
          <w:sz w:val="32"/>
          <w:szCs w:val="32"/>
          <w:lang w:val="en-US" w:eastAsia="zh-CN"/>
        </w:rPr>
        <w:t>，同时狠抓</w:t>
      </w:r>
      <w:r>
        <w:rPr>
          <w:rFonts w:hint="default" w:ascii="仿宋_GB2312" w:hAnsi="宋体" w:eastAsia="仿宋_GB2312" w:cs="Times New Roman"/>
          <w:sz w:val="32"/>
          <w:szCs w:val="32"/>
          <w:lang w:val="en-US" w:eastAsia="zh-CN"/>
        </w:rPr>
        <w:t>完善项目绩效管理责任</w:t>
      </w:r>
      <w:r>
        <w:rPr>
          <w:rFonts w:hint="eastAsia" w:ascii="仿宋_GB2312" w:hAnsi="宋体" w:eastAsia="仿宋_GB2312" w:cs="Times New Roman"/>
          <w:sz w:val="32"/>
          <w:szCs w:val="32"/>
          <w:lang w:val="en-US" w:eastAsia="zh-CN"/>
        </w:rPr>
        <w:t>；另一方面按照要求细化指标，全过程做好预算执行和绩效管理监控工作，同时</w:t>
      </w:r>
      <w:r>
        <w:rPr>
          <w:rFonts w:hint="default" w:ascii="仿宋_GB2312" w:hAnsi="宋体" w:eastAsia="仿宋_GB2312" w:cs="Times New Roman"/>
          <w:sz w:val="32"/>
          <w:szCs w:val="32"/>
          <w:lang w:val="en-US" w:eastAsia="zh-CN"/>
        </w:rPr>
        <w:t>加强管理制度执行</w:t>
      </w:r>
      <w:r>
        <w:rPr>
          <w:rFonts w:hint="eastAsia" w:ascii="仿宋_GB2312" w:hAnsi="宋体" w:eastAsia="仿宋_GB2312" w:cs="Times New Roman"/>
          <w:sz w:val="32"/>
          <w:szCs w:val="32"/>
          <w:lang w:val="en-US" w:eastAsia="zh-CN"/>
        </w:rPr>
        <w:t>，逐步建立</w:t>
      </w:r>
      <w:r>
        <w:rPr>
          <w:rFonts w:hint="eastAsia" w:ascii="楷体_GB2312" w:hAnsi="宋体" w:eastAsia="楷体_GB2312"/>
          <w:sz w:val="32"/>
          <w:szCs w:val="32"/>
        </w:rPr>
        <w:t>预算项目事前评估</w:t>
      </w:r>
      <w:r>
        <w:rPr>
          <w:rFonts w:hint="eastAsia" w:ascii="楷体_GB2312" w:hAnsi="宋体" w:eastAsia="楷体_GB2312"/>
          <w:sz w:val="32"/>
          <w:szCs w:val="32"/>
          <w:lang w:eastAsia="zh-CN"/>
        </w:rPr>
        <w:t>、</w:t>
      </w:r>
      <w:r>
        <w:rPr>
          <w:rFonts w:hint="eastAsia" w:ascii="楷体_GB2312" w:hAnsi="宋体" w:eastAsia="楷体_GB2312"/>
          <w:sz w:val="32"/>
          <w:szCs w:val="32"/>
          <w:lang w:val="en-US" w:eastAsia="zh-CN"/>
        </w:rPr>
        <w:t>事中监控、事后问效</w:t>
      </w:r>
      <w:r>
        <w:rPr>
          <w:rFonts w:hint="eastAsia" w:ascii="楷体_GB2312" w:hAnsi="宋体" w:eastAsia="楷体_GB2312"/>
          <w:sz w:val="32"/>
          <w:szCs w:val="32"/>
        </w:rPr>
        <w:t>机制。</w:t>
      </w:r>
      <w:r>
        <w:rPr>
          <w:rFonts w:hint="eastAsia" w:ascii="Times New Roman" w:hAnsi="Times New Roman" w:eastAsia="仿宋" w:cs="Times New Roman"/>
          <w:sz w:val="32"/>
          <w:szCs w:val="32"/>
          <w:lang w:val="en-US" w:eastAsia="zh-CN"/>
        </w:rPr>
        <w:t>10月份</w:t>
      </w:r>
      <w:r>
        <w:rPr>
          <w:rFonts w:hint="default" w:ascii="Times New Roman" w:hAnsi="Times New Roman" w:eastAsia="仿宋" w:cs="Times New Roman"/>
          <w:sz w:val="32"/>
          <w:szCs w:val="32"/>
          <w:lang w:val="en-US" w:eastAsia="zh-CN"/>
        </w:rPr>
        <w:t>制定</w:t>
      </w:r>
      <w:r>
        <w:rPr>
          <w:rFonts w:hint="eastAsia" w:ascii="Times New Roman" w:hAnsi="Times New Roman" w:eastAsia="仿宋" w:cs="Times New Roman"/>
          <w:sz w:val="32"/>
          <w:szCs w:val="32"/>
          <w:lang w:val="en-US" w:eastAsia="zh-CN"/>
        </w:rPr>
        <w:t>下发了</w:t>
      </w:r>
      <w:r>
        <w:rPr>
          <w:rFonts w:hint="default" w:ascii="Times New Roman" w:hAnsi="Times New Roman" w:eastAsia="仿宋" w:cs="Times New Roman"/>
          <w:sz w:val="32"/>
          <w:szCs w:val="32"/>
          <w:lang w:val="en-US" w:eastAsia="zh-CN"/>
        </w:rPr>
        <w:t>《自治区政务服务和公共资源交易中心预算支出绩效管理办法》</w:t>
      </w:r>
      <w:r>
        <w:rPr>
          <w:rFonts w:hint="eastAsia" w:ascii="Times New Roman" w:hAnsi="Times New Roman" w:eastAsia="仿宋" w:cs="Times New Roman"/>
          <w:sz w:val="32"/>
          <w:szCs w:val="32"/>
          <w:lang w:val="en-US" w:eastAsia="zh-CN"/>
        </w:rPr>
        <w:t>。政务中心从预算资金实施各部门抓起，</w:t>
      </w:r>
      <w:r>
        <w:rPr>
          <w:rFonts w:hint="default" w:ascii="Times New Roman" w:hAnsi="Times New Roman" w:eastAsia="仿宋" w:cs="Times New Roman"/>
          <w:sz w:val="32"/>
          <w:szCs w:val="32"/>
          <w:lang w:val="en-US" w:eastAsia="zh-CN"/>
        </w:rPr>
        <w:t>牢固树立“讲绩效、重绩效、用绩效”</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lang w:val="en-US" w:eastAsia="zh-CN"/>
        </w:rPr>
        <w:t>“花钱必问效、无效必问责”</w:t>
      </w:r>
      <w:r>
        <w:rPr>
          <w:rFonts w:hint="eastAsia" w:ascii="Times New Roman" w:hAnsi="Times New Roman" w:eastAsia="仿宋" w:cs="Times New Roman"/>
          <w:sz w:val="32"/>
          <w:szCs w:val="32"/>
          <w:lang w:val="en-US" w:eastAsia="zh-CN"/>
        </w:rPr>
        <w:t>等</w:t>
      </w:r>
      <w:r>
        <w:rPr>
          <w:rFonts w:hint="default" w:ascii="Times New Roman" w:hAnsi="Times New Roman" w:eastAsia="仿宋" w:cs="Times New Roman"/>
          <w:sz w:val="32"/>
          <w:szCs w:val="32"/>
          <w:lang w:val="en-US" w:eastAsia="zh-CN"/>
        </w:rPr>
        <w:t>绩效管理理念，把制度执行作为开展绩效管理的关键环节，进一步</w:t>
      </w:r>
      <w:r>
        <w:rPr>
          <w:rFonts w:hint="eastAsia" w:ascii="Times New Roman" w:hAnsi="Times New Roman" w:eastAsia="仿宋" w:cs="Times New Roman"/>
          <w:sz w:val="32"/>
          <w:szCs w:val="32"/>
          <w:lang w:val="en-US" w:eastAsia="zh-CN"/>
        </w:rPr>
        <w:t>提高预算</w:t>
      </w:r>
      <w:r>
        <w:rPr>
          <w:rFonts w:hint="default" w:ascii="Times New Roman" w:hAnsi="Times New Roman" w:eastAsia="仿宋" w:cs="Times New Roman"/>
          <w:sz w:val="32"/>
          <w:szCs w:val="32"/>
          <w:lang w:val="en-US" w:eastAsia="zh-CN"/>
        </w:rPr>
        <w:t>支出</w:t>
      </w:r>
      <w:r>
        <w:rPr>
          <w:rFonts w:hint="eastAsia" w:ascii="Times New Roman" w:hAnsi="Times New Roman" w:eastAsia="仿宋" w:cs="Times New Roman"/>
          <w:sz w:val="32"/>
          <w:szCs w:val="32"/>
          <w:lang w:val="en-US" w:eastAsia="zh-CN"/>
        </w:rPr>
        <w:t>的</w:t>
      </w:r>
      <w:r>
        <w:rPr>
          <w:rFonts w:hint="default" w:ascii="Times New Roman" w:hAnsi="Times New Roman" w:eastAsia="仿宋" w:cs="Times New Roman"/>
          <w:sz w:val="32"/>
          <w:szCs w:val="32"/>
          <w:lang w:val="en-US" w:eastAsia="zh-CN"/>
        </w:rPr>
        <w:t>责任和效率意识</w:t>
      </w:r>
      <w:r>
        <w:rPr>
          <w:rFonts w:hint="eastAsia" w:ascii="Times New Roman" w:hAnsi="Times New Roman" w:eastAsia="仿宋" w:cs="Times New Roman"/>
          <w:sz w:val="32"/>
          <w:szCs w:val="32"/>
          <w:lang w:val="en-US" w:eastAsia="zh-CN"/>
        </w:rPr>
        <w:t>。</w:t>
      </w:r>
      <w:r>
        <w:rPr>
          <w:rFonts w:hint="eastAsia" w:ascii="仿宋_GB2312" w:hAnsi="宋体" w:eastAsia="仿宋_GB2312"/>
          <w:sz w:val="32"/>
          <w:szCs w:val="32"/>
        </w:rPr>
        <w:t>在编制项目预算前，落实“项目事前绩效评估”机制</w:t>
      </w:r>
      <w:r>
        <w:rPr>
          <w:rFonts w:hint="eastAsia" w:ascii="仿宋_GB2312" w:hAnsi="宋体" w:eastAsia="仿宋_GB2312"/>
          <w:sz w:val="32"/>
          <w:szCs w:val="32"/>
          <w:lang w:eastAsia="zh-CN"/>
        </w:rPr>
        <w:t>，</w:t>
      </w:r>
      <w:r>
        <w:rPr>
          <w:rFonts w:hint="eastAsia" w:ascii="仿宋_GB2312" w:hAnsi="宋体" w:eastAsia="仿宋_GB2312"/>
          <w:sz w:val="32"/>
          <w:szCs w:val="32"/>
        </w:rPr>
        <w:t>紧紧围绕自治区党委、人民政府工作部署，充分论证项目立项必要性、投入经济性、绩效目标合理性、实施方案可行性、筹资合规性等，并在项目实施过程中，按照前期设定的各项预算绩效指标</w:t>
      </w:r>
      <w:r>
        <w:rPr>
          <w:rFonts w:hint="eastAsia" w:ascii="仿宋_GB2312" w:hAnsi="宋体" w:eastAsia="仿宋_GB2312"/>
          <w:sz w:val="32"/>
          <w:szCs w:val="32"/>
          <w:lang w:val="en-US" w:eastAsia="zh-CN"/>
        </w:rPr>
        <w:t>定期对项目支出的绩效情况</w:t>
      </w:r>
      <w:r>
        <w:rPr>
          <w:rFonts w:hint="eastAsia" w:ascii="仿宋_GB2312" w:hAnsi="宋体" w:eastAsia="仿宋_GB2312"/>
          <w:sz w:val="32"/>
          <w:szCs w:val="32"/>
        </w:rPr>
        <w:t>进行严格监控，确保项目顺利实施</w:t>
      </w:r>
      <w:r>
        <w:rPr>
          <w:rFonts w:hint="eastAsia" w:ascii="仿宋_GB2312" w:hAnsi="宋体" w:eastAsia="仿宋_GB2312"/>
          <w:sz w:val="32"/>
          <w:szCs w:val="32"/>
          <w:lang w:eastAsia="zh-CN"/>
        </w:rPr>
        <w:t>。</w:t>
      </w:r>
    </w:p>
    <w:p w14:paraId="670B8D7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eastAsia" w:ascii="仿宋_GB2312" w:eastAsia="仿宋_GB2312"/>
          <w:color w:val="auto"/>
          <w:sz w:val="32"/>
          <w:szCs w:val="32"/>
          <w:highlight w:val="none"/>
          <w:lang w:eastAsia="zh-CN"/>
        </w:rPr>
        <w:t>发现的问题及原因</w:t>
      </w:r>
      <w:r>
        <w:rPr>
          <w:rFonts w:hint="eastAsia" w:ascii="Times New Roman" w:hAnsi="Times New Roman" w:eastAsia="楷体" w:cs="Times New Roman"/>
          <w:b w:val="0"/>
          <w:bCs w:val="0"/>
          <w:sz w:val="32"/>
          <w:szCs w:val="32"/>
          <w:lang w:val="en-US" w:eastAsia="zh-CN"/>
        </w:rPr>
        <w:t>：一是</w:t>
      </w:r>
      <w:r>
        <w:rPr>
          <w:rFonts w:hint="default" w:ascii="Times New Roman" w:hAnsi="Times New Roman" w:eastAsia="楷体" w:cs="Times New Roman"/>
          <w:b w:val="0"/>
          <w:bCs w:val="0"/>
          <w:sz w:val="32"/>
          <w:szCs w:val="32"/>
          <w:lang w:val="en-US" w:eastAsia="zh-CN"/>
        </w:rPr>
        <w:t>单位预算绩效责任主体意识不强</w:t>
      </w:r>
      <w:r>
        <w:rPr>
          <w:rFonts w:hint="eastAsia" w:ascii="Times New Roman" w:hAnsi="Times New Roman" w:eastAsia="楷体" w:cs="Times New Roman"/>
          <w:b w:val="0"/>
          <w:bCs w:val="0"/>
          <w:sz w:val="32"/>
          <w:szCs w:val="32"/>
          <w:lang w:val="en-US" w:eastAsia="zh-CN"/>
        </w:rPr>
        <w:t>。</w:t>
      </w:r>
      <w:r>
        <w:rPr>
          <w:rFonts w:hint="default" w:ascii="Times New Roman" w:hAnsi="Times New Roman" w:eastAsia="仿宋" w:cs="Times New Roman"/>
          <w:sz w:val="32"/>
          <w:szCs w:val="32"/>
          <w:lang w:val="en-US" w:eastAsia="zh-CN"/>
        </w:rPr>
        <w:t>预算绩效管理强调“谁支出、谁负责”的责任约束，业务部门作为预算基础数据编制和使用主体，理应对各项业务的预算绩效负有直接责任。但在实务操作中，中心仍然存在轻业务预算提报、重财务预算下达的惯性思维，认为“预算、绩效涉及钱和账的均属于财务部门的管理范畴，业务部门只需按照财务预算执行”。预算绩效工作之初的不重视会造成后续过程管理和结果考核偏离预期目标。如：预算编制环节业务部门应对其拟实施的项目就项目建设内容进行分解，对项目建设对象的数量、所需时效、耗费成本和预期效益进行合理预测并提供相应的预算绩效说明作为预算支撑材料。实务中，业务部门常常不重视自身预算编制责任，预算绩效资料敷衍填报，导致执行中预算实效与目标偏差较大，出现执行中调整预算或预算绩效目标、结束后绩效自评效果差、影响单位整体绩效评级等问题。</w:t>
      </w:r>
      <w:r>
        <w:rPr>
          <w:rFonts w:hint="eastAsia" w:ascii="Times New Roman" w:hAnsi="Times New Roman" w:eastAsia="仿宋" w:cs="Times New Roman"/>
          <w:sz w:val="32"/>
          <w:szCs w:val="32"/>
          <w:lang w:val="en-US" w:eastAsia="zh-CN"/>
        </w:rPr>
        <w:t>二是</w:t>
      </w:r>
      <w:r>
        <w:rPr>
          <w:rFonts w:hint="default" w:ascii="Times New Roman" w:hAnsi="Times New Roman" w:eastAsia="楷体" w:cs="Times New Roman"/>
          <w:b w:val="0"/>
          <w:bCs w:val="0"/>
          <w:sz w:val="32"/>
          <w:szCs w:val="32"/>
          <w:lang w:val="en-US" w:eastAsia="zh-CN"/>
        </w:rPr>
        <w:t>预算绩效机构和人员设置不合理</w:t>
      </w:r>
      <w:r>
        <w:rPr>
          <w:rFonts w:hint="eastAsia" w:ascii="Times New Roman" w:hAnsi="Times New Roman" w:eastAsia="楷体" w:cs="Times New Roman"/>
          <w:b w:val="0"/>
          <w:bCs w:val="0"/>
          <w:sz w:val="32"/>
          <w:szCs w:val="32"/>
          <w:lang w:val="en-US" w:eastAsia="zh-CN"/>
        </w:rPr>
        <w:t>。</w:t>
      </w:r>
      <w:r>
        <w:rPr>
          <w:rFonts w:hint="eastAsia" w:ascii="仿宋_GB2312" w:hAnsi="宋体" w:eastAsia="仿宋_GB2312"/>
          <w:sz w:val="32"/>
          <w:szCs w:val="32"/>
          <w:lang w:val="en-US" w:eastAsia="zh-CN"/>
        </w:rPr>
        <w:t>由于政务中心成立时间较短，</w:t>
      </w:r>
      <w:r>
        <w:rPr>
          <w:rFonts w:hint="eastAsia" w:ascii="仿宋_GB2312" w:hAnsi="宋体" w:eastAsia="仿宋_GB2312"/>
          <w:sz w:val="32"/>
          <w:szCs w:val="32"/>
        </w:rPr>
        <w:t>相关培训力度不够，部分经办人员对预算绩效管理工作方法不掌握、不熟悉，对本</w:t>
      </w:r>
      <w:r>
        <w:rPr>
          <w:rFonts w:hint="eastAsia" w:ascii="仿宋_GB2312" w:hAnsi="宋体" w:eastAsia="仿宋_GB2312"/>
          <w:sz w:val="32"/>
          <w:szCs w:val="32"/>
          <w:lang w:val="en-US" w:eastAsia="zh-CN"/>
        </w:rPr>
        <w:t>部</w:t>
      </w:r>
      <w:r>
        <w:rPr>
          <w:rFonts w:hint="eastAsia" w:ascii="仿宋_GB2312" w:hAnsi="宋体" w:eastAsia="仿宋_GB2312"/>
          <w:sz w:val="32"/>
          <w:szCs w:val="32"/>
        </w:rPr>
        <w:t>室（单位）工作重点把握不准确，项目预算绩效评价结果质量不高，财务工作人员能力水平亟待提高。</w:t>
      </w:r>
      <w:r>
        <w:rPr>
          <w:rFonts w:hint="eastAsia" w:ascii="仿宋_GB2312" w:hAnsi="宋体" w:eastAsia="仿宋_GB2312"/>
          <w:sz w:val="32"/>
          <w:szCs w:val="32"/>
          <w:lang w:val="en-US" w:eastAsia="zh-CN"/>
        </w:rPr>
        <w:t>同时由于财务人员较少等客观原因，</w:t>
      </w:r>
      <w:r>
        <w:rPr>
          <w:rFonts w:hint="default" w:ascii="Times New Roman" w:hAnsi="Times New Roman" w:eastAsia="仿宋" w:cs="Times New Roman"/>
          <w:sz w:val="32"/>
          <w:szCs w:val="32"/>
          <w:lang w:val="en-US" w:eastAsia="zh-CN"/>
        </w:rPr>
        <w:t>财务部门同时兼顾组织、支撑</w:t>
      </w:r>
      <w:r>
        <w:rPr>
          <w:rFonts w:hint="eastAsia" w:ascii="Times New Roman" w:hAnsi="Times New Roman" w:eastAsia="仿宋" w:cs="Times New Roman"/>
          <w:sz w:val="32"/>
          <w:szCs w:val="32"/>
          <w:lang w:val="en-US" w:eastAsia="zh-CN"/>
        </w:rPr>
        <w:t>和</w:t>
      </w:r>
      <w:r>
        <w:rPr>
          <w:rFonts w:hint="default" w:ascii="Times New Roman" w:hAnsi="Times New Roman" w:eastAsia="仿宋" w:cs="Times New Roman"/>
          <w:sz w:val="32"/>
          <w:szCs w:val="32"/>
          <w:lang w:val="en-US" w:eastAsia="zh-CN"/>
        </w:rPr>
        <w:t>实施</w:t>
      </w:r>
      <w:r>
        <w:rPr>
          <w:rFonts w:hint="eastAsia" w:ascii="Times New Roman" w:hAnsi="Times New Roman" w:eastAsia="仿宋" w:cs="Times New Roman"/>
          <w:sz w:val="32"/>
          <w:szCs w:val="32"/>
          <w:lang w:val="en-US" w:eastAsia="zh-CN"/>
        </w:rPr>
        <w:t>工作</w:t>
      </w:r>
      <w:r>
        <w:rPr>
          <w:rFonts w:hint="default" w:ascii="Times New Roman" w:hAnsi="Times New Roman" w:eastAsia="仿宋" w:cs="Times New Roman"/>
          <w:sz w:val="32"/>
          <w:szCs w:val="32"/>
          <w:lang w:val="en-US" w:eastAsia="zh-CN"/>
        </w:rPr>
        <w:t>，一岗多责下极易出现绩效工作精力不足、业务专业度不高、不相容岗位未有效分离等问题，进而影响预算绩效管理工作的整体准确性和可靠性。</w:t>
      </w:r>
    </w:p>
    <w:p w14:paraId="6D182C9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eastAsia" w:ascii="仿宋_GB2312" w:eastAsia="仿宋_GB2312"/>
          <w:color w:val="auto"/>
          <w:sz w:val="32"/>
          <w:szCs w:val="32"/>
          <w:highlight w:val="none"/>
          <w:lang w:eastAsia="zh-CN"/>
        </w:rPr>
        <w:t>下一步改进措施：</w:t>
      </w:r>
      <w:r>
        <w:rPr>
          <w:rFonts w:hint="eastAsia" w:ascii="Times New Roman" w:hAnsi="Times New Roman" w:eastAsia="楷体" w:cs="Times New Roman"/>
          <w:b w:val="0"/>
          <w:bCs w:val="0"/>
          <w:sz w:val="32"/>
          <w:szCs w:val="32"/>
          <w:lang w:val="en-US" w:eastAsia="zh-CN"/>
        </w:rPr>
        <w:t>一是</w:t>
      </w:r>
      <w:r>
        <w:rPr>
          <w:rFonts w:hint="default" w:ascii="Times New Roman" w:hAnsi="Times New Roman" w:eastAsia="楷体" w:cs="Times New Roman"/>
          <w:b w:val="0"/>
          <w:bCs w:val="0"/>
          <w:sz w:val="32"/>
          <w:szCs w:val="32"/>
          <w:lang w:val="en-US" w:eastAsia="zh-CN"/>
        </w:rPr>
        <w:t>以培训和宣传为抓手，正确认识预算绩效管理理念</w:t>
      </w:r>
      <w:r>
        <w:rPr>
          <w:rFonts w:hint="eastAsia" w:ascii="Times New Roman" w:hAnsi="Times New Roman" w:eastAsia="楷体" w:cs="Times New Roman"/>
          <w:b w:val="0"/>
          <w:bCs w:val="0"/>
          <w:sz w:val="32"/>
          <w:szCs w:val="32"/>
          <w:lang w:val="en-US" w:eastAsia="zh-CN"/>
        </w:rPr>
        <w:t>。</w:t>
      </w:r>
      <w:r>
        <w:rPr>
          <w:rFonts w:hint="default" w:ascii="Times New Roman" w:hAnsi="Times New Roman" w:eastAsia="仿宋" w:cs="Times New Roman"/>
          <w:sz w:val="32"/>
          <w:szCs w:val="32"/>
          <w:lang w:val="en-US" w:eastAsia="zh-CN"/>
        </w:rPr>
        <w:t>通过加强培训和宣传的方式宣贯预算绩效管理原则，从上至下的让单位全员从思想层面扭转单位传统预算管理观念和工作惯性，使管理层明白预算绩效工作的要点和意义；让业务人员明白预算绩效管理的权利、责任与工作内容，真正提升单位全员参与水平，形成一把手负责，各部门参与，自下而上、运用零基模式推进预算编制的工作机制，从根本上树立政务服务和公共资源交易中心预算绩效管理理念，推进预算绩效建设。</w:t>
      </w:r>
      <w:r>
        <w:rPr>
          <w:rFonts w:hint="eastAsia" w:ascii="Times New Roman" w:hAnsi="Times New Roman" w:eastAsia="仿宋" w:cs="Times New Roman"/>
          <w:sz w:val="32"/>
          <w:szCs w:val="32"/>
          <w:lang w:val="en-US" w:eastAsia="zh-CN"/>
        </w:rPr>
        <w:t>二是</w:t>
      </w:r>
      <w:r>
        <w:rPr>
          <w:rFonts w:hint="default" w:ascii="Times New Roman" w:hAnsi="Times New Roman" w:eastAsia="楷体" w:cs="Times New Roman"/>
          <w:b w:val="0"/>
          <w:bCs w:val="0"/>
          <w:sz w:val="32"/>
          <w:szCs w:val="32"/>
          <w:lang w:val="en-US" w:eastAsia="zh-CN"/>
        </w:rPr>
        <w:t>建立健全预算绩效管理机制</w:t>
      </w:r>
      <w:r>
        <w:rPr>
          <w:rFonts w:hint="eastAsia" w:ascii="Times New Roman" w:hAnsi="Times New Roman" w:eastAsia="楷体" w:cs="Times New Roman"/>
          <w:b w:val="0"/>
          <w:bCs w:val="0"/>
          <w:sz w:val="32"/>
          <w:szCs w:val="32"/>
          <w:lang w:val="en-US" w:eastAsia="zh-CN"/>
        </w:rPr>
        <w:t>。</w:t>
      </w:r>
      <w:r>
        <w:rPr>
          <w:rFonts w:hint="default" w:ascii="Times New Roman" w:hAnsi="Times New Roman" w:eastAsia="仿宋" w:cs="Times New Roman"/>
          <w:sz w:val="32"/>
          <w:szCs w:val="32"/>
          <w:lang w:val="en-US" w:eastAsia="zh-CN"/>
        </w:rPr>
        <w:t>定岗定责，加强人员培训，解决机制困境。在预算绩效“自上而下”的推进过程中，政务中心在体制机构受限的情况下，充分认识“人力资源”储备的重要性，适当调整现有岗位职责，设定财务部门专业绩效岗和业务部门绩效专业岗；定期集中财务和业务的预算绩效管理人员，通过第三方培训、自我研讨等方法，提高人员整体素质，以便快速应对机构和人员设置不合理等各种中短期问题和挑战，有效支撑政务中心预算绩效管理工作的快速高效推开。</w:t>
      </w:r>
    </w:p>
    <w:p w14:paraId="762700E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p>
    <w:p w14:paraId="43F123A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p>
    <w:p w14:paraId="4A31358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p>
    <w:p w14:paraId="694BA8E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p>
    <w:p w14:paraId="070E437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p>
    <w:p w14:paraId="059AE68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p>
    <w:p w14:paraId="7CC23C3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p>
    <w:p w14:paraId="2B92181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p>
    <w:p w14:paraId="2F2D78F1">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 w:cs="Times New Roman"/>
          <w:sz w:val="32"/>
          <w:szCs w:val="32"/>
          <w:lang w:val="en-US" w:eastAsia="zh-CN"/>
        </w:rPr>
      </w:pPr>
    </w:p>
    <w:tbl>
      <w:tblPr>
        <w:tblStyle w:val="10"/>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2"/>
        <w:gridCol w:w="395"/>
        <w:gridCol w:w="1945"/>
        <w:gridCol w:w="916"/>
        <w:gridCol w:w="1000"/>
        <w:gridCol w:w="1000"/>
        <w:gridCol w:w="1000"/>
        <w:gridCol w:w="935"/>
        <w:gridCol w:w="624"/>
      </w:tblGrid>
      <w:tr w14:paraId="78E86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5000" w:type="pct"/>
            <w:gridSpan w:val="9"/>
            <w:tcBorders>
              <w:top w:val="nil"/>
              <w:left w:val="nil"/>
              <w:bottom w:val="nil"/>
              <w:right w:val="nil"/>
            </w:tcBorders>
            <w:shd w:val="clear" w:color="auto" w:fill="auto"/>
            <w:vAlign w:val="center"/>
          </w:tcPr>
          <w:p w14:paraId="445EC30C">
            <w:pPr>
              <w:keepNext w:val="0"/>
              <w:keepLines w:val="0"/>
              <w:widowControl/>
              <w:suppressLineNumbers w:val="0"/>
              <w:jc w:val="center"/>
              <w:textAlignment w:val="center"/>
              <w:rPr>
                <w:rFonts w:ascii="华文中宋" w:hAnsi="华文中宋" w:eastAsia="华文中宋" w:cs="华文中宋"/>
                <w:b/>
                <w:bCs/>
                <w:i w:val="0"/>
                <w:iCs w:val="0"/>
                <w:color w:val="000000"/>
                <w:sz w:val="40"/>
                <w:szCs w:val="40"/>
                <w:u w:val="none"/>
              </w:rPr>
            </w:pPr>
            <w:r>
              <w:rPr>
                <w:rFonts w:hint="default" w:ascii="华文中宋" w:hAnsi="华文中宋" w:eastAsia="华文中宋" w:cs="华文中宋"/>
                <w:b/>
                <w:bCs/>
                <w:i w:val="0"/>
                <w:iCs w:val="0"/>
                <w:color w:val="000000"/>
                <w:kern w:val="0"/>
                <w:sz w:val="40"/>
                <w:szCs w:val="40"/>
                <w:u w:val="none"/>
                <w:lang w:val="en-US" w:eastAsia="zh-CN" w:bidi="ar"/>
              </w:rPr>
              <w:t>自治区本级部门（单位）整体支出绩效自评表</w:t>
            </w:r>
          </w:p>
        </w:tc>
      </w:tr>
      <w:tr w14:paraId="62098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0" w:type="pct"/>
            <w:gridSpan w:val="9"/>
            <w:tcBorders>
              <w:top w:val="nil"/>
              <w:left w:val="nil"/>
              <w:bottom w:val="nil"/>
              <w:right w:val="nil"/>
            </w:tcBorders>
            <w:shd w:val="clear" w:color="auto" w:fill="auto"/>
            <w:vAlign w:val="center"/>
          </w:tcPr>
          <w:p w14:paraId="52EA917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2023 年度）</w:t>
            </w:r>
          </w:p>
        </w:tc>
      </w:tr>
      <w:tr w14:paraId="35E17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6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1CC7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部门（单位）名称（盖章）</w:t>
            </w:r>
          </w:p>
        </w:tc>
        <w:tc>
          <w:tcPr>
            <w:tcW w:w="4355"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0CEE2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自治区政务服务和公共资源交易中心</w:t>
            </w:r>
          </w:p>
        </w:tc>
      </w:tr>
      <w:tr w14:paraId="1AFC0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4" w:type="pct"/>
            <w:gridSpan w:val="2"/>
            <w:vMerge w:val="restart"/>
            <w:tcBorders>
              <w:top w:val="single" w:color="000000" w:sz="4" w:space="0"/>
              <w:left w:val="single" w:color="000000" w:sz="4" w:space="0"/>
              <w:bottom w:val="nil"/>
              <w:right w:val="single" w:color="000000" w:sz="4" w:space="0"/>
            </w:tcBorders>
            <w:shd w:val="clear" w:color="auto" w:fill="auto"/>
            <w:vAlign w:val="center"/>
          </w:tcPr>
          <w:p w14:paraId="0662C1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部门资金（万元）</w:t>
            </w:r>
          </w:p>
        </w:tc>
        <w:tc>
          <w:tcPr>
            <w:tcW w:w="1142" w:type="pct"/>
            <w:tcBorders>
              <w:top w:val="single" w:color="000000" w:sz="4" w:space="0"/>
              <w:left w:val="single" w:color="000000" w:sz="4" w:space="0"/>
              <w:bottom w:val="nil"/>
              <w:right w:val="single" w:color="000000" w:sz="4" w:space="0"/>
            </w:tcBorders>
            <w:shd w:val="clear" w:color="auto" w:fill="auto"/>
            <w:vAlign w:val="center"/>
          </w:tcPr>
          <w:p w14:paraId="0DC1E9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5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397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441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22A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EC9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DF0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AFC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C26B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4"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1743EB9E">
            <w:pPr>
              <w:jc w:val="center"/>
              <w:rPr>
                <w:rFonts w:hint="eastAsia" w:ascii="宋体" w:hAnsi="宋体" w:eastAsia="宋体" w:cs="宋体"/>
                <w:i w:val="0"/>
                <w:iCs w:val="0"/>
                <w:color w:val="000000"/>
                <w:sz w:val="20"/>
                <w:szCs w:val="20"/>
                <w:u w:val="none"/>
              </w:rPr>
            </w:pPr>
          </w:p>
        </w:tc>
        <w:tc>
          <w:tcPr>
            <w:tcW w:w="1142" w:type="pct"/>
            <w:tcBorders>
              <w:top w:val="single" w:color="000000" w:sz="4" w:space="0"/>
              <w:left w:val="single" w:color="000000" w:sz="4" w:space="0"/>
              <w:bottom w:val="nil"/>
              <w:right w:val="single" w:color="000000" w:sz="4" w:space="0"/>
            </w:tcBorders>
            <w:shd w:val="clear" w:color="auto" w:fill="auto"/>
            <w:vAlign w:val="center"/>
          </w:tcPr>
          <w:p w14:paraId="3E3567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年度总资金</w:t>
            </w:r>
          </w:p>
        </w:tc>
        <w:tc>
          <w:tcPr>
            <w:tcW w:w="5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580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8405.97</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D19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9324.64</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CBB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8386.87</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87D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F98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89.94%</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C76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8.99 </w:t>
            </w:r>
          </w:p>
        </w:tc>
      </w:tr>
      <w:tr w14:paraId="7EE05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4"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2C88D52D">
            <w:pPr>
              <w:jc w:val="center"/>
              <w:rPr>
                <w:rFonts w:hint="eastAsia" w:ascii="宋体" w:hAnsi="宋体" w:eastAsia="宋体" w:cs="宋体"/>
                <w:i w:val="0"/>
                <w:iCs w:val="0"/>
                <w:color w:val="000000"/>
                <w:sz w:val="20"/>
                <w:szCs w:val="20"/>
                <w:u w:val="none"/>
              </w:rPr>
            </w:pPr>
          </w:p>
        </w:tc>
        <w:tc>
          <w:tcPr>
            <w:tcW w:w="1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9B1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其中：上级安排（万元）</w:t>
            </w:r>
          </w:p>
        </w:tc>
        <w:tc>
          <w:tcPr>
            <w:tcW w:w="5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043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88C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736.2</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539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736.2</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8D0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BFE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7C4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EFE4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4"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5E44783D">
            <w:pPr>
              <w:jc w:val="center"/>
              <w:rPr>
                <w:rFonts w:hint="eastAsia" w:ascii="宋体" w:hAnsi="宋体" w:eastAsia="宋体" w:cs="宋体"/>
                <w:i w:val="0"/>
                <w:iCs w:val="0"/>
                <w:color w:val="000000"/>
                <w:sz w:val="20"/>
                <w:szCs w:val="20"/>
                <w:u w:val="none"/>
              </w:rPr>
            </w:pPr>
          </w:p>
        </w:tc>
        <w:tc>
          <w:tcPr>
            <w:tcW w:w="1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3E9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本级安排（万元）</w:t>
            </w:r>
          </w:p>
        </w:tc>
        <w:tc>
          <w:tcPr>
            <w:tcW w:w="5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457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1419.4</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D5E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1601.87</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DA5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1601.87</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5A0E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C0B8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4C2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02B7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4"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4AAD55A5">
            <w:pPr>
              <w:jc w:val="center"/>
              <w:rPr>
                <w:rFonts w:hint="eastAsia" w:ascii="宋体" w:hAnsi="宋体" w:eastAsia="宋体" w:cs="宋体"/>
                <w:i w:val="0"/>
                <w:iCs w:val="0"/>
                <w:color w:val="000000"/>
                <w:sz w:val="20"/>
                <w:szCs w:val="20"/>
                <w:u w:val="none"/>
              </w:rPr>
            </w:pPr>
          </w:p>
        </w:tc>
        <w:tc>
          <w:tcPr>
            <w:tcW w:w="1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F29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其他资金（万元）</w:t>
            </w:r>
          </w:p>
        </w:tc>
        <w:tc>
          <w:tcPr>
            <w:tcW w:w="5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D41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6986.57</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CDD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6986.57</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199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6048.8</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EDE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73F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14B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3D14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B89C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年度总目标</w:t>
            </w:r>
          </w:p>
        </w:tc>
        <w:tc>
          <w:tcPr>
            <w:tcW w:w="226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B7A3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208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45D3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39CC5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0" w:hRule="atLeast"/>
        </w:trPr>
        <w:tc>
          <w:tcPr>
            <w:tcW w:w="64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ABDD2">
            <w:pPr>
              <w:jc w:val="center"/>
              <w:rPr>
                <w:rFonts w:hint="eastAsia" w:ascii="宋体" w:hAnsi="宋体" w:eastAsia="宋体" w:cs="宋体"/>
                <w:i w:val="0"/>
                <w:iCs w:val="0"/>
                <w:color w:val="000000"/>
                <w:sz w:val="20"/>
                <w:szCs w:val="20"/>
                <w:u w:val="none"/>
              </w:rPr>
            </w:pPr>
          </w:p>
        </w:tc>
        <w:tc>
          <w:tcPr>
            <w:tcW w:w="226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1BD2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全区一体化在线平台和公共资源交易平台建设工作，推进自治区政务服务规范化、标准化。完成中心场地改造及内部工程建设任务。聚焦社会稳定和长治久安总目标，围绕推进“一网通办”，按照国家标准建成一体化在线服务平台，提供统一事项管理、业务办理、数据共享、身份认证、电子证照、电子印章、物流寄递、公共支付、咨询建议、大厅管理、安全保障及好差评等12个统一服务，打造覆盖全区、五级联动、资源共享、部门协同的政务服务体系，为企业群众提供高效的便捷服务，成为深化“放管服”改革、优化营商环境的重要载体和支撑。积极推进自治区本级政务服务平台和公共资源交易工作，实现全区政务服务数据汇聚整合、共享开放、应用融合。开展自治区本级公共资源交易工作，规范政务大厅和公共资源交易大厅的日常管理。依照相关法规，做好自治区本级政府采购评审保障工作。</w:t>
            </w:r>
          </w:p>
        </w:tc>
        <w:tc>
          <w:tcPr>
            <w:tcW w:w="208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C35D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治区政务服务和公共资源交易中心2023年主要完成：（1）坚持党建引领，不断提升政务服务和公共资源交易系统自身建设。（2）坚持多措并举，不断推进政务服务标准化便利化。（3）持续深化整合共享，不断提升公共资源交易效能。（4）优化政务数据共享水平，不断丰富数据应用场景。（5）深化探索接诉即办机制，不断提升12345政务服务品牌效应。截止至2023年12月31日，新服办APP“一件事一次办”上线模块18个；一体化政务服务平台标准化事项完成率达到85.07%；“12345”政务服务便民热线工单办结率达到99.15%；公共资源交易项目采购完结率达到100%。部门履职效果良好，打造了覆盖全区、五级联动、资源共享、部门协同的政务服务体系，为企业群众提供高效的便捷服务，成为深化“放管服”改革、优化营商环境的重要载体和支撑。</w:t>
            </w:r>
          </w:p>
        </w:tc>
      </w:tr>
      <w:tr w14:paraId="245A4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EC3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85D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680" w:type="pct"/>
            <w:gridSpan w:val="2"/>
            <w:tcBorders>
              <w:top w:val="nil"/>
              <w:left w:val="single" w:color="000000" w:sz="4" w:space="0"/>
              <w:bottom w:val="single" w:color="000000" w:sz="4" w:space="0"/>
              <w:right w:val="single" w:color="000000" w:sz="4" w:space="0"/>
            </w:tcBorders>
            <w:shd w:val="clear" w:color="auto" w:fill="auto"/>
            <w:vAlign w:val="center"/>
          </w:tcPr>
          <w:p w14:paraId="5D0BA2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587" w:type="pct"/>
            <w:tcBorders>
              <w:top w:val="nil"/>
              <w:left w:val="single" w:color="000000" w:sz="4" w:space="0"/>
              <w:bottom w:val="single" w:color="000000" w:sz="4" w:space="0"/>
              <w:right w:val="single" w:color="000000" w:sz="4" w:space="0"/>
            </w:tcBorders>
            <w:shd w:val="clear" w:color="auto" w:fill="auto"/>
            <w:vAlign w:val="center"/>
          </w:tcPr>
          <w:p w14:paraId="28F61D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587" w:type="pct"/>
            <w:tcBorders>
              <w:top w:val="nil"/>
              <w:left w:val="single" w:color="000000" w:sz="4" w:space="0"/>
              <w:bottom w:val="single" w:color="000000" w:sz="4" w:space="0"/>
              <w:right w:val="single" w:color="000000" w:sz="4" w:space="0"/>
            </w:tcBorders>
            <w:shd w:val="clear" w:color="auto" w:fill="auto"/>
            <w:vAlign w:val="center"/>
          </w:tcPr>
          <w:p w14:paraId="094228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指标设定依据</w:t>
            </w:r>
          </w:p>
        </w:tc>
        <w:tc>
          <w:tcPr>
            <w:tcW w:w="587" w:type="pct"/>
            <w:tcBorders>
              <w:top w:val="nil"/>
              <w:left w:val="single" w:color="000000" w:sz="4" w:space="0"/>
              <w:bottom w:val="single" w:color="000000" w:sz="4" w:space="0"/>
              <w:right w:val="single" w:color="000000" w:sz="4" w:space="0"/>
            </w:tcBorders>
            <w:shd w:val="clear" w:color="auto" w:fill="auto"/>
            <w:vAlign w:val="center"/>
          </w:tcPr>
          <w:p w14:paraId="17A2F3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549" w:type="pct"/>
            <w:tcBorders>
              <w:top w:val="nil"/>
              <w:left w:val="single" w:color="000000" w:sz="4" w:space="0"/>
              <w:bottom w:val="single" w:color="000000" w:sz="4" w:space="0"/>
              <w:right w:val="single" w:color="000000" w:sz="4" w:space="0"/>
            </w:tcBorders>
            <w:shd w:val="clear" w:color="auto" w:fill="auto"/>
            <w:vAlign w:val="center"/>
          </w:tcPr>
          <w:p w14:paraId="1527A7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365" w:type="pct"/>
            <w:tcBorders>
              <w:top w:val="nil"/>
              <w:left w:val="single" w:color="000000" w:sz="4" w:space="0"/>
              <w:bottom w:val="single" w:color="000000" w:sz="4" w:space="0"/>
              <w:right w:val="single" w:color="000000" w:sz="4" w:space="0"/>
            </w:tcBorders>
            <w:shd w:val="clear" w:color="auto" w:fill="auto"/>
            <w:vAlign w:val="center"/>
          </w:tcPr>
          <w:p w14:paraId="021B2C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6B147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0" w:hRule="atLeast"/>
        </w:trPr>
        <w:tc>
          <w:tcPr>
            <w:tcW w:w="412" w:type="pct"/>
            <w:vMerge w:val="restart"/>
            <w:tcBorders>
              <w:top w:val="single" w:color="000000" w:sz="4" w:space="0"/>
              <w:left w:val="single" w:color="000000" w:sz="4" w:space="0"/>
              <w:bottom w:val="nil"/>
              <w:right w:val="single" w:color="000000" w:sz="4" w:space="0"/>
            </w:tcBorders>
            <w:shd w:val="clear" w:color="auto" w:fill="auto"/>
            <w:vAlign w:val="center"/>
          </w:tcPr>
          <w:p w14:paraId="36719D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履职效能</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45F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6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2726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新服办APP“一件事一次办”上线模块数量</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A84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&gt;=15个</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553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政务服务和公共资源交易中心2023年工作计划</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66A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E34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18个</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87B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6F04A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12" w:type="pct"/>
            <w:vMerge w:val="continue"/>
            <w:tcBorders>
              <w:top w:val="single" w:color="000000" w:sz="4" w:space="0"/>
              <w:left w:val="single" w:color="000000" w:sz="4" w:space="0"/>
              <w:bottom w:val="nil"/>
              <w:right w:val="single" w:color="000000" w:sz="4" w:space="0"/>
            </w:tcBorders>
            <w:shd w:val="clear" w:color="auto" w:fill="auto"/>
            <w:vAlign w:val="center"/>
          </w:tcPr>
          <w:p w14:paraId="0047DD1E">
            <w:pPr>
              <w:jc w:val="center"/>
              <w:rPr>
                <w:rFonts w:hint="eastAsia" w:ascii="宋体" w:hAnsi="宋体" w:eastAsia="宋体" w:cs="宋体"/>
                <w:i w:val="0"/>
                <w:iCs w:val="0"/>
                <w:color w:val="000000"/>
                <w:sz w:val="20"/>
                <w:szCs w:val="20"/>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7C8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6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A782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一体化政务服务平台标准化事项完成率</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5CF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&gt;=65%</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10D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政务服务和公共资源交易中心2023年工作计划</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245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35C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85.07%</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CE6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3824E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412" w:type="pct"/>
            <w:vMerge w:val="continue"/>
            <w:tcBorders>
              <w:top w:val="single" w:color="000000" w:sz="4" w:space="0"/>
              <w:left w:val="single" w:color="000000" w:sz="4" w:space="0"/>
              <w:bottom w:val="nil"/>
              <w:right w:val="single" w:color="000000" w:sz="4" w:space="0"/>
            </w:tcBorders>
            <w:shd w:val="clear" w:color="auto" w:fill="auto"/>
            <w:vAlign w:val="center"/>
          </w:tcPr>
          <w:p w14:paraId="3FD50754">
            <w:pPr>
              <w:jc w:val="center"/>
              <w:rPr>
                <w:rFonts w:hint="eastAsia" w:ascii="宋体" w:hAnsi="宋体" w:eastAsia="宋体" w:cs="宋体"/>
                <w:i w:val="0"/>
                <w:iCs w:val="0"/>
                <w:color w:val="000000"/>
                <w:sz w:val="20"/>
                <w:szCs w:val="20"/>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388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6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92AA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“12345”政务服务便民热线工单办结率</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062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&gt;=80%</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A8D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政务服务和公共资源交易中心2023年工作计划</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275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382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99.15%</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8F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19C39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12" w:type="pct"/>
            <w:vMerge w:val="continue"/>
            <w:tcBorders>
              <w:top w:val="single" w:color="000000" w:sz="4" w:space="0"/>
              <w:left w:val="single" w:color="000000" w:sz="4" w:space="0"/>
              <w:bottom w:val="nil"/>
              <w:right w:val="single" w:color="000000" w:sz="4" w:space="0"/>
            </w:tcBorders>
            <w:shd w:val="clear" w:color="auto" w:fill="auto"/>
            <w:vAlign w:val="center"/>
          </w:tcPr>
          <w:p w14:paraId="6327F98C">
            <w:pPr>
              <w:jc w:val="center"/>
              <w:rPr>
                <w:rFonts w:hint="eastAsia" w:ascii="宋体" w:hAnsi="宋体" w:eastAsia="宋体" w:cs="宋体"/>
                <w:i w:val="0"/>
                <w:iCs w:val="0"/>
                <w:color w:val="000000"/>
                <w:sz w:val="20"/>
                <w:szCs w:val="20"/>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B76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6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C42F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公共资源交易项目采购完结率</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4E3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&gt;=80%</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BD4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政务服务和公共资源交易中心2023年工作计划</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D4F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EC0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E7F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bl>
    <w:p w14:paraId="005D553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olor w:val="auto"/>
          <w:sz w:val="32"/>
          <w:szCs w:val="32"/>
          <w:highlight w:val="none"/>
        </w:rPr>
      </w:pPr>
    </w:p>
    <w:p w14:paraId="5ECD3F4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特定目标0210689C</w:t>
      </w:r>
      <w:r>
        <w:rPr>
          <w:rFonts w:hint="eastAsia" w:ascii="仿宋_GB2312" w:eastAsia="仿宋_GB2312"/>
          <w:color w:val="auto"/>
          <w:sz w:val="32"/>
          <w:szCs w:val="32"/>
          <w:highlight w:val="none"/>
        </w:rPr>
        <w:t>项目，预算金额为</w:t>
      </w:r>
      <w:r>
        <w:rPr>
          <w:rFonts w:hint="eastAsia" w:ascii="仿宋_GB2312" w:eastAsia="仿宋_GB2312"/>
          <w:color w:val="auto"/>
          <w:sz w:val="32"/>
          <w:szCs w:val="32"/>
          <w:highlight w:val="none"/>
          <w:lang w:val="en-US" w:eastAsia="zh-CN"/>
        </w:rPr>
        <w:t>196.80</w:t>
      </w:r>
      <w:r>
        <w:rPr>
          <w:rFonts w:hint="eastAsia" w:ascii="仿宋_GB2312" w:eastAsia="仿宋_GB2312"/>
          <w:color w:val="auto"/>
          <w:sz w:val="32"/>
          <w:szCs w:val="32"/>
          <w:highlight w:val="none"/>
        </w:rPr>
        <w:t>万元，执行金额为57.5</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万元。</w:t>
      </w:r>
    </w:p>
    <w:p w14:paraId="5A0857D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自治区一体化在线政务服务平台深化应用</w:t>
      </w:r>
      <w:r>
        <w:rPr>
          <w:rFonts w:hint="eastAsia" w:ascii="仿宋_GB2312" w:eastAsia="仿宋_GB2312"/>
          <w:color w:val="auto"/>
          <w:sz w:val="32"/>
          <w:szCs w:val="32"/>
          <w:highlight w:val="none"/>
        </w:rPr>
        <w:t>项目</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预算</w:t>
      </w:r>
      <w:r>
        <w:rPr>
          <w:rFonts w:hint="eastAsia" w:ascii="仿宋_GB2312" w:eastAsia="仿宋_GB2312"/>
          <w:color w:val="auto"/>
          <w:sz w:val="32"/>
          <w:szCs w:val="32"/>
          <w:highlight w:val="none"/>
          <w:lang w:val="en-US" w:eastAsia="zh-CN"/>
        </w:rPr>
        <w:t>金额为</w:t>
      </w:r>
      <w:r>
        <w:rPr>
          <w:rFonts w:hint="eastAsia" w:ascii="仿宋_GB2312" w:eastAsia="仿宋_GB2312"/>
          <w:color w:val="auto"/>
          <w:sz w:val="32"/>
          <w:szCs w:val="32"/>
          <w:highlight w:val="none"/>
        </w:rPr>
        <w:t>678.66万元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执行金额为</w:t>
      </w:r>
      <w:r>
        <w:rPr>
          <w:rFonts w:hint="eastAsia" w:ascii="仿宋_GB2312" w:eastAsia="仿宋_GB2312"/>
          <w:color w:val="auto"/>
          <w:sz w:val="32"/>
          <w:szCs w:val="32"/>
          <w:highlight w:val="none"/>
          <w:lang w:val="en-US" w:eastAsia="zh-CN"/>
        </w:rPr>
        <w:t>678.66</w:t>
      </w:r>
      <w:r>
        <w:rPr>
          <w:rFonts w:hint="eastAsia" w:ascii="仿宋_GB2312" w:eastAsia="仿宋_GB2312"/>
          <w:color w:val="auto"/>
          <w:sz w:val="32"/>
          <w:szCs w:val="32"/>
          <w:highlight w:val="none"/>
        </w:rPr>
        <w:t>万元。</w:t>
      </w:r>
    </w:p>
    <w:p w14:paraId="505BD278">
      <w:pPr>
        <w:keepNext w:val="0"/>
        <w:keepLines w:val="0"/>
        <w:pageBreakBefore w:val="0"/>
        <w:widowControl w:val="0"/>
        <w:kinsoku/>
        <w:wordWrap/>
        <w:overflowPunct/>
        <w:topLinePunct w:val="0"/>
        <w:autoSpaceDE/>
        <w:autoSpaceDN/>
        <w:bidi w:val="0"/>
        <w:adjustRightInd/>
        <w:snapToGrid/>
        <w:spacing w:line="540" w:lineRule="exact"/>
        <w:ind w:firstLine="320" w:firstLineChars="100"/>
        <w:textAlignment w:val="auto"/>
        <w:rPr>
          <w:rFonts w:hint="eastAsia" w:ascii="仿宋_GB2312" w:eastAsia="仿宋_GB2312"/>
          <w:color w:val="auto"/>
          <w:sz w:val="32"/>
          <w:szCs w:val="32"/>
          <w:highlight w:val="none"/>
          <w:lang w:eastAsia="zh-CN"/>
        </w:rPr>
      </w:pPr>
    </w:p>
    <w:p w14:paraId="03C76E5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olor w:val="auto"/>
          <w:sz w:val="32"/>
          <w:szCs w:val="32"/>
          <w:highlight w:val="none"/>
        </w:rPr>
      </w:pPr>
    </w:p>
    <w:p w14:paraId="0A78588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olor w:val="auto"/>
          <w:sz w:val="32"/>
          <w:szCs w:val="32"/>
          <w:highlight w:val="none"/>
        </w:rPr>
      </w:pPr>
    </w:p>
    <w:p w14:paraId="5D484AA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olor w:val="auto"/>
          <w:sz w:val="32"/>
          <w:szCs w:val="32"/>
          <w:highlight w:val="none"/>
        </w:rPr>
      </w:pPr>
    </w:p>
    <w:p w14:paraId="7A1B233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olor w:val="auto"/>
          <w:sz w:val="32"/>
          <w:szCs w:val="32"/>
          <w:highlight w:val="none"/>
        </w:rPr>
      </w:pPr>
    </w:p>
    <w:p w14:paraId="28F4141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olor w:val="auto"/>
          <w:sz w:val="32"/>
          <w:szCs w:val="32"/>
          <w:highlight w:val="none"/>
        </w:rPr>
      </w:pPr>
    </w:p>
    <w:tbl>
      <w:tblPr>
        <w:tblStyle w:val="10"/>
        <w:tblW w:w="975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7"/>
        <w:gridCol w:w="454"/>
        <w:gridCol w:w="998"/>
        <w:gridCol w:w="482"/>
        <w:gridCol w:w="750"/>
        <w:gridCol w:w="600"/>
        <w:gridCol w:w="474"/>
        <w:gridCol w:w="276"/>
        <w:gridCol w:w="570"/>
        <w:gridCol w:w="600"/>
        <w:gridCol w:w="158"/>
        <w:gridCol w:w="277"/>
        <w:gridCol w:w="389"/>
        <w:gridCol w:w="556"/>
        <w:gridCol w:w="288"/>
        <w:gridCol w:w="517"/>
        <w:gridCol w:w="920"/>
        <w:gridCol w:w="467"/>
        <w:gridCol w:w="577"/>
      </w:tblGrid>
      <w:tr w14:paraId="3D949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9750" w:type="dxa"/>
            <w:gridSpan w:val="19"/>
            <w:tcBorders>
              <w:top w:val="nil"/>
              <w:left w:val="nil"/>
              <w:bottom w:val="nil"/>
              <w:right w:val="nil"/>
            </w:tcBorders>
            <w:shd w:val="clear" w:color="auto" w:fill="auto"/>
            <w:vAlign w:val="center"/>
          </w:tcPr>
          <w:p w14:paraId="18A44663">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16737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750"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032917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14:paraId="59A68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83AF3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8899"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482425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政务服务和公共资源交易大厅建设类项目</w:t>
            </w:r>
          </w:p>
        </w:tc>
      </w:tr>
      <w:tr w14:paraId="13EFD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293DA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415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27ADE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自治区政务服务和公共资源交易管理局</w:t>
            </w:r>
          </w:p>
        </w:tc>
        <w:tc>
          <w:tcPr>
            <w:tcW w:w="14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D9223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33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11956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自治区政务服务和公共资源交易管理局</w:t>
            </w:r>
          </w:p>
        </w:tc>
      </w:tr>
      <w:tr w14:paraId="32880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3DBF5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3EE88">
            <w:pPr>
              <w:jc w:val="center"/>
              <w:rPr>
                <w:rFonts w:hint="eastAsia" w:ascii="宋体" w:hAnsi="宋体" w:eastAsia="宋体" w:cs="宋体"/>
                <w:b/>
                <w:bCs/>
                <w:i w:val="0"/>
                <w:iCs w:val="0"/>
                <w:color w:val="000000"/>
                <w:sz w:val="18"/>
                <w:szCs w:val="18"/>
                <w:u w:val="none"/>
              </w:rPr>
            </w:pP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269CD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9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52CB4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14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45592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32A01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3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4B4F4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18C2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02475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7B6FF3">
            <w:pPr>
              <w:jc w:val="center"/>
              <w:rPr>
                <w:rFonts w:hint="eastAsia" w:ascii="宋体" w:hAnsi="宋体" w:eastAsia="宋体" w:cs="宋体"/>
                <w:b/>
                <w:bCs/>
                <w:i w:val="0"/>
                <w:iCs w:val="0"/>
                <w:color w:val="000000"/>
                <w:sz w:val="18"/>
                <w:szCs w:val="18"/>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471C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C8BA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w:t>
            </w:r>
          </w:p>
        </w:tc>
        <w:tc>
          <w:tcPr>
            <w:tcW w:w="19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2BE4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w:t>
            </w:r>
          </w:p>
        </w:tc>
        <w:tc>
          <w:tcPr>
            <w:tcW w:w="14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BD7B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447.76</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7CA8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E14D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87.80%</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907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6.95分</w:t>
            </w:r>
          </w:p>
        </w:tc>
      </w:tr>
      <w:tr w14:paraId="6DCE1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D52484">
            <w:pPr>
              <w:jc w:val="center"/>
              <w:rPr>
                <w:rFonts w:hint="eastAsia" w:ascii="宋体" w:hAnsi="宋体" w:eastAsia="宋体" w:cs="宋体"/>
                <w:b/>
                <w:bCs/>
                <w:i w:val="0"/>
                <w:iCs w:val="0"/>
                <w:color w:val="000000"/>
                <w:sz w:val="18"/>
                <w:szCs w:val="18"/>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0A7E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1D6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9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99AB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AFFB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562C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BDE5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D9A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0A643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E65503">
            <w:pPr>
              <w:jc w:val="center"/>
              <w:rPr>
                <w:rFonts w:hint="eastAsia" w:ascii="宋体" w:hAnsi="宋体" w:eastAsia="宋体" w:cs="宋体"/>
                <w:b/>
                <w:bCs/>
                <w:i w:val="0"/>
                <w:iCs w:val="0"/>
                <w:color w:val="000000"/>
                <w:sz w:val="18"/>
                <w:szCs w:val="18"/>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9F85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613C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w:t>
            </w:r>
          </w:p>
        </w:tc>
        <w:tc>
          <w:tcPr>
            <w:tcW w:w="19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DC2F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w:t>
            </w:r>
          </w:p>
        </w:tc>
        <w:tc>
          <w:tcPr>
            <w:tcW w:w="14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FC3C5F">
            <w:pPr>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447.76</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EA6314">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10</w:t>
            </w:r>
          </w:p>
        </w:tc>
        <w:tc>
          <w:tcPr>
            <w:tcW w:w="13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C083EC">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87.8%</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713E4">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6.95分</w:t>
            </w:r>
          </w:p>
        </w:tc>
      </w:tr>
      <w:tr w14:paraId="48DFE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3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2974D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460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617DA7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474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4782E9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3B71D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E450CD">
            <w:pPr>
              <w:jc w:val="center"/>
              <w:rPr>
                <w:rFonts w:hint="eastAsia" w:ascii="宋体" w:hAnsi="宋体" w:eastAsia="宋体" w:cs="宋体"/>
                <w:b/>
                <w:bCs/>
                <w:i w:val="0"/>
                <w:iCs w:val="0"/>
                <w:color w:val="000000"/>
                <w:sz w:val="18"/>
                <w:szCs w:val="18"/>
                <w:u w:val="none"/>
              </w:rPr>
            </w:pPr>
          </w:p>
        </w:tc>
        <w:tc>
          <w:tcPr>
            <w:tcW w:w="460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096CD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按照相关标准对政务大厅及公共资源交易大厅信息系统进行智能化优化升级服务，对部分场地在通风、防疫安全等方面进行改造，构建适应当前形势的“便捷、高效、透明、安全”的交易体系。</w:t>
            </w:r>
          </w:p>
        </w:tc>
        <w:tc>
          <w:tcPr>
            <w:tcW w:w="474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F468D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截至2023年12月31日，自治区政务服务和公共资源交易中心政务服务和公共资源交易大厅建设类项目在2023年8月20日开工，12月13日完工，主要完成场地改造工程量1455米，智能化系统改造数量1个，主要用于五楼业务受理窗口建设、六楼评标专家管理区建设；项目设计变更率控制在5%以内，项目正常运转率达到80%，项目长期运转收益群众可达13.5万人,办事人员满意度达到90%。</w:t>
            </w:r>
          </w:p>
        </w:tc>
      </w:tr>
      <w:tr w14:paraId="6CECE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33CA0C">
            <w:pPr>
              <w:jc w:val="center"/>
              <w:rPr>
                <w:rFonts w:hint="eastAsia" w:ascii="宋体" w:hAnsi="宋体" w:eastAsia="宋体" w:cs="宋体"/>
                <w:i w:val="0"/>
                <w:iCs w:val="0"/>
                <w:color w:val="000000"/>
                <w:sz w:val="18"/>
                <w:szCs w:val="18"/>
                <w:u w:val="none"/>
              </w:rPr>
            </w:pPr>
          </w:p>
        </w:tc>
        <w:tc>
          <w:tcPr>
            <w:tcW w:w="4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0CF6D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885B0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7DDF1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D9E24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039F2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7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65720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CC37C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B973D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4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0315F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3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D96F9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5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D9B25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8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7C213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196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A4FDE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56FBD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1ECF55">
            <w:pPr>
              <w:jc w:val="center"/>
              <w:rPr>
                <w:rFonts w:hint="eastAsia" w:ascii="宋体" w:hAnsi="宋体" w:eastAsia="宋体" w:cs="宋体"/>
                <w:i w:val="0"/>
                <w:iCs w:val="0"/>
                <w:color w:val="000000"/>
                <w:sz w:val="18"/>
                <w:szCs w:val="18"/>
                <w:u w:val="none"/>
              </w:rPr>
            </w:pPr>
          </w:p>
        </w:tc>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4FB2FD">
            <w:pPr>
              <w:jc w:val="center"/>
              <w:rPr>
                <w:rFonts w:hint="eastAsia" w:ascii="宋体" w:hAnsi="宋体" w:eastAsia="宋体" w:cs="宋体"/>
                <w:b/>
                <w:bCs/>
                <w:i w:val="0"/>
                <w:iCs w:val="0"/>
                <w:color w:val="000000"/>
                <w:sz w:val="18"/>
                <w:szCs w:val="18"/>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CC0A67">
            <w:pPr>
              <w:jc w:val="center"/>
              <w:rPr>
                <w:rFonts w:hint="eastAsia" w:ascii="宋体" w:hAnsi="宋体" w:eastAsia="宋体" w:cs="宋体"/>
                <w:b/>
                <w:bCs/>
                <w:i w:val="0"/>
                <w:iCs w:val="0"/>
                <w:color w:val="000000"/>
                <w:sz w:val="18"/>
                <w:szCs w:val="18"/>
                <w:u w:val="none"/>
              </w:rPr>
            </w:pP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F9437D">
            <w:pPr>
              <w:jc w:val="center"/>
              <w:rPr>
                <w:rFonts w:hint="eastAsia" w:ascii="宋体" w:hAnsi="宋体" w:eastAsia="宋体" w:cs="宋体"/>
                <w:b/>
                <w:bCs/>
                <w:i w:val="0"/>
                <w:iCs w:val="0"/>
                <w:color w:val="000000"/>
                <w:sz w:val="18"/>
                <w:szCs w:val="18"/>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F357C1">
            <w:pPr>
              <w:jc w:val="center"/>
              <w:rPr>
                <w:rFonts w:hint="eastAsia" w:ascii="宋体" w:hAnsi="宋体" w:eastAsia="宋体" w:cs="宋体"/>
                <w:b/>
                <w:bCs/>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87A743">
            <w:pPr>
              <w:jc w:val="center"/>
              <w:rPr>
                <w:rFonts w:hint="eastAsia" w:ascii="宋体" w:hAnsi="宋体" w:eastAsia="宋体" w:cs="宋体"/>
                <w:b/>
                <w:bCs/>
                <w:i w:val="0"/>
                <w:iCs w:val="0"/>
                <w:color w:val="000000"/>
                <w:sz w:val="18"/>
                <w:szCs w:val="18"/>
                <w:u w:val="none"/>
              </w:rPr>
            </w:pPr>
          </w:p>
        </w:tc>
        <w:tc>
          <w:tcPr>
            <w:tcW w:w="7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526794">
            <w:pPr>
              <w:jc w:val="center"/>
              <w:rPr>
                <w:rFonts w:hint="eastAsia" w:ascii="宋体" w:hAnsi="宋体" w:eastAsia="宋体" w:cs="宋体"/>
                <w:b/>
                <w:bCs/>
                <w:i w:val="0"/>
                <w:iCs w:val="0"/>
                <w:color w:val="000000"/>
                <w:sz w:val="18"/>
                <w:szCs w:val="18"/>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D49766">
            <w:pPr>
              <w:jc w:val="center"/>
              <w:rPr>
                <w:rFonts w:hint="eastAsia" w:ascii="宋体" w:hAnsi="宋体" w:eastAsia="宋体" w:cs="宋体"/>
                <w:b/>
                <w:bCs/>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607C08">
            <w:pPr>
              <w:jc w:val="center"/>
              <w:rPr>
                <w:rFonts w:hint="eastAsia" w:ascii="宋体" w:hAnsi="宋体" w:eastAsia="宋体" w:cs="宋体"/>
                <w:b/>
                <w:bCs/>
                <w:i w:val="0"/>
                <w:iCs w:val="0"/>
                <w:color w:val="000000"/>
                <w:sz w:val="18"/>
                <w:szCs w:val="18"/>
                <w:u w:val="none"/>
              </w:rPr>
            </w:pPr>
          </w:p>
        </w:tc>
        <w:tc>
          <w:tcPr>
            <w:tcW w:w="4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8B65B">
            <w:pPr>
              <w:jc w:val="center"/>
              <w:rPr>
                <w:rFonts w:hint="eastAsia" w:ascii="宋体" w:hAnsi="宋体" w:eastAsia="宋体" w:cs="宋体"/>
                <w:b/>
                <w:bCs/>
                <w:i w:val="0"/>
                <w:iCs w:val="0"/>
                <w:color w:val="000000"/>
                <w:sz w:val="18"/>
                <w:szCs w:val="18"/>
                <w:u w:val="none"/>
              </w:rPr>
            </w:pPr>
          </w:p>
        </w:tc>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528EB">
            <w:pPr>
              <w:jc w:val="center"/>
              <w:rPr>
                <w:rFonts w:hint="eastAsia" w:ascii="宋体" w:hAnsi="宋体" w:eastAsia="宋体" w:cs="宋体"/>
                <w:b/>
                <w:bCs/>
                <w:i w:val="0"/>
                <w:iCs w:val="0"/>
                <w:color w:val="000000"/>
                <w:sz w:val="18"/>
                <w:szCs w:val="18"/>
                <w:u w:val="none"/>
              </w:rPr>
            </w:pPr>
          </w:p>
        </w:tc>
        <w:tc>
          <w:tcPr>
            <w:tcW w:w="5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064295">
            <w:pPr>
              <w:jc w:val="center"/>
              <w:rPr>
                <w:rFonts w:hint="eastAsia" w:ascii="宋体" w:hAnsi="宋体" w:eastAsia="宋体" w:cs="宋体"/>
                <w:b/>
                <w:bCs/>
                <w:i w:val="0"/>
                <w:iCs w:val="0"/>
                <w:color w:val="000000"/>
                <w:sz w:val="18"/>
                <w:szCs w:val="18"/>
                <w:u w:val="none"/>
              </w:rPr>
            </w:pPr>
          </w:p>
        </w:tc>
        <w:tc>
          <w:tcPr>
            <w:tcW w:w="8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E0C8C">
            <w:pPr>
              <w:jc w:val="center"/>
              <w:rPr>
                <w:rFonts w:hint="eastAsia" w:ascii="宋体" w:hAnsi="宋体" w:eastAsia="宋体" w:cs="宋体"/>
                <w:b/>
                <w:bCs/>
                <w:i w:val="0"/>
                <w:iCs w:val="0"/>
                <w:color w:val="000000"/>
                <w:sz w:val="18"/>
                <w:szCs w:val="18"/>
                <w:u w:val="none"/>
              </w:rPr>
            </w:pPr>
          </w:p>
        </w:tc>
        <w:tc>
          <w:tcPr>
            <w:tcW w:w="196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512CEA">
            <w:pPr>
              <w:jc w:val="center"/>
              <w:rPr>
                <w:rFonts w:hint="eastAsia" w:ascii="宋体" w:hAnsi="宋体" w:eastAsia="宋体" w:cs="宋体"/>
                <w:b/>
                <w:bCs/>
                <w:i w:val="0"/>
                <w:iCs w:val="0"/>
                <w:color w:val="000000"/>
                <w:sz w:val="18"/>
                <w:szCs w:val="18"/>
                <w:u w:val="none"/>
              </w:rPr>
            </w:pPr>
          </w:p>
        </w:tc>
      </w:tr>
      <w:tr w14:paraId="1CA21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3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F4091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4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BD84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1AA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222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场地改造工程量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F3C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CCA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&gt;=1000米</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FFE4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=455米</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E0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71D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67BC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965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013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D219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51108A">
            <w:pPr>
              <w:jc w:val="center"/>
              <w:rPr>
                <w:rFonts w:hint="eastAsia" w:ascii="宋体" w:hAnsi="宋体" w:eastAsia="宋体" w:cs="宋体"/>
                <w:i w:val="0"/>
                <w:iCs w:val="0"/>
                <w:color w:val="000000"/>
                <w:sz w:val="18"/>
                <w:szCs w:val="18"/>
                <w:u w:val="none"/>
              </w:rPr>
            </w:pPr>
          </w:p>
        </w:tc>
      </w:tr>
      <w:tr w14:paraId="73271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F79B86">
            <w:pPr>
              <w:jc w:val="center"/>
              <w:rPr>
                <w:rFonts w:hint="eastAsia" w:ascii="宋体" w:hAnsi="宋体" w:eastAsia="宋体" w:cs="宋体"/>
                <w:b/>
                <w:bCs/>
                <w:i w:val="0"/>
                <w:iCs w:val="0"/>
                <w:color w:val="000000"/>
                <w:sz w:val="18"/>
                <w:szCs w:val="18"/>
                <w:u w:val="none"/>
              </w:rPr>
            </w:pPr>
          </w:p>
        </w:tc>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ABF5A">
            <w:pPr>
              <w:jc w:val="center"/>
              <w:rPr>
                <w:rFonts w:hint="eastAsia" w:ascii="宋体" w:hAnsi="宋体" w:eastAsia="宋体" w:cs="宋体"/>
                <w:i w:val="0"/>
                <w:iCs w:val="0"/>
                <w:color w:val="000000"/>
                <w:sz w:val="18"/>
                <w:szCs w:val="18"/>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44D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C0D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智能化系统改造数量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3A4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C83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&gt;=1个</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A1A3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184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A8A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A04E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03F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BD5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394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96BD72">
            <w:pPr>
              <w:jc w:val="center"/>
              <w:rPr>
                <w:rFonts w:hint="eastAsia" w:ascii="宋体" w:hAnsi="宋体" w:eastAsia="宋体" w:cs="宋体"/>
                <w:i w:val="0"/>
                <w:iCs w:val="0"/>
                <w:color w:val="000000"/>
                <w:sz w:val="18"/>
                <w:szCs w:val="18"/>
                <w:u w:val="none"/>
              </w:rPr>
            </w:pPr>
          </w:p>
        </w:tc>
      </w:tr>
      <w:tr w14:paraId="77955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9192E4">
            <w:pPr>
              <w:jc w:val="center"/>
              <w:rPr>
                <w:rFonts w:hint="eastAsia" w:ascii="宋体" w:hAnsi="宋体" w:eastAsia="宋体" w:cs="宋体"/>
                <w:b/>
                <w:bCs/>
                <w:i w:val="0"/>
                <w:iCs w:val="0"/>
                <w:color w:val="000000"/>
                <w:sz w:val="18"/>
                <w:szCs w:val="18"/>
                <w:u w:val="none"/>
              </w:rPr>
            </w:pPr>
          </w:p>
        </w:tc>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456859">
            <w:pPr>
              <w:jc w:val="center"/>
              <w:rPr>
                <w:rFonts w:hint="eastAsia" w:ascii="宋体" w:hAnsi="宋体" w:eastAsia="宋体" w:cs="宋体"/>
                <w:i w:val="0"/>
                <w:iCs w:val="0"/>
                <w:color w:val="000000"/>
                <w:sz w:val="18"/>
                <w:szCs w:val="18"/>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797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7E8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项目设计变更率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A93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20B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&lt;=5%</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7DE5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87A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0B7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669B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8B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688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A321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5F9820">
            <w:pPr>
              <w:jc w:val="center"/>
              <w:rPr>
                <w:rFonts w:hint="eastAsia" w:ascii="宋体" w:hAnsi="宋体" w:eastAsia="宋体" w:cs="宋体"/>
                <w:i w:val="0"/>
                <w:iCs w:val="0"/>
                <w:color w:val="000000"/>
                <w:sz w:val="18"/>
                <w:szCs w:val="18"/>
                <w:u w:val="none"/>
              </w:rPr>
            </w:pPr>
          </w:p>
        </w:tc>
      </w:tr>
      <w:tr w14:paraId="3FC49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D50C3">
            <w:pPr>
              <w:jc w:val="center"/>
              <w:rPr>
                <w:rFonts w:hint="eastAsia" w:ascii="宋体" w:hAnsi="宋体" w:eastAsia="宋体" w:cs="宋体"/>
                <w:b/>
                <w:bCs/>
                <w:i w:val="0"/>
                <w:iCs w:val="0"/>
                <w:color w:val="000000"/>
                <w:sz w:val="18"/>
                <w:szCs w:val="18"/>
                <w:u w:val="none"/>
              </w:rPr>
            </w:pPr>
          </w:p>
        </w:tc>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F5656E">
            <w:pPr>
              <w:jc w:val="center"/>
              <w:rPr>
                <w:rFonts w:hint="eastAsia" w:ascii="宋体" w:hAnsi="宋体" w:eastAsia="宋体" w:cs="宋体"/>
                <w:i w:val="0"/>
                <w:iCs w:val="0"/>
                <w:color w:val="000000"/>
                <w:sz w:val="18"/>
                <w:szCs w:val="18"/>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6EB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114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项目验收合格率（%）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5EA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F31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CCAE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6B3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05E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30C0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8EB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7C0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7562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4E04C4">
            <w:pPr>
              <w:jc w:val="center"/>
              <w:rPr>
                <w:rFonts w:hint="eastAsia" w:ascii="宋体" w:hAnsi="宋体" w:eastAsia="宋体" w:cs="宋体"/>
                <w:i w:val="0"/>
                <w:iCs w:val="0"/>
                <w:color w:val="000000"/>
                <w:sz w:val="18"/>
                <w:szCs w:val="18"/>
                <w:u w:val="none"/>
              </w:rPr>
            </w:pPr>
          </w:p>
        </w:tc>
      </w:tr>
      <w:tr w14:paraId="334E3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DB66A">
            <w:pPr>
              <w:jc w:val="center"/>
              <w:rPr>
                <w:rFonts w:hint="eastAsia" w:ascii="宋体" w:hAnsi="宋体" w:eastAsia="宋体" w:cs="宋体"/>
                <w:b/>
                <w:bCs/>
                <w:i w:val="0"/>
                <w:iCs w:val="0"/>
                <w:color w:val="000000"/>
                <w:sz w:val="18"/>
                <w:szCs w:val="18"/>
                <w:u w:val="none"/>
              </w:rPr>
            </w:pPr>
          </w:p>
        </w:tc>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DF461">
            <w:pPr>
              <w:jc w:val="center"/>
              <w:rPr>
                <w:rFonts w:hint="eastAsia" w:ascii="宋体" w:hAnsi="宋体" w:eastAsia="宋体" w:cs="宋体"/>
                <w:i w:val="0"/>
                <w:iCs w:val="0"/>
                <w:color w:val="000000"/>
                <w:sz w:val="18"/>
                <w:szCs w:val="18"/>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016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520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项目按计划开工</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BD7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63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&gt;=5个月</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6957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=8个月</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A4D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88D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FA3C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EA7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4AC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6C9F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2FDBD5">
            <w:pPr>
              <w:jc w:val="center"/>
              <w:rPr>
                <w:rFonts w:hint="eastAsia" w:ascii="宋体" w:hAnsi="宋体" w:eastAsia="宋体" w:cs="宋体"/>
                <w:i w:val="0"/>
                <w:iCs w:val="0"/>
                <w:color w:val="000000"/>
                <w:sz w:val="18"/>
                <w:szCs w:val="18"/>
                <w:u w:val="none"/>
              </w:rPr>
            </w:pPr>
          </w:p>
        </w:tc>
      </w:tr>
      <w:tr w14:paraId="49AE4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D90A64">
            <w:pPr>
              <w:jc w:val="center"/>
              <w:rPr>
                <w:rFonts w:hint="eastAsia" w:ascii="宋体" w:hAnsi="宋体" w:eastAsia="宋体" w:cs="宋体"/>
                <w:b/>
                <w:bCs/>
                <w:i w:val="0"/>
                <w:iCs w:val="0"/>
                <w:color w:val="000000"/>
                <w:sz w:val="18"/>
                <w:szCs w:val="18"/>
                <w:u w:val="none"/>
              </w:rPr>
            </w:pPr>
          </w:p>
        </w:tc>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00104">
            <w:pPr>
              <w:jc w:val="center"/>
              <w:rPr>
                <w:rFonts w:hint="eastAsia" w:ascii="宋体" w:hAnsi="宋体" w:eastAsia="宋体" w:cs="宋体"/>
                <w:i w:val="0"/>
                <w:iCs w:val="0"/>
                <w:color w:val="000000"/>
                <w:sz w:val="18"/>
                <w:szCs w:val="18"/>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260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EAD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项目按计划完工</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0BD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15C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&gt;=11月</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DF71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1D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E01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9E3F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913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CEF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5969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A9D64F">
            <w:pPr>
              <w:jc w:val="center"/>
              <w:rPr>
                <w:rFonts w:hint="eastAsia" w:ascii="宋体" w:hAnsi="宋体" w:eastAsia="宋体" w:cs="宋体"/>
                <w:i w:val="0"/>
                <w:iCs w:val="0"/>
                <w:color w:val="000000"/>
                <w:sz w:val="18"/>
                <w:szCs w:val="18"/>
                <w:u w:val="none"/>
              </w:rPr>
            </w:pPr>
          </w:p>
        </w:tc>
      </w:tr>
      <w:tr w14:paraId="5B12B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D7875">
            <w:pPr>
              <w:jc w:val="center"/>
              <w:rPr>
                <w:rFonts w:hint="eastAsia" w:ascii="宋体" w:hAnsi="宋体" w:eastAsia="宋体" w:cs="宋体"/>
                <w:b/>
                <w:bCs/>
                <w:i w:val="0"/>
                <w:iCs w:val="0"/>
                <w:color w:val="000000"/>
                <w:sz w:val="18"/>
                <w:szCs w:val="18"/>
                <w:u w:val="none"/>
              </w:rPr>
            </w:pPr>
          </w:p>
        </w:tc>
        <w:tc>
          <w:tcPr>
            <w:tcW w:w="4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4483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BC2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364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场地改造建设项目成本</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D56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9AB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&lt;=200万元</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CB53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=155.92万元</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76C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6BE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3A8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DB7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7A4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8650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FF92F4">
            <w:pPr>
              <w:jc w:val="center"/>
              <w:rPr>
                <w:rFonts w:hint="eastAsia" w:ascii="宋体" w:hAnsi="宋体" w:eastAsia="宋体" w:cs="宋体"/>
                <w:i w:val="0"/>
                <w:iCs w:val="0"/>
                <w:color w:val="000000"/>
                <w:sz w:val="18"/>
                <w:szCs w:val="18"/>
                <w:u w:val="none"/>
              </w:rPr>
            </w:pPr>
          </w:p>
        </w:tc>
      </w:tr>
      <w:tr w14:paraId="088DE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909662">
            <w:pPr>
              <w:jc w:val="center"/>
              <w:rPr>
                <w:rFonts w:hint="eastAsia" w:ascii="宋体" w:hAnsi="宋体" w:eastAsia="宋体" w:cs="宋体"/>
                <w:b/>
                <w:bCs/>
                <w:i w:val="0"/>
                <w:iCs w:val="0"/>
                <w:color w:val="000000"/>
                <w:sz w:val="18"/>
                <w:szCs w:val="18"/>
                <w:u w:val="none"/>
              </w:rPr>
            </w:pPr>
          </w:p>
        </w:tc>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D8304D">
            <w:pPr>
              <w:jc w:val="center"/>
              <w:rPr>
                <w:rFonts w:hint="eastAsia" w:ascii="宋体" w:hAnsi="宋体" w:eastAsia="宋体" w:cs="宋体"/>
                <w:i w:val="0"/>
                <w:iCs w:val="0"/>
                <w:color w:val="000000"/>
                <w:sz w:val="18"/>
                <w:szCs w:val="18"/>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5B9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257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公共资源交易大厅智能化改造建设项目成本</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BA8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F94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&lt;=310万元</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3CCA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=291.84万元</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80F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621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72B9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C9D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B62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DD5B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05F809">
            <w:pPr>
              <w:jc w:val="center"/>
              <w:rPr>
                <w:rFonts w:hint="eastAsia" w:ascii="宋体" w:hAnsi="宋体" w:eastAsia="宋体" w:cs="宋体"/>
                <w:i w:val="0"/>
                <w:iCs w:val="0"/>
                <w:color w:val="000000"/>
                <w:sz w:val="18"/>
                <w:szCs w:val="18"/>
                <w:u w:val="none"/>
              </w:rPr>
            </w:pPr>
          </w:p>
        </w:tc>
      </w:tr>
      <w:tr w14:paraId="46ADF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D0F57">
            <w:pPr>
              <w:jc w:val="center"/>
              <w:rPr>
                <w:rFonts w:hint="eastAsia" w:ascii="宋体" w:hAnsi="宋体" w:eastAsia="宋体" w:cs="宋体"/>
                <w:b/>
                <w:bCs/>
                <w:i w:val="0"/>
                <w:iCs w:val="0"/>
                <w:color w:val="000000"/>
                <w:sz w:val="18"/>
                <w:szCs w:val="18"/>
                <w:u w:val="none"/>
              </w:rPr>
            </w:pPr>
          </w:p>
        </w:tc>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06301E">
            <w:pPr>
              <w:jc w:val="center"/>
              <w:rPr>
                <w:rFonts w:hint="eastAsia" w:ascii="宋体" w:hAnsi="宋体" w:eastAsia="宋体" w:cs="宋体"/>
                <w:i w:val="0"/>
                <w:iCs w:val="0"/>
                <w:color w:val="000000"/>
                <w:sz w:val="18"/>
                <w:szCs w:val="18"/>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5C7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E1BAA">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16F0F">
            <w:pPr>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3A85A">
            <w:pPr>
              <w:jc w:val="center"/>
              <w:rPr>
                <w:rFonts w:hint="eastAsia" w:ascii="宋体" w:hAnsi="宋体" w:eastAsia="宋体" w:cs="宋体"/>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C41920">
            <w:pPr>
              <w:jc w:val="center"/>
              <w:rPr>
                <w:rFonts w:hint="eastAsia" w:ascii="宋体" w:hAnsi="宋体" w:eastAsia="宋体" w:cs="宋体"/>
                <w:i w:val="0"/>
                <w:iCs w:val="0"/>
                <w:color w:val="000000"/>
                <w:sz w:val="18"/>
                <w:szCs w:val="18"/>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DF4E2">
            <w:pPr>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69547">
            <w:pPr>
              <w:jc w:val="center"/>
              <w:rPr>
                <w:rFonts w:hint="eastAsia" w:ascii="宋体" w:hAnsi="宋体" w:eastAsia="宋体" w:cs="宋体"/>
                <w:i w:val="0"/>
                <w:iCs w:val="0"/>
                <w:color w:val="000000"/>
                <w:sz w:val="18"/>
                <w:szCs w:val="18"/>
                <w:u w:val="none"/>
              </w:rPr>
            </w:pP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D76EF7">
            <w:pPr>
              <w:jc w:val="center"/>
              <w:rPr>
                <w:rFonts w:hint="eastAsia" w:ascii="宋体" w:hAnsi="宋体" w:eastAsia="宋体" w:cs="宋体"/>
                <w:i w:val="0"/>
                <w:iCs w:val="0"/>
                <w:color w:val="000000"/>
                <w:sz w:val="18"/>
                <w:szCs w:val="18"/>
                <w:u w:val="none"/>
              </w:rPr>
            </w:pP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8C1A5">
            <w:pPr>
              <w:jc w:val="center"/>
              <w:rPr>
                <w:rFonts w:hint="eastAsia" w:ascii="宋体" w:hAnsi="宋体" w:eastAsia="宋体" w:cs="宋体"/>
                <w:i w:val="0"/>
                <w:iCs w:val="0"/>
                <w:color w:val="000000"/>
                <w:sz w:val="18"/>
                <w:szCs w:val="18"/>
                <w:u w:val="none"/>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CB32D">
            <w:pPr>
              <w:jc w:val="center"/>
              <w:rPr>
                <w:rFonts w:hint="eastAsia" w:ascii="宋体" w:hAnsi="宋体" w:eastAsia="宋体" w:cs="宋体"/>
                <w:i w:val="0"/>
                <w:iCs w:val="0"/>
                <w:color w:val="000000"/>
                <w:sz w:val="18"/>
                <w:szCs w:val="18"/>
                <w:u w:val="none"/>
              </w:rPr>
            </w:pP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562B87">
            <w:pPr>
              <w:jc w:val="center"/>
              <w:rPr>
                <w:rFonts w:hint="eastAsia" w:ascii="宋体" w:hAnsi="宋体" w:eastAsia="宋体" w:cs="宋体"/>
                <w:i w:val="0"/>
                <w:iCs w:val="0"/>
                <w:color w:val="000000"/>
                <w:sz w:val="18"/>
                <w:szCs w:val="18"/>
                <w:u w:val="none"/>
              </w:rPr>
            </w:pP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5BD373">
            <w:pPr>
              <w:jc w:val="center"/>
              <w:rPr>
                <w:rFonts w:hint="eastAsia" w:ascii="宋体" w:hAnsi="宋体" w:eastAsia="宋体" w:cs="宋体"/>
                <w:i w:val="0"/>
                <w:iCs w:val="0"/>
                <w:color w:val="000000"/>
                <w:sz w:val="18"/>
                <w:szCs w:val="18"/>
                <w:u w:val="none"/>
              </w:rPr>
            </w:pPr>
          </w:p>
        </w:tc>
      </w:tr>
      <w:tr w14:paraId="18B4A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932C6E">
            <w:pPr>
              <w:jc w:val="center"/>
              <w:rPr>
                <w:rFonts w:hint="eastAsia" w:ascii="宋体" w:hAnsi="宋体" w:eastAsia="宋体" w:cs="宋体"/>
                <w:b/>
                <w:bCs/>
                <w:i w:val="0"/>
                <w:iCs w:val="0"/>
                <w:color w:val="000000"/>
                <w:sz w:val="18"/>
                <w:szCs w:val="18"/>
                <w:u w:val="none"/>
              </w:rPr>
            </w:pPr>
          </w:p>
        </w:tc>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8D1E9">
            <w:pPr>
              <w:jc w:val="center"/>
              <w:rPr>
                <w:rFonts w:hint="eastAsia" w:ascii="宋体" w:hAnsi="宋体" w:eastAsia="宋体" w:cs="宋体"/>
                <w:i w:val="0"/>
                <w:iCs w:val="0"/>
                <w:color w:val="000000"/>
                <w:sz w:val="18"/>
                <w:szCs w:val="18"/>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258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C2714">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4D26F">
            <w:pPr>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0E895">
            <w:pPr>
              <w:jc w:val="center"/>
              <w:rPr>
                <w:rFonts w:hint="eastAsia" w:ascii="宋体" w:hAnsi="宋体" w:eastAsia="宋体" w:cs="宋体"/>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281DD3">
            <w:pPr>
              <w:jc w:val="center"/>
              <w:rPr>
                <w:rFonts w:hint="eastAsia" w:ascii="宋体" w:hAnsi="宋体" w:eastAsia="宋体" w:cs="宋体"/>
                <w:i w:val="0"/>
                <w:iCs w:val="0"/>
                <w:color w:val="000000"/>
                <w:sz w:val="18"/>
                <w:szCs w:val="18"/>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02169">
            <w:pPr>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A5E04">
            <w:pPr>
              <w:jc w:val="center"/>
              <w:rPr>
                <w:rFonts w:hint="eastAsia" w:ascii="宋体" w:hAnsi="宋体" w:eastAsia="宋体" w:cs="宋体"/>
                <w:i w:val="0"/>
                <w:iCs w:val="0"/>
                <w:color w:val="000000"/>
                <w:sz w:val="18"/>
                <w:szCs w:val="18"/>
                <w:u w:val="none"/>
              </w:rPr>
            </w:pP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1385E9">
            <w:pPr>
              <w:jc w:val="center"/>
              <w:rPr>
                <w:rFonts w:hint="eastAsia" w:ascii="宋体" w:hAnsi="宋体" w:eastAsia="宋体" w:cs="宋体"/>
                <w:i w:val="0"/>
                <w:iCs w:val="0"/>
                <w:color w:val="000000"/>
                <w:sz w:val="18"/>
                <w:szCs w:val="18"/>
                <w:u w:val="none"/>
              </w:rPr>
            </w:pP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C380E">
            <w:pPr>
              <w:jc w:val="center"/>
              <w:rPr>
                <w:rFonts w:hint="eastAsia" w:ascii="宋体" w:hAnsi="宋体" w:eastAsia="宋体" w:cs="宋体"/>
                <w:i w:val="0"/>
                <w:iCs w:val="0"/>
                <w:color w:val="000000"/>
                <w:sz w:val="18"/>
                <w:szCs w:val="18"/>
                <w:u w:val="none"/>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C0617">
            <w:pPr>
              <w:jc w:val="center"/>
              <w:rPr>
                <w:rFonts w:hint="eastAsia" w:ascii="宋体" w:hAnsi="宋体" w:eastAsia="宋体" w:cs="宋体"/>
                <w:i w:val="0"/>
                <w:iCs w:val="0"/>
                <w:color w:val="000000"/>
                <w:sz w:val="18"/>
                <w:szCs w:val="18"/>
                <w:u w:val="none"/>
              </w:rPr>
            </w:pP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DCF449">
            <w:pPr>
              <w:jc w:val="center"/>
              <w:rPr>
                <w:rFonts w:hint="eastAsia" w:ascii="宋体" w:hAnsi="宋体" w:eastAsia="宋体" w:cs="宋体"/>
                <w:i w:val="0"/>
                <w:iCs w:val="0"/>
                <w:color w:val="000000"/>
                <w:sz w:val="18"/>
                <w:szCs w:val="18"/>
                <w:u w:val="none"/>
              </w:rPr>
            </w:pP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F7AE59">
            <w:pPr>
              <w:jc w:val="center"/>
              <w:rPr>
                <w:rFonts w:hint="eastAsia" w:ascii="宋体" w:hAnsi="宋体" w:eastAsia="宋体" w:cs="宋体"/>
                <w:i w:val="0"/>
                <w:iCs w:val="0"/>
                <w:color w:val="000000"/>
                <w:sz w:val="18"/>
                <w:szCs w:val="18"/>
                <w:u w:val="none"/>
              </w:rPr>
            </w:pPr>
          </w:p>
        </w:tc>
      </w:tr>
      <w:tr w14:paraId="0350B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30A889">
            <w:pPr>
              <w:jc w:val="center"/>
              <w:rPr>
                <w:rFonts w:hint="eastAsia" w:ascii="宋体" w:hAnsi="宋体" w:eastAsia="宋体" w:cs="宋体"/>
                <w:b/>
                <w:bCs/>
                <w:i w:val="0"/>
                <w:iCs w:val="0"/>
                <w:color w:val="000000"/>
                <w:sz w:val="18"/>
                <w:szCs w:val="18"/>
                <w:u w:val="none"/>
              </w:rPr>
            </w:pPr>
          </w:p>
        </w:tc>
        <w:tc>
          <w:tcPr>
            <w:tcW w:w="4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F1A6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7E4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71D88">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8DBC1">
            <w:pPr>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E0F00">
            <w:pPr>
              <w:jc w:val="center"/>
              <w:rPr>
                <w:rFonts w:hint="eastAsia" w:ascii="宋体" w:hAnsi="宋体" w:eastAsia="宋体" w:cs="宋体"/>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36CDC4">
            <w:pPr>
              <w:jc w:val="center"/>
              <w:rPr>
                <w:rFonts w:hint="eastAsia" w:ascii="宋体" w:hAnsi="宋体" w:eastAsia="宋体" w:cs="宋体"/>
                <w:i w:val="0"/>
                <w:iCs w:val="0"/>
                <w:color w:val="000000"/>
                <w:sz w:val="18"/>
                <w:szCs w:val="18"/>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8EDE0">
            <w:pPr>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8D91B">
            <w:pPr>
              <w:jc w:val="center"/>
              <w:rPr>
                <w:rFonts w:hint="eastAsia" w:ascii="宋体" w:hAnsi="宋体" w:eastAsia="宋体" w:cs="宋体"/>
                <w:i w:val="0"/>
                <w:iCs w:val="0"/>
                <w:color w:val="000000"/>
                <w:sz w:val="18"/>
                <w:szCs w:val="18"/>
                <w:u w:val="none"/>
              </w:rPr>
            </w:pP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F9CAE2">
            <w:pPr>
              <w:jc w:val="center"/>
              <w:rPr>
                <w:rFonts w:hint="eastAsia" w:ascii="宋体" w:hAnsi="宋体" w:eastAsia="宋体" w:cs="宋体"/>
                <w:i w:val="0"/>
                <w:iCs w:val="0"/>
                <w:color w:val="000000"/>
                <w:sz w:val="18"/>
                <w:szCs w:val="18"/>
                <w:u w:val="none"/>
              </w:rPr>
            </w:pP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8B339">
            <w:pPr>
              <w:jc w:val="center"/>
              <w:rPr>
                <w:rFonts w:hint="eastAsia" w:ascii="宋体" w:hAnsi="宋体" w:eastAsia="宋体" w:cs="宋体"/>
                <w:i w:val="0"/>
                <w:iCs w:val="0"/>
                <w:color w:val="000000"/>
                <w:sz w:val="18"/>
                <w:szCs w:val="18"/>
                <w:u w:val="none"/>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45EA4">
            <w:pPr>
              <w:jc w:val="center"/>
              <w:rPr>
                <w:rFonts w:hint="eastAsia" w:ascii="宋体" w:hAnsi="宋体" w:eastAsia="宋体" w:cs="宋体"/>
                <w:i w:val="0"/>
                <w:iCs w:val="0"/>
                <w:color w:val="000000"/>
                <w:sz w:val="18"/>
                <w:szCs w:val="18"/>
                <w:u w:val="none"/>
              </w:rPr>
            </w:pP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2D0B57">
            <w:pPr>
              <w:jc w:val="center"/>
              <w:rPr>
                <w:rFonts w:hint="eastAsia" w:ascii="宋体" w:hAnsi="宋体" w:eastAsia="宋体" w:cs="宋体"/>
                <w:i w:val="0"/>
                <w:iCs w:val="0"/>
                <w:color w:val="000000"/>
                <w:sz w:val="18"/>
                <w:szCs w:val="18"/>
                <w:u w:val="none"/>
              </w:rPr>
            </w:pP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8085C0">
            <w:pPr>
              <w:jc w:val="center"/>
              <w:rPr>
                <w:rFonts w:hint="eastAsia" w:ascii="宋体" w:hAnsi="宋体" w:eastAsia="宋体" w:cs="宋体"/>
                <w:i w:val="0"/>
                <w:iCs w:val="0"/>
                <w:color w:val="000000"/>
                <w:sz w:val="18"/>
                <w:szCs w:val="18"/>
                <w:u w:val="none"/>
              </w:rPr>
            </w:pPr>
          </w:p>
        </w:tc>
      </w:tr>
      <w:tr w14:paraId="1F2BD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153A2">
            <w:pPr>
              <w:jc w:val="center"/>
              <w:rPr>
                <w:rFonts w:hint="eastAsia" w:ascii="宋体" w:hAnsi="宋体" w:eastAsia="宋体" w:cs="宋体"/>
                <w:b/>
                <w:bCs/>
                <w:i w:val="0"/>
                <w:iCs w:val="0"/>
                <w:color w:val="000000"/>
                <w:sz w:val="18"/>
                <w:szCs w:val="18"/>
                <w:u w:val="none"/>
              </w:rPr>
            </w:pPr>
          </w:p>
        </w:tc>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2E8E8">
            <w:pPr>
              <w:jc w:val="center"/>
              <w:rPr>
                <w:rFonts w:hint="eastAsia" w:ascii="宋体" w:hAnsi="宋体" w:eastAsia="宋体" w:cs="宋体"/>
                <w:i w:val="0"/>
                <w:iCs w:val="0"/>
                <w:color w:val="000000"/>
                <w:sz w:val="18"/>
                <w:szCs w:val="18"/>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D9E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885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项目正常运转率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1AD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0F7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044E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8AB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4D0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9F31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EE8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C64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A3C0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D3464C">
            <w:pPr>
              <w:jc w:val="center"/>
              <w:rPr>
                <w:rFonts w:hint="eastAsia" w:ascii="宋体" w:hAnsi="宋体" w:eastAsia="宋体" w:cs="宋体"/>
                <w:i w:val="0"/>
                <w:iCs w:val="0"/>
                <w:color w:val="000000"/>
                <w:sz w:val="18"/>
                <w:szCs w:val="18"/>
                <w:u w:val="none"/>
              </w:rPr>
            </w:pPr>
          </w:p>
        </w:tc>
      </w:tr>
      <w:tr w14:paraId="42F0C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4BF1C4">
            <w:pPr>
              <w:jc w:val="center"/>
              <w:rPr>
                <w:rFonts w:hint="eastAsia" w:ascii="宋体" w:hAnsi="宋体" w:eastAsia="宋体" w:cs="宋体"/>
                <w:b/>
                <w:bCs/>
                <w:i w:val="0"/>
                <w:iCs w:val="0"/>
                <w:color w:val="000000"/>
                <w:sz w:val="18"/>
                <w:szCs w:val="18"/>
                <w:u w:val="none"/>
              </w:rPr>
            </w:pPr>
          </w:p>
        </w:tc>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FFF6FC">
            <w:pPr>
              <w:jc w:val="center"/>
              <w:rPr>
                <w:rFonts w:hint="eastAsia" w:ascii="宋体" w:hAnsi="宋体" w:eastAsia="宋体" w:cs="宋体"/>
                <w:i w:val="0"/>
                <w:iCs w:val="0"/>
                <w:color w:val="000000"/>
                <w:sz w:val="18"/>
                <w:szCs w:val="18"/>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ADE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71E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项目受益人数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717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B90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&gt;=10万人</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805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=13.5万人</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7EE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18D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D9D0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174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A3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1F49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F9F644">
            <w:pPr>
              <w:jc w:val="center"/>
              <w:rPr>
                <w:rFonts w:hint="eastAsia" w:ascii="宋体" w:hAnsi="宋体" w:eastAsia="宋体" w:cs="宋体"/>
                <w:i w:val="0"/>
                <w:iCs w:val="0"/>
                <w:color w:val="000000"/>
                <w:sz w:val="18"/>
                <w:szCs w:val="18"/>
                <w:u w:val="none"/>
              </w:rPr>
            </w:pPr>
          </w:p>
        </w:tc>
      </w:tr>
      <w:tr w14:paraId="0D4EA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CA4AB">
            <w:pPr>
              <w:jc w:val="center"/>
              <w:rPr>
                <w:rFonts w:hint="eastAsia" w:ascii="宋体" w:hAnsi="宋体" w:eastAsia="宋体" w:cs="宋体"/>
                <w:b/>
                <w:bCs/>
                <w:i w:val="0"/>
                <w:iCs w:val="0"/>
                <w:color w:val="000000"/>
                <w:sz w:val="18"/>
                <w:szCs w:val="18"/>
                <w:u w:val="none"/>
              </w:rPr>
            </w:pPr>
          </w:p>
        </w:tc>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140644">
            <w:pPr>
              <w:jc w:val="center"/>
              <w:rPr>
                <w:rFonts w:hint="eastAsia" w:ascii="宋体" w:hAnsi="宋体" w:eastAsia="宋体" w:cs="宋体"/>
                <w:i w:val="0"/>
                <w:iCs w:val="0"/>
                <w:color w:val="000000"/>
                <w:sz w:val="18"/>
                <w:szCs w:val="18"/>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51C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BA07A">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4CBD7">
            <w:pPr>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83D88">
            <w:pPr>
              <w:jc w:val="center"/>
              <w:rPr>
                <w:rFonts w:hint="eastAsia" w:ascii="宋体" w:hAnsi="宋体" w:eastAsia="宋体" w:cs="宋体"/>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8DA2DE">
            <w:pPr>
              <w:jc w:val="center"/>
              <w:rPr>
                <w:rFonts w:hint="eastAsia" w:ascii="宋体" w:hAnsi="宋体" w:eastAsia="宋体" w:cs="宋体"/>
                <w:i w:val="0"/>
                <w:iCs w:val="0"/>
                <w:color w:val="000000"/>
                <w:sz w:val="18"/>
                <w:szCs w:val="18"/>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E4B9D">
            <w:pPr>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118E3">
            <w:pPr>
              <w:jc w:val="center"/>
              <w:rPr>
                <w:rFonts w:hint="eastAsia" w:ascii="宋体" w:hAnsi="宋体" w:eastAsia="宋体" w:cs="宋体"/>
                <w:i w:val="0"/>
                <w:iCs w:val="0"/>
                <w:color w:val="000000"/>
                <w:sz w:val="18"/>
                <w:szCs w:val="18"/>
                <w:u w:val="none"/>
              </w:rPr>
            </w:pP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317632">
            <w:pPr>
              <w:jc w:val="center"/>
              <w:rPr>
                <w:rFonts w:hint="eastAsia" w:ascii="宋体" w:hAnsi="宋体" w:eastAsia="宋体" w:cs="宋体"/>
                <w:i w:val="0"/>
                <w:iCs w:val="0"/>
                <w:color w:val="000000"/>
                <w:sz w:val="18"/>
                <w:szCs w:val="18"/>
                <w:u w:val="none"/>
              </w:rPr>
            </w:pP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E819D">
            <w:pPr>
              <w:jc w:val="center"/>
              <w:rPr>
                <w:rFonts w:hint="eastAsia" w:ascii="宋体" w:hAnsi="宋体" w:eastAsia="宋体" w:cs="宋体"/>
                <w:i w:val="0"/>
                <w:iCs w:val="0"/>
                <w:color w:val="000000"/>
                <w:sz w:val="18"/>
                <w:szCs w:val="18"/>
                <w:u w:val="none"/>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AA75D">
            <w:pPr>
              <w:jc w:val="center"/>
              <w:rPr>
                <w:rFonts w:hint="eastAsia" w:ascii="宋体" w:hAnsi="宋体" w:eastAsia="宋体" w:cs="宋体"/>
                <w:i w:val="0"/>
                <w:iCs w:val="0"/>
                <w:color w:val="000000"/>
                <w:sz w:val="18"/>
                <w:szCs w:val="18"/>
                <w:u w:val="none"/>
              </w:rPr>
            </w:pP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69B750">
            <w:pPr>
              <w:jc w:val="center"/>
              <w:rPr>
                <w:rFonts w:hint="eastAsia" w:ascii="宋体" w:hAnsi="宋体" w:eastAsia="宋体" w:cs="宋体"/>
                <w:i w:val="0"/>
                <w:iCs w:val="0"/>
                <w:color w:val="000000"/>
                <w:sz w:val="18"/>
                <w:szCs w:val="18"/>
                <w:u w:val="none"/>
              </w:rPr>
            </w:pP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D9AC4E">
            <w:pPr>
              <w:jc w:val="center"/>
              <w:rPr>
                <w:rFonts w:hint="eastAsia" w:ascii="宋体" w:hAnsi="宋体" w:eastAsia="宋体" w:cs="宋体"/>
                <w:i w:val="0"/>
                <w:iCs w:val="0"/>
                <w:color w:val="000000"/>
                <w:sz w:val="18"/>
                <w:szCs w:val="18"/>
                <w:u w:val="none"/>
              </w:rPr>
            </w:pPr>
          </w:p>
        </w:tc>
      </w:tr>
      <w:tr w14:paraId="23879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27F82">
            <w:pPr>
              <w:jc w:val="center"/>
              <w:rPr>
                <w:rFonts w:hint="eastAsia" w:ascii="宋体" w:hAnsi="宋体" w:eastAsia="宋体" w:cs="宋体"/>
                <w:b/>
                <w:bCs/>
                <w:i w:val="0"/>
                <w:iCs w:val="0"/>
                <w:color w:val="000000"/>
                <w:sz w:val="18"/>
                <w:szCs w:val="18"/>
                <w:u w:val="none"/>
              </w:rPr>
            </w:pP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C0D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281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BB7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办事人员满意度</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F94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AF4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8832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A3A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B83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329B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427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84F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AF50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597F98">
            <w:pPr>
              <w:jc w:val="center"/>
              <w:rPr>
                <w:rFonts w:hint="eastAsia" w:ascii="宋体" w:hAnsi="宋体" w:eastAsia="宋体" w:cs="宋体"/>
                <w:i w:val="0"/>
                <w:iCs w:val="0"/>
                <w:color w:val="000000"/>
                <w:sz w:val="18"/>
                <w:szCs w:val="18"/>
                <w:u w:val="none"/>
              </w:rPr>
            </w:pPr>
          </w:p>
        </w:tc>
      </w:tr>
      <w:tr w14:paraId="6F4CA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A9918">
            <w:pPr>
              <w:jc w:val="center"/>
              <w:rPr>
                <w:rFonts w:hint="eastAsia" w:ascii="宋体" w:hAnsi="宋体" w:eastAsia="宋体" w:cs="宋体"/>
                <w:i w:val="0"/>
                <w:iCs w:val="0"/>
                <w:color w:val="000000"/>
                <w:sz w:val="18"/>
                <w:szCs w:val="18"/>
                <w:u w:val="none"/>
              </w:rPr>
            </w:pP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CE6F2">
            <w:pPr>
              <w:jc w:val="center"/>
              <w:rPr>
                <w:rFonts w:hint="eastAsia" w:ascii="宋体" w:hAnsi="宋体" w:eastAsia="宋体" w:cs="宋体"/>
                <w:i w:val="0"/>
                <w:iCs w:val="0"/>
                <w:color w:val="000000"/>
                <w:sz w:val="18"/>
                <w:szCs w:val="18"/>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2930C">
            <w:pPr>
              <w:jc w:val="center"/>
              <w:rPr>
                <w:rFonts w:hint="eastAsia" w:ascii="宋体" w:hAnsi="宋体" w:eastAsia="宋体" w:cs="宋体"/>
                <w:i w:val="0"/>
                <w:iCs w:val="0"/>
                <w:color w:val="000000"/>
                <w:sz w:val="18"/>
                <w:szCs w:val="18"/>
                <w:u w:val="none"/>
              </w:rPr>
            </w:pP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55929">
            <w:pPr>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F6AA4">
            <w:pPr>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497F8">
            <w:pPr>
              <w:jc w:val="center"/>
              <w:rPr>
                <w:rFonts w:hint="eastAsia" w:ascii="宋体" w:hAnsi="宋体" w:eastAsia="宋体" w:cs="宋体"/>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BD1863">
            <w:pPr>
              <w:jc w:val="center"/>
              <w:rPr>
                <w:rFonts w:hint="eastAsia" w:ascii="宋体" w:hAnsi="宋体" w:eastAsia="宋体" w:cs="宋体"/>
                <w:i w:val="0"/>
                <w:iCs w:val="0"/>
                <w:color w:val="000000"/>
                <w:sz w:val="18"/>
                <w:szCs w:val="18"/>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AB21F">
            <w:pPr>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170D2">
            <w:pPr>
              <w:jc w:val="center"/>
              <w:rPr>
                <w:rFonts w:hint="eastAsia" w:ascii="宋体" w:hAnsi="宋体" w:eastAsia="宋体" w:cs="宋体"/>
                <w:i w:val="0"/>
                <w:iCs w:val="0"/>
                <w:color w:val="000000"/>
                <w:sz w:val="18"/>
                <w:szCs w:val="18"/>
                <w:u w:val="none"/>
              </w:rPr>
            </w:pP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ADE937">
            <w:pPr>
              <w:jc w:val="center"/>
              <w:rPr>
                <w:rFonts w:hint="eastAsia" w:ascii="宋体" w:hAnsi="宋体" w:eastAsia="宋体" w:cs="宋体"/>
                <w:i w:val="0"/>
                <w:iCs w:val="0"/>
                <w:color w:val="000000"/>
                <w:sz w:val="18"/>
                <w:szCs w:val="18"/>
                <w:u w:val="none"/>
              </w:rPr>
            </w:pP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662ED">
            <w:pPr>
              <w:jc w:val="center"/>
              <w:rPr>
                <w:rFonts w:hint="eastAsia" w:ascii="宋体" w:hAnsi="宋体" w:eastAsia="宋体" w:cs="宋体"/>
                <w:i w:val="0"/>
                <w:iCs w:val="0"/>
                <w:color w:val="000000"/>
                <w:sz w:val="18"/>
                <w:szCs w:val="18"/>
                <w:u w:val="none"/>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F1D23">
            <w:pPr>
              <w:jc w:val="center"/>
              <w:rPr>
                <w:rFonts w:hint="eastAsia" w:ascii="宋体" w:hAnsi="宋体" w:eastAsia="宋体" w:cs="宋体"/>
                <w:i w:val="0"/>
                <w:iCs w:val="0"/>
                <w:color w:val="000000"/>
                <w:sz w:val="18"/>
                <w:szCs w:val="18"/>
                <w:u w:val="none"/>
              </w:rPr>
            </w:pPr>
          </w:p>
        </w:tc>
        <w:tc>
          <w:tcPr>
            <w:tcW w:w="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924474">
            <w:pPr>
              <w:jc w:val="center"/>
              <w:rPr>
                <w:rFonts w:hint="eastAsia" w:ascii="宋体" w:hAnsi="宋体" w:eastAsia="宋体" w:cs="宋体"/>
                <w:i w:val="0"/>
                <w:iCs w:val="0"/>
                <w:color w:val="000000"/>
                <w:sz w:val="18"/>
                <w:szCs w:val="18"/>
                <w:u w:val="none"/>
              </w:rPr>
            </w:pPr>
          </w:p>
        </w:tc>
        <w:tc>
          <w:tcPr>
            <w:tcW w:w="1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2315FF">
            <w:pPr>
              <w:jc w:val="center"/>
              <w:rPr>
                <w:rFonts w:hint="eastAsia" w:ascii="宋体" w:hAnsi="宋体" w:eastAsia="宋体" w:cs="宋体"/>
                <w:i w:val="0"/>
                <w:iCs w:val="0"/>
                <w:color w:val="000000"/>
                <w:sz w:val="18"/>
                <w:szCs w:val="18"/>
                <w:u w:val="none"/>
              </w:rPr>
            </w:pPr>
          </w:p>
        </w:tc>
      </w:tr>
      <w:tr w14:paraId="191B3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1849" w:type="dxa"/>
            <w:gridSpan w:val="3"/>
            <w:tcBorders>
              <w:top w:val="single" w:color="000000" w:sz="4" w:space="0"/>
              <w:left w:val="single" w:color="000000" w:sz="4" w:space="0"/>
              <w:bottom w:val="single" w:color="000000" w:sz="4" w:space="0"/>
              <w:right w:val="nil"/>
            </w:tcBorders>
            <w:shd w:val="clear" w:color="auto" w:fill="auto"/>
            <w:vAlign w:val="center"/>
          </w:tcPr>
          <w:p w14:paraId="759EC95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B7FB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74" w:type="dxa"/>
            <w:gridSpan w:val="2"/>
            <w:tcBorders>
              <w:top w:val="single" w:color="000000" w:sz="4" w:space="0"/>
              <w:left w:val="nil"/>
              <w:bottom w:val="single" w:color="000000" w:sz="4" w:space="0"/>
              <w:right w:val="single" w:color="000000" w:sz="4" w:space="0"/>
            </w:tcBorders>
            <w:shd w:val="clear" w:color="auto" w:fill="auto"/>
            <w:vAlign w:val="center"/>
          </w:tcPr>
          <w:p w14:paraId="4DD46C77">
            <w:pPr>
              <w:rPr>
                <w:rFonts w:hint="eastAsia" w:ascii="宋体" w:hAnsi="宋体" w:eastAsia="宋体" w:cs="宋体"/>
                <w:b/>
                <w:bCs/>
                <w:i w:val="0"/>
                <w:iCs w:val="0"/>
                <w:color w:val="000000"/>
                <w:sz w:val="18"/>
                <w:szCs w:val="18"/>
                <w:u w:val="none"/>
              </w:rPr>
            </w:pPr>
          </w:p>
        </w:tc>
        <w:tc>
          <w:tcPr>
            <w:tcW w:w="8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3F4B9F">
            <w:pPr>
              <w:jc w:val="center"/>
              <w:rPr>
                <w:rFonts w:hint="eastAsia" w:ascii="宋体" w:hAnsi="宋体" w:eastAsia="宋体" w:cs="宋体"/>
                <w:i w:val="0"/>
                <w:iCs w:val="0"/>
                <w:color w:val="000000"/>
                <w:sz w:val="18"/>
                <w:szCs w:val="18"/>
                <w:u w:val="none"/>
              </w:rPr>
            </w:pP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A0333">
            <w:pPr>
              <w:jc w:val="center"/>
              <w:rPr>
                <w:rFonts w:hint="eastAsia" w:ascii="宋体" w:hAnsi="宋体" w:eastAsia="宋体" w:cs="宋体"/>
                <w:i w:val="0"/>
                <w:iCs w:val="0"/>
                <w:color w:val="000000"/>
                <w:sz w:val="18"/>
                <w:szCs w:val="18"/>
                <w:u w:val="none"/>
              </w:rPr>
            </w:pPr>
          </w:p>
        </w:tc>
        <w:tc>
          <w:tcPr>
            <w:tcW w:w="6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906E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96.95分</w:t>
            </w:r>
          </w:p>
        </w:tc>
        <w:tc>
          <w:tcPr>
            <w:tcW w:w="8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774A7A">
            <w:pPr>
              <w:rPr>
                <w:rFonts w:hint="eastAsia" w:ascii="宋体" w:hAnsi="宋体" w:eastAsia="宋体" w:cs="宋体"/>
                <w:i w:val="0"/>
                <w:iCs w:val="0"/>
                <w:color w:val="000000"/>
                <w:sz w:val="18"/>
                <w:szCs w:val="18"/>
                <w:u w:val="none"/>
              </w:rPr>
            </w:pP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8D698">
            <w:pPr>
              <w:rPr>
                <w:rFonts w:hint="eastAsia" w:ascii="宋体" w:hAnsi="宋体" w:eastAsia="宋体" w:cs="宋体"/>
                <w:i w:val="0"/>
                <w:iCs w:val="0"/>
                <w:color w:val="000000"/>
                <w:sz w:val="18"/>
                <w:szCs w:val="18"/>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8829B">
            <w:pPr>
              <w:rPr>
                <w:rFonts w:hint="eastAsia" w:ascii="宋体" w:hAnsi="宋体" w:eastAsia="宋体" w:cs="宋体"/>
                <w:i w:val="0"/>
                <w:iCs w:val="0"/>
                <w:color w:val="000000"/>
                <w:sz w:val="18"/>
                <w:szCs w:val="18"/>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FEA46">
            <w:pPr>
              <w:rPr>
                <w:rFonts w:hint="eastAsia" w:ascii="宋体" w:hAnsi="宋体" w:eastAsia="宋体" w:cs="宋体"/>
                <w:i w:val="0"/>
                <w:iCs w:val="0"/>
                <w:color w:val="000000"/>
                <w:sz w:val="18"/>
                <w:szCs w:val="18"/>
                <w:u w:val="none"/>
              </w:rPr>
            </w:pP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B94B4">
            <w:pPr>
              <w:rPr>
                <w:rFonts w:hint="eastAsia" w:ascii="宋体" w:hAnsi="宋体" w:eastAsia="宋体" w:cs="宋体"/>
                <w:i w:val="0"/>
                <w:iCs w:val="0"/>
                <w:color w:val="000000"/>
                <w:sz w:val="18"/>
                <w:szCs w:val="18"/>
                <w:u w:val="none"/>
              </w:rPr>
            </w:pPr>
          </w:p>
        </w:tc>
      </w:tr>
    </w:tbl>
    <w:p w14:paraId="096FBF6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p>
    <w:p w14:paraId="63E4FC1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p>
    <w:p w14:paraId="45126A6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p>
    <w:p w14:paraId="58D902A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p>
    <w:p w14:paraId="4423A4F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p>
    <w:p w14:paraId="671E36C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p>
    <w:p w14:paraId="7BDFCDB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p>
    <w:p w14:paraId="47A3569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p>
    <w:p w14:paraId="3BB8523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p>
    <w:p w14:paraId="468696A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p>
    <w:p w14:paraId="426026C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p>
    <w:p w14:paraId="7AF80B3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p>
    <w:p w14:paraId="623867C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p>
    <w:p w14:paraId="48E1A07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p>
    <w:tbl>
      <w:tblPr>
        <w:tblStyle w:val="10"/>
        <w:tblW w:w="885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425"/>
        <w:gridCol w:w="477"/>
        <w:gridCol w:w="678"/>
        <w:gridCol w:w="846"/>
        <w:gridCol w:w="1026"/>
        <w:gridCol w:w="936"/>
        <w:gridCol w:w="593"/>
        <w:gridCol w:w="666"/>
        <w:gridCol w:w="441"/>
        <w:gridCol w:w="846"/>
        <w:gridCol w:w="509"/>
        <w:gridCol w:w="426"/>
        <w:gridCol w:w="584"/>
      </w:tblGrid>
      <w:tr w14:paraId="204F6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850" w:type="dxa"/>
            <w:gridSpan w:val="14"/>
            <w:tcBorders>
              <w:top w:val="nil"/>
              <w:left w:val="nil"/>
              <w:bottom w:val="nil"/>
              <w:right w:val="nil"/>
            </w:tcBorders>
            <w:shd w:val="clear" w:color="auto" w:fill="auto"/>
            <w:vAlign w:val="center"/>
          </w:tcPr>
          <w:p w14:paraId="7DCB8C7C">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7B4FC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85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DDA76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14:paraId="683B7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6C19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799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B29DB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政务服务和公共资源交易运转保障项目</w:t>
            </w:r>
          </w:p>
        </w:tc>
      </w:tr>
      <w:tr w14:paraId="02BE2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C2CB6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36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E7498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自治区政务服务和公共资源交易中心</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B5B10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29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DA838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自治区政务服务和公共资源交易中心</w:t>
            </w:r>
          </w:p>
        </w:tc>
      </w:tr>
      <w:tr w14:paraId="56033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C04A1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767B71">
            <w:pPr>
              <w:jc w:val="center"/>
              <w:rPr>
                <w:rFonts w:hint="eastAsia" w:ascii="宋体" w:hAnsi="宋体" w:eastAsia="宋体" w:cs="宋体"/>
                <w:b/>
                <w:bCs/>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5808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66B3F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2561D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B5503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39A55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C579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79737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014017">
            <w:pPr>
              <w:jc w:val="center"/>
              <w:rPr>
                <w:rFonts w:hint="eastAsia" w:ascii="宋体" w:hAnsi="宋体" w:eastAsia="宋体" w:cs="宋体"/>
                <w:b/>
                <w:bCs/>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1C9DF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9F2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6476.57</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2009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6476.57</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3A1E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5601.04</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0A88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4998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86.48%</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541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6.62分</w:t>
            </w:r>
          </w:p>
        </w:tc>
      </w:tr>
      <w:tr w14:paraId="000FD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6149CD">
            <w:pPr>
              <w:jc w:val="center"/>
              <w:rPr>
                <w:rFonts w:hint="eastAsia" w:ascii="宋体" w:hAnsi="宋体" w:eastAsia="宋体" w:cs="宋体"/>
                <w:b/>
                <w:bCs/>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C5E56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AD3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7818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478D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CBF5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93F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7D3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02393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EFD2B">
            <w:pPr>
              <w:jc w:val="center"/>
              <w:rPr>
                <w:rFonts w:hint="eastAsia" w:ascii="宋体" w:hAnsi="宋体" w:eastAsia="宋体" w:cs="宋体"/>
                <w:b/>
                <w:bCs/>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F8F56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99C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6476.57</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768D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6476.57</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CA6A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5601.04</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E60D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FF8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86.48%</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BC8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6.62分</w:t>
            </w:r>
          </w:p>
        </w:tc>
      </w:tr>
      <w:tr w14:paraId="313DF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DD0BC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411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A33664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436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9BFA44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72512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3C420">
            <w:pPr>
              <w:jc w:val="center"/>
              <w:rPr>
                <w:rFonts w:hint="eastAsia" w:ascii="宋体" w:hAnsi="宋体" w:eastAsia="宋体" w:cs="宋体"/>
                <w:b/>
                <w:bCs/>
                <w:i w:val="0"/>
                <w:iCs w:val="0"/>
                <w:color w:val="000000"/>
                <w:sz w:val="18"/>
                <w:szCs w:val="18"/>
                <w:u w:val="none"/>
              </w:rPr>
            </w:pPr>
          </w:p>
        </w:tc>
        <w:tc>
          <w:tcPr>
            <w:tcW w:w="411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C29BB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按照国务院和自治区相关要求，聚焦数字政府重大改革，继续深化“放管服”改革，不断优化营商环境，大力推进“一网通办”和自治区政务服务规范化、标准化建设，优化完善一体化在线政务服务平台，在统一事项办理、业务处理、数据共享、身份认证、电子证照、电子印章、物流邮寄、12345政务服务便民热线、咨询建议、制定政务服务事项地方标准、大厅管理、好差评、系统网络安全等12个方面做好平台运行保障工作，打造覆盖全区、五级联动、部门协同、安全可靠的政务服务体系，为企业和个人提供高效服务。2.常态化开展自治区公共资源交易平台安全运行保障工作，提升服务、交易、监督三方面高效协同能力。3.开展自治区本级工程建设项目招标投标、矿业权出让、国有产权交易、政府采购、医疗药品采购等公共资源交易工作，规范自治区政务服务大厅和公共资源交易大厅的日常管理，做好自治区本级采购评审保障工作。</w:t>
            </w:r>
          </w:p>
        </w:tc>
        <w:tc>
          <w:tcPr>
            <w:tcW w:w="436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820E0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截至2023年12月31日，自治区政务服务和公共资源交易中心政务服务和公共资源交易运转保障项目主要通过完成维护一体化平台，并进行网络安全监测评估53次，系统故障修复处理在1天内完成，一体化平台系统故障率控制在1%，常态化开展自治区公共资源交易平台安全运行保障工作，提升服务、交易、监督三方面高效协同能力；完成公共资源交易项目1874个；12345政务服务便民热线完成工单处办量384057个，工单转派准确率达到99.92%，工单签入及时率达到100%，整体项目验收合格率达到85%。通过项目的实施，政务服务水平及公共资源交易服务水平得到有效的提高，工单处办满意率达到91.65%，办事人员满意度达到92%，工作人员满意度达到91.36%。</w:t>
            </w:r>
          </w:p>
        </w:tc>
      </w:tr>
      <w:tr w14:paraId="2BF83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D561AE">
            <w:pPr>
              <w:jc w:val="center"/>
              <w:rPr>
                <w:rFonts w:hint="eastAsia" w:ascii="宋体" w:hAnsi="宋体" w:eastAsia="宋体" w:cs="宋体"/>
                <w:i w:val="0"/>
                <w:iCs w:val="0"/>
                <w:color w:val="000000"/>
                <w:sz w:val="18"/>
                <w:szCs w:val="18"/>
                <w:u w:val="none"/>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058CC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1F838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21FC0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30249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605F7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E42E1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C27CE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7E703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F9926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14331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76756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5C302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A1FDC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245EE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290F7">
            <w:pPr>
              <w:jc w:val="center"/>
              <w:rPr>
                <w:rFonts w:hint="eastAsia" w:ascii="宋体" w:hAnsi="宋体" w:eastAsia="宋体" w:cs="宋体"/>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C6EF53">
            <w:pPr>
              <w:jc w:val="center"/>
              <w:rPr>
                <w:rFonts w:hint="eastAsia" w:ascii="宋体" w:hAnsi="宋体" w:eastAsia="宋体" w:cs="宋体"/>
                <w:b/>
                <w:bCs/>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75BC5F">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A014F">
            <w:pPr>
              <w:jc w:val="center"/>
              <w:rPr>
                <w:rFonts w:hint="eastAsia" w:ascii="宋体" w:hAnsi="宋体" w:eastAsia="宋体" w:cs="宋体"/>
                <w:b/>
                <w:bCs/>
                <w:i w:val="0"/>
                <w:iCs w:val="0"/>
                <w:color w:val="000000"/>
                <w:sz w:val="18"/>
                <w:szCs w:val="18"/>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C18FF9">
            <w:pPr>
              <w:jc w:val="center"/>
              <w:rPr>
                <w:rFonts w:hint="eastAsia" w:ascii="宋体" w:hAnsi="宋体" w:eastAsia="宋体" w:cs="宋体"/>
                <w:b/>
                <w:bCs/>
                <w:i w:val="0"/>
                <w:iCs w:val="0"/>
                <w:color w:val="000000"/>
                <w:sz w:val="18"/>
                <w:szCs w:val="18"/>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6D0EA">
            <w:pPr>
              <w:jc w:val="center"/>
              <w:rPr>
                <w:rFonts w:hint="eastAsia" w:ascii="宋体" w:hAnsi="宋体" w:eastAsia="宋体" w:cs="宋体"/>
                <w:b/>
                <w:bCs/>
                <w:i w:val="0"/>
                <w:iCs w:val="0"/>
                <w:color w:val="000000"/>
                <w:sz w:val="18"/>
                <w:szCs w:val="18"/>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A7B816">
            <w:pPr>
              <w:jc w:val="center"/>
              <w:rPr>
                <w:rFonts w:hint="eastAsia" w:ascii="宋体" w:hAnsi="宋体" w:eastAsia="宋体" w:cs="宋体"/>
                <w:b/>
                <w:bCs/>
                <w:i w:val="0"/>
                <w:iCs w:val="0"/>
                <w:color w:val="000000"/>
                <w:sz w:val="18"/>
                <w:szCs w:val="18"/>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F789F">
            <w:pPr>
              <w:jc w:val="center"/>
              <w:rPr>
                <w:rFonts w:hint="eastAsia" w:ascii="宋体" w:hAnsi="宋体" w:eastAsia="宋体" w:cs="宋体"/>
                <w:b/>
                <w:bCs/>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278447">
            <w:pPr>
              <w:jc w:val="center"/>
              <w:rPr>
                <w:rFonts w:hint="eastAsia" w:ascii="宋体" w:hAnsi="宋体" w:eastAsia="宋体" w:cs="宋体"/>
                <w:b/>
                <w:bCs/>
                <w:i w:val="0"/>
                <w:iCs w:val="0"/>
                <w:color w:val="000000"/>
                <w:sz w:val="18"/>
                <w:szCs w:val="18"/>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5396C">
            <w:pPr>
              <w:jc w:val="center"/>
              <w:rPr>
                <w:rFonts w:hint="eastAsia" w:ascii="宋体" w:hAnsi="宋体" w:eastAsia="宋体" w:cs="宋体"/>
                <w:b/>
                <w:bCs/>
                <w:i w:val="0"/>
                <w:iCs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E63B4">
            <w:pPr>
              <w:jc w:val="center"/>
              <w:rPr>
                <w:rFonts w:hint="eastAsia" w:ascii="宋体" w:hAnsi="宋体" w:eastAsia="宋体" w:cs="宋体"/>
                <w:b/>
                <w:bCs/>
                <w:i w:val="0"/>
                <w:iCs w:val="0"/>
                <w:color w:val="000000"/>
                <w:sz w:val="18"/>
                <w:szCs w:val="18"/>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6A34A2">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D3293">
            <w:pPr>
              <w:jc w:val="center"/>
              <w:rPr>
                <w:rFonts w:hint="eastAsia" w:ascii="宋体" w:hAnsi="宋体" w:eastAsia="宋体" w:cs="宋体"/>
                <w:b/>
                <w:bCs/>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B75333">
            <w:pPr>
              <w:jc w:val="center"/>
              <w:rPr>
                <w:rFonts w:hint="eastAsia" w:ascii="宋体" w:hAnsi="宋体" w:eastAsia="宋体" w:cs="宋体"/>
                <w:b/>
                <w:bCs/>
                <w:i w:val="0"/>
                <w:iCs w:val="0"/>
                <w:color w:val="000000"/>
                <w:sz w:val="18"/>
                <w:szCs w:val="18"/>
                <w:u w:val="none"/>
              </w:rPr>
            </w:pPr>
          </w:p>
        </w:tc>
      </w:tr>
      <w:tr w14:paraId="4B16D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6EC63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D37B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B5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D5B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一体化平台维护数量</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71A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733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&gt;=1个</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AFE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B49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A80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E9F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F73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FC2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9D8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DB579">
            <w:pPr>
              <w:jc w:val="center"/>
              <w:rPr>
                <w:rFonts w:hint="eastAsia" w:ascii="宋体" w:hAnsi="宋体" w:eastAsia="宋体" w:cs="宋体"/>
                <w:i w:val="0"/>
                <w:iCs w:val="0"/>
                <w:color w:val="000000"/>
                <w:sz w:val="18"/>
                <w:szCs w:val="18"/>
                <w:u w:val="none"/>
              </w:rPr>
            </w:pPr>
          </w:p>
        </w:tc>
      </w:tr>
      <w:tr w14:paraId="1902D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5F0AD9">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C515C">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7B7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55F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网络安全监测评估次数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EF1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37F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&gt;=53次</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548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=53次</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60A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5C5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316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3C7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287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035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01F08">
            <w:pPr>
              <w:jc w:val="center"/>
              <w:rPr>
                <w:rFonts w:hint="eastAsia" w:ascii="宋体" w:hAnsi="宋体" w:eastAsia="宋体" w:cs="宋体"/>
                <w:i w:val="0"/>
                <w:iCs w:val="0"/>
                <w:color w:val="000000"/>
                <w:sz w:val="18"/>
                <w:szCs w:val="18"/>
                <w:u w:val="none"/>
              </w:rPr>
            </w:pPr>
          </w:p>
        </w:tc>
      </w:tr>
      <w:tr w14:paraId="18B49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FDDDBA">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3CB3E">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5CA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BDF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公共资源交易项目个数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DF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FE1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&gt;=1874个</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948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=1874个</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CD5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A13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5CB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76F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300个</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A78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287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8637D">
            <w:pPr>
              <w:jc w:val="center"/>
              <w:rPr>
                <w:rFonts w:hint="eastAsia" w:ascii="宋体" w:hAnsi="宋体" w:eastAsia="宋体" w:cs="宋体"/>
                <w:i w:val="0"/>
                <w:iCs w:val="0"/>
                <w:color w:val="000000"/>
                <w:sz w:val="18"/>
                <w:szCs w:val="18"/>
                <w:u w:val="none"/>
              </w:rPr>
            </w:pPr>
          </w:p>
        </w:tc>
      </w:tr>
      <w:tr w14:paraId="39B75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412DFE">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EFC2CE">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9A0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BE5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工单处办量</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6F9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8E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&gt;=384057个</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14C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=384057个</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B4E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B71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00E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0AC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2000个</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C56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D01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0304A">
            <w:pPr>
              <w:jc w:val="center"/>
              <w:rPr>
                <w:rFonts w:hint="eastAsia" w:ascii="宋体" w:hAnsi="宋体" w:eastAsia="宋体" w:cs="宋体"/>
                <w:i w:val="0"/>
                <w:iCs w:val="0"/>
                <w:color w:val="000000"/>
                <w:sz w:val="18"/>
                <w:szCs w:val="18"/>
                <w:u w:val="none"/>
              </w:rPr>
            </w:pPr>
          </w:p>
        </w:tc>
      </w:tr>
      <w:tr w14:paraId="3E69F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9A306E">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8C152">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3AF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406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在职人数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CA6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F02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&gt;=80人</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D30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=76人</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C10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3AF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011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31C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AE9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44B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F3B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退休4人</w:t>
            </w:r>
          </w:p>
        </w:tc>
      </w:tr>
      <w:tr w14:paraId="6E6A8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8AB987">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42D89">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53B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DEA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一体化平台系统故障率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9B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984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677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770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441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2E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C25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134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14F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CF0BD">
            <w:pPr>
              <w:jc w:val="center"/>
              <w:rPr>
                <w:rFonts w:hint="eastAsia" w:ascii="宋体" w:hAnsi="宋体" w:eastAsia="宋体" w:cs="宋体"/>
                <w:i w:val="0"/>
                <w:iCs w:val="0"/>
                <w:color w:val="000000"/>
                <w:sz w:val="18"/>
                <w:szCs w:val="18"/>
                <w:u w:val="none"/>
              </w:rPr>
            </w:pPr>
          </w:p>
        </w:tc>
      </w:tr>
      <w:tr w14:paraId="64692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0408CA">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5F70C">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F8E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F97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项目验收合格率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57D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DCC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371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81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124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08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230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1C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0B4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4E7AC">
            <w:pPr>
              <w:jc w:val="center"/>
              <w:rPr>
                <w:rFonts w:hint="eastAsia" w:ascii="宋体" w:hAnsi="宋体" w:eastAsia="宋体" w:cs="宋体"/>
                <w:i w:val="0"/>
                <w:iCs w:val="0"/>
                <w:color w:val="000000"/>
                <w:sz w:val="18"/>
                <w:szCs w:val="18"/>
                <w:u w:val="none"/>
              </w:rPr>
            </w:pPr>
          </w:p>
        </w:tc>
      </w:tr>
      <w:tr w14:paraId="53E0D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A3E313">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16701C">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607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583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工单转派准确率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17C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CC4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745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42F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13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0F7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898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44B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7BF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B8EF6">
            <w:pPr>
              <w:jc w:val="center"/>
              <w:rPr>
                <w:rFonts w:hint="eastAsia" w:ascii="宋体" w:hAnsi="宋体" w:eastAsia="宋体" w:cs="宋体"/>
                <w:i w:val="0"/>
                <w:iCs w:val="0"/>
                <w:color w:val="000000"/>
                <w:sz w:val="18"/>
                <w:szCs w:val="18"/>
                <w:u w:val="none"/>
              </w:rPr>
            </w:pPr>
          </w:p>
        </w:tc>
      </w:tr>
      <w:tr w14:paraId="6A7C2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B672BC">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26805">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04C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20D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系统故障修复处理时间</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8B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236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&lt;=2天</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53E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=1天</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CEB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B7E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2ED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AE9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1天</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B49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D39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73754">
            <w:pPr>
              <w:jc w:val="center"/>
              <w:rPr>
                <w:rFonts w:hint="eastAsia" w:ascii="宋体" w:hAnsi="宋体" w:eastAsia="宋体" w:cs="宋体"/>
                <w:i w:val="0"/>
                <w:iCs w:val="0"/>
                <w:color w:val="000000"/>
                <w:sz w:val="18"/>
                <w:szCs w:val="18"/>
                <w:u w:val="none"/>
              </w:rPr>
            </w:pPr>
          </w:p>
        </w:tc>
      </w:tr>
      <w:tr w14:paraId="59EBC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DC994">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3DCC32">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592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9E5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系统运行响应时间</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4E7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675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&lt;=72小时</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225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=1小时</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24A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688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48D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539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10小时</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A5A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3D1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A4FF9">
            <w:pPr>
              <w:jc w:val="center"/>
              <w:rPr>
                <w:rFonts w:hint="eastAsia" w:ascii="宋体" w:hAnsi="宋体" w:eastAsia="宋体" w:cs="宋体"/>
                <w:i w:val="0"/>
                <w:iCs w:val="0"/>
                <w:color w:val="000000"/>
                <w:sz w:val="18"/>
                <w:szCs w:val="18"/>
                <w:u w:val="none"/>
              </w:rPr>
            </w:pPr>
          </w:p>
        </w:tc>
      </w:tr>
      <w:tr w14:paraId="02E08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BC3AB">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40E07">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241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11D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签入及时率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56C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07F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FAA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D2A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69F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792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944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E4A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B60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4323C">
            <w:pPr>
              <w:jc w:val="center"/>
              <w:rPr>
                <w:rFonts w:hint="eastAsia" w:ascii="宋体" w:hAnsi="宋体" w:eastAsia="宋体" w:cs="宋体"/>
                <w:i w:val="0"/>
                <w:iCs w:val="0"/>
                <w:color w:val="000000"/>
                <w:sz w:val="18"/>
                <w:szCs w:val="18"/>
                <w:u w:val="none"/>
              </w:rPr>
            </w:pPr>
          </w:p>
        </w:tc>
      </w:tr>
      <w:tr w14:paraId="1FBAC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E19A10">
            <w:pPr>
              <w:jc w:val="center"/>
              <w:rPr>
                <w:rFonts w:hint="eastAsia" w:ascii="宋体" w:hAnsi="宋体" w:eastAsia="宋体" w:cs="宋体"/>
                <w:b/>
                <w:bCs/>
                <w:i w:val="0"/>
                <w:iCs w:val="0"/>
                <w:color w:val="000000"/>
                <w:sz w:val="18"/>
                <w:szCs w:val="18"/>
                <w:u w:val="none"/>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09F3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AB1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3D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公共资源交易项目评审、处理质疑、论证等成本</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B9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3E8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&lt;=189万元</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F0B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=140.14万元</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938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E0A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410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B94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49.23万元</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F81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22C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08F8E">
            <w:pPr>
              <w:jc w:val="center"/>
              <w:rPr>
                <w:rFonts w:hint="eastAsia" w:ascii="宋体" w:hAnsi="宋体" w:eastAsia="宋体" w:cs="宋体"/>
                <w:i w:val="0"/>
                <w:iCs w:val="0"/>
                <w:color w:val="000000"/>
                <w:sz w:val="18"/>
                <w:szCs w:val="18"/>
                <w:u w:val="none"/>
              </w:rPr>
            </w:pPr>
          </w:p>
        </w:tc>
      </w:tr>
      <w:tr w14:paraId="66181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1E5450">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D95544">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BF5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AEE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一体化运行维护成本</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CA5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274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&lt;=3238.82万元</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939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=2910.42万元</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4F2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AE1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238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42B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1172.74万元</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D4B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9EB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AB489">
            <w:pPr>
              <w:jc w:val="center"/>
              <w:rPr>
                <w:rFonts w:hint="eastAsia" w:ascii="宋体" w:hAnsi="宋体" w:eastAsia="宋体" w:cs="宋体"/>
                <w:i w:val="0"/>
                <w:iCs w:val="0"/>
                <w:color w:val="000000"/>
                <w:sz w:val="18"/>
                <w:szCs w:val="18"/>
                <w:u w:val="none"/>
              </w:rPr>
            </w:pPr>
          </w:p>
        </w:tc>
      </w:tr>
      <w:tr w14:paraId="09854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623AFB">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DDB138">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79E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0AE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运转保障成本</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9F7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388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&lt;=3048.75万元</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0F6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=2550.48万元</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EE7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CF0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36C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46E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918.73万元</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BA4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486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32BA0">
            <w:pPr>
              <w:jc w:val="center"/>
              <w:rPr>
                <w:rFonts w:hint="eastAsia" w:ascii="宋体" w:hAnsi="宋体" w:eastAsia="宋体" w:cs="宋体"/>
                <w:i w:val="0"/>
                <w:iCs w:val="0"/>
                <w:color w:val="000000"/>
                <w:sz w:val="18"/>
                <w:szCs w:val="18"/>
                <w:u w:val="none"/>
              </w:rPr>
            </w:pPr>
          </w:p>
        </w:tc>
      </w:tr>
      <w:tr w14:paraId="54BB3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342FE3">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21E68">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94B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69209">
            <w:pPr>
              <w:jc w:val="center"/>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DE245">
            <w:pPr>
              <w:jc w:val="cente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EF44B">
            <w:pPr>
              <w:jc w:val="center"/>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BDF23">
            <w:pPr>
              <w:jc w:val="center"/>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20541">
            <w:pPr>
              <w:jc w:val="center"/>
              <w:rPr>
                <w:rFonts w:hint="eastAsia" w:ascii="宋体" w:hAnsi="宋体" w:eastAsia="宋体" w:cs="宋体"/>
                <w:i w:val="0"/>
                <w:iCs w:val="0"/>
                <w:color w:val="000000"/>
                <w:sz w:val="18"/>
                <w:szCs w:val="18"/>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1F4DC">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6AD0B">
            <w:pPr>
              <w:jc w:val="center"/>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A54D4">
            <w:pPr>
              <w:jc w:val="center"/>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31C6D">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D4571">
            <w:pPr>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99BCB">
            <w:pPr>
              <w:jc w:val="center"/>
              <w:rPr>
                <w:rFonts w:hint="eastAsia" w:ascii="宋体" w:hAnsi="宋体" w:eastAsia="宋体" w:cs="宋体"/>
                <w:i w:val="0"/>
                <w:iCs w:val="0"/>
                <w:color w:val="000000"/>
                <w:sz w:val="18"/>
                <w:szCs w:val="18"/>
                <w:u w:val="none"/>
              </w:rPr>
            </w:pPr>
          </w:p>
        </w:tc>
      </w:tr>
      <w:tr w14:paraId="0C367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89B9DA">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E42F5">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D26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5D888">
            <w:pPr>
              <w:jc w:val="center"/>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DF1C3">
            <w:pPr>
              <w:jc w:val="cente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74712">
            <w:pPr>
              <w:jc w:val="center"/>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1F19A">
            <w:pPr>
              <w:jc w:val="center"/>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8F728">
            <w:pPr>
              <w:jc w:val="center"/>
              <w:rPr>
                <w:rFonts w:hint="eastAsia" w:ascii="宋体" w:hAnsi="宋体" w:eastAsia="宋体" w:cs="宋体"/>
                <w:i w:val="0"/>
                <w:iCs w:val="0"/>
                <w:color w:val="000000"/>
                <w:sz w:val="18"/>
                <w:szCs w:val="18"/>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57D7F">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C24C4">
            <w:pPr>
              <w:jc w:val="center"/>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D3147">
            <w:pPr>
              <w:jc w:val="center"/>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D886D">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8A124">
            <w:pPr>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56AF4">
            <w:pPr>
              <w:jc w:val="center"/>
              <w:rPr>
                <w:rFonts w:hint="eastAsia" w:ascii="宋体" w:hAnsi="宋体" w:eastAsia="宋体" w:cs="宋体"/>
                <w:i w:val="0"/>
                <w:iCs w:val="0"/>
                <w:color w:val="000000"/>
                <w:sz w:val="18"/>
                <w:szCs w:val="18"/>
                <w:u w:val="none"/>
              </w:rPr>
            </w:pPr>
          </w:p>
        </w:tc>
      </w:tr>
      <w:tr w14:paraId="13EFA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4B4D92">
            <w:pPr>
              <w:jc w:val="center"/>
              <w:rPr>
                <w:rFonts w:hint="eastAsia" w:ascii="宋体" w:hAnsi="宋体" w:eastAsia="宋体" w:cs="宋体"/>
                <w:b/>
                <w:bCs/>
                <w:i w:val="0"/>
                <w:iCs w:val="0"/>
                <w:color w:val="000000"/>
                <w:sz w:val="18"/>
                <w:szCs w:val="18"/>
                <w:u w:val="none"/>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5F11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BF2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49A35">
            <w:pPr>
              <w:jc w:val="center"/>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CC879">
            <w:pPr>
              <w:jc w:val="cente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270A8">
            <w:pPr>
              <w:jc w:val="center"/>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D105F">
            <w:pPr>
              <w:jc w:val="center"/>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A068B">
            <w:pPr>
              <w:jc w:val="center"/>
              <w:rPr>
                <w:rFonts w:hint="eastAsia" w:ascii="宋体" w:hAnsi="宋体" w:eastAsia="宋体" w:cs="宋体"/>
                <w:i w:val="0"/>
                <w:iCs w:val="0"/>
                <w:color w:val="000000"/>
                <w:sz w:val="18"/>
                <w:szCs w:val="18"/>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D1C4A">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EB582">
            <w:pPr>
              <w:jc w:val="center"/>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5620E">
            <w:pPr>
              <w:jc w:val="center"/>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ED84D">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4EA91">
            <w:pPr>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B4774">
            <w:pPr>
              <w:jc w:val="center"/>
              <w:rPr>
                <w:rFonts w:hint="eastAsia" w:ascii="宋体" w:hAnsi="宋体" w:eastAsia="宋体" w:cs="宋体"/>
                <w:i w:val="0"/>
                <w:iCs w:val="0"/>
                <w:color w:val="000000"/>
                <w:sz w:val="18"/>
                <w:szCs w:val="18"/>
                <w:u w:val="none"/>
              </w:rPr>
            </w:pPr>
          </w:p>
        </w:tc>
      </w:tr>
      <w:tr w14:paraId="705E1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D16A9">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41EF1B">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9ED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00C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政务服务水平</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0A7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AFE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ED8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CB8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6C4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C43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94E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F6F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7AE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A21AB">
            <w:pPr>
              <w:jc w:val="center"/>
              <w:rPr>
                <w:rFonts w:hint="eastAsia" w:ascii="宋体" w:hAnsi="宋体" w:eastAsia="宋体" w:cs="宋体"/>
                <w:i w:val="0"/>
                <w:iCs w:val="0"/>
                <w:color w:val="000000"/>
                <w:sz w:val="18"/>
                <w:szCs w:val="18"/>
                <w:u w:val="none"/>
              </w:rPr>
            </w:pPr>
          </w:p>
        </w:tc>
      </w:tr>
      <w:tr w14:paraId="68CAB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C677C9">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C70D4D">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F30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DBA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公共资源交易服务水平</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312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2B1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6F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129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89D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44B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918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68E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5DA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33371">
            <w:pPr>
              <w:jc w:val="center"/>
              <w:rPr>
                <w:rFonts w:hint="eastAsia" w:ascii="宋体" w:hAnsi="宋体" w:eastAsia="宋体" w:cs="宋体"/>
                <w:i w:val="0"/>
                <w:iCs w:val="0"/>
                <w:color w:val="000000"/>
                <w:sz w:val="18"/>
                <w:szCs w:val="18"/>
                <w:u w:val="none"/>
              </w:rPr>
            </w:pPr>
          </w:p>
        </w:tc>
      </w:tr>
      <w:tr w14:paraId="60C9E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C85959">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B34551">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81C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DC8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工单处办满意率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259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6EE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054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=91.65%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939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F83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367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240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B21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394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2CB31">
            <w:pPr>
              <w:jc w:val="center"/>
              <w:rPr>
                <w:rFonts w:hint="eastAsia" w:ascii="宋体" w:hAnsi="宋体" w:eastAsia="宋体" w:cs="宋体"/>
                <w:i w:val="0"/>
                <w:iCs w:val="0"/>
                <w:color w:val="000000"/>
                <w:sz w:val="18"/>
                <w:szCs w:val="18"/>
                <w:u w:val="none"/>
              </w:rPr>
            </w:pPr>
          </w:p>
        </w:tc>
      </w:tr>
      <w:tr w14:paraId="66660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E8409C">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B85D9">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95E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4359C">
            <w:pPr>
              <w:jc w:val="center"/>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AC2B7">
            <w:pPr>
              <w:jc w:val="cente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C12E2">
            <w:pPr>
              <w:jc w:val="center"/>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435DF">
            <w:pPr>
              <w:jc w:val="center"/>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9C7FF">
            <w:pPr>
              <w:jc w:val="center"/>
              <w:rPr>
                <w:rFonts w:hint="eastAsia" w:ascii="宋体" w:hAnsi="宋体" w:eastAsia="宋体" w:cs="宋体"/>
                <w:i w:val="0"/>
                <w:iCs w:val="0"/>
                <w:color w:val="000000"/>
                <w:sz w:val="18"/>
                <w:szCs w:val="18"/>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7FBCC">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B26EA">
            <w:pPr>
              <w:jc w:val="center"/>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2D2B5">
            <w:pPr>
              <w:jc w:val="center"/>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4698A">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67D49">
            <w:pPr>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5D776">
            <w:pPr>
              <w:jc w:val="center"/>
              <w:rPr>
                <w:rFonts w:hint="eastAsia" w:ascii="宋体" w:hAnsi="宋体" w:eastAsia="宋体" w:cs="宋体"/>
                <w:i w:val="0"/>
                <w:iCs w:val="0"/>
                <w:color w:val="000000"/>
                <w:sz w:val="18"/>
                <w:szCs w:val="18"/>
                <w:u w:val="none"/>
              </w:rPr>
            </w:pPr>
          </w:p>
        </w:tc>
      </w:tr>
      <w:tr w14:paraId="72350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452C7">
            <w:pPr>
              <w:jc w:val="center"/>
              <w:rPr>
                <w:rFonts w:hint="eastAsia" w:ascii="宋体" w:hAnsi="宋体" w:eastAsia="宋体" w:cs="宋体"/>
                <w:b/>
                <w:bCs/>
                <w:i w:val="0"/>
                <w:iCs w:val="0"/>
                <w:color w:val="000000"/>
                <w:sz w:val="18"/>
                <w:szCs w:val="18"/>
                <w:u w:val="none"/>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E773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902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7BF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办事人员满意度</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FEB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2BD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837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6A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5FD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916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76A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57D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5CF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89756">
            <w:pPr>
              <w:jc w:val="center"/>
              <w:rPr>
                <w:rFonts w:hint="eastAsia" w:ascii="宋体" w:hAnsi="宋体" w:eastAsia="宋体" w:cs="宋体"/>
                <w:i w:val="0"/>
                <w:iCs w:val="0"/>
                <w:color w:val="000000"/>
                <w:sz w:val="18"/>
                <w:szCs w:val="18"/>
                <w:u w:val="none"/>
              </w:rPr>
            </w:pPr>
          </w:p>
        </w:tc>
      </w:tr>
      <w:tr w14:paraId="7B411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CF0B7">
            <w:pPr>
              <w:jc w:val="center"/>
              <w:rPr>
                <w:rFonts w:hint="eastAsia" w:ascii="宋体" w:hAnsi="宋体" w:eastAsia="宋体" w:cs="宋体"/>
                <w:b/>
                <w:bCs/>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C2025A">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231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289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工作人员满意度</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F8C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5D8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FAE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=91.36%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C20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607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086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DC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4A2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E86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D1678">
            <w:pPr>
              <w:jc w:val="center"/>
              <w:rPr>
                <w:rFonts w:hint="eastAsia" w:ascii="宋体" w:hAnsi="宋体" w:eastAsia="宋体" w:cs="宋体"/>
                <w:i w:val="0"/>
                <w:iCs w:val="0"/>
                <w:color w:val="000000"/>
                <w:sz w:val="18"/>
                <w:szCs w:val="18"/>
                <w:u w:val="none"/>
              </w:rPr>
            </w:pPr>
          </w:p>
        </w:tc>
      </w:tr>
      <w:tr w14:paraId="74864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7B252">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709C4">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14144">
            <w:pPr>
              <w:jc w:val="center"/>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18B42">
            <w:pPr>
              <w:jc w:val="center"/>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55D97">
            <w:pPr>
              <w:jc w:val="cente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698A2">
            <w:pPr>
              <w:jc w:val="center"/>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8A353">
            <w:pPr>
              <w:jc w:val="center"/>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A21C0">
            <w:pPr>
              <w:jc w:val="center"/>
              <w:rPr>
                <w:rFonts w:hint="eastAsia" w:ascii="宋体" w:hAnsi="宋体" w:eastAsia="宋体" w:cs="宋体"/>
                <w:i w:val="0"/>
                <w:iCs w:val="0"/>
                <w:color w:val="000000"/>
                <w:sz w:val="18"/>
                <w:szCs w:val="18"/>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DF7C0">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9C51A">
            <w:pPr>
              <w:jc w:val="center"/>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5E41F">
            <w:pPr>
              <w:jc w:val="center"/>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B7003">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42FD3">
            <w:pPr>
              <w:jc w:val="cente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35ABF">
            <w:pPr>
              <w:jc w:val="center"/>
              <w:rPr>
                <w:rFonts w:hint="eastAsia" w:ascii="宋体" w:hAnsi="宋体" w:eastAsia="宋体" w:cs="宋体"/>
                <w:i w:val="0"/>
                <w:iCs w:val="0"/>
                <w:color w:val="000000"/>
                <w:sz w:val="18"/>
                <w:szCs w:val="18"/>
                <w:u w:val="none"/>
              </w:rPr>
            </w:pPr>
          </w:p>
        </w:tc>
      </w:tr>
      <w:tr w14:paraId="4ADFA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355" w:type="dxa"/>
            <w:gridSpan w:val="4"/>
            <w:tcBorders>
              <w:top w:val="single" w:color="000000" w:sz="4" w:space="0"/>
              <w:left w:val="single" w:color="000000" w:sz="4" w:space="0"/>
              <w:bottom w:val="single" w:color="000000" w:sz="4" w:space="0"/>
              <w:right w:val="nil"/>
            </w:tcBorders>
            <w:shd w:val="clear" w:color="auto" w:fill="auto"/>
            <w:vAlign w:val="center"/>
          </w:tcPr>
          <w:p w14:paraId="00FF021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E1E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45" w:type="dxa"/>
            <w:tcBorders>
              <w:top w:val="single" w:color="000000" w:sz="4" w:space="0"/>
              <w:left w:val="nil"/>
              <w:bottom w:val="single" w:color="000000" w:sz="4" w:space="0"/>
              <w:right w:val="single" w:color="000000" w:sz="4" w:space="0"/>
            </w:tcBorders>
            <w:shd w:val="clear" w:color="auto" w:fill="auto"/>
            <w:vAlign w:val="center"/>
          </w:tcPr>
          <w:p w14:paraId="2119347C">
            <w:pPr>
              <w:rPr>
                <w:rFonts w:hint="eastAsia" w:ascii="宋体" w:hAnsi="宋体" w:eastAsia="宋体" w:cs="宋体"/>
                <w:b/>
                <w:bCs/>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C592C">
            <w:pPr>
              <w:jc w:val="center"/>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72F95">
            <w:pPr>
              <w:jc w:val="center"/>
              <w:rPr>
                <w:rFonts w:hint="eastAsia" w:ascii="宋体" w:hAnsi="宋体" w:eastAsia="宋体" w:cs="宋体"/>
                <w:i w:val="0"/>
                <w:iCs w:val="0"/>
                <w:color w:val="000000"/>
                <w:sz w:val="18"/>
                <w:szCs w:val="18"/>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DF6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96.25分</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D46CF">
            <w:pPr>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BA2FB">
            <w:pPr>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97F47">
            <w:pP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A7A33">
            <w:pPr>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35499">
            <w:pPr>
              <w:rPr>
                <w:rFonts w:hint="eastAsia" w:ascii="宋体" w:hAnsi="宋体" w:eastAsia="宋体" w:cs="宋体"/>
                <w:i w:val="0"/>
                <w:iCs w:val="0"/>
                <w:color w:val="000000"/>
                <w:sz w:val="18"/>
                <w:szCs w:val="18"/>
                <w:u w:val="none"/>
              </w:rPr>
            </w:pPr>
          </w:p>
        </w:tc>
      </w:tr>
    </w:tbl>
    <w:p w14:paraId="0F33DD80">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仿宋_GB2312" w:eastAsia="仿宋_GB2312"/>
          <w:color w:val="auto"/>
          <w:sz w:val="32"/>
          <w:szCs w:val="32"/>
          <w:highlight w:val="none"/>
          <w:lang w:val="en-US" w:eastAsia="zh-CN"/>
        </w:rPr>
      </w:pPr>
    </w:p>
    <w:p w14:paraId="3684A75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747E99C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bookmarkStart w:id="30" w:name="_Toc3250"/>
      <w:bookmarkStart w:id="31" w:name="_Toc24143"/>
      <w:r>
        <w:rPr>
          <w:rFonts w:hint="eastAsia" w:ascii="仿宋_GB2312" w:eastAsia="仿宋_GB2312"/>
          <w:color w:val="auto"/>
          <w:sz w:val="32"/>
          <w:szCs w:val="32"/>
          <w:highlight w:val="none"/>
          <w:lang w:val="en-US" w:eastAsia="zh-CN"/>
        </w:rPr>
        <w:t>特定目标0210689C项目为涉密项目，绩效自评表不予公开；自治区一体化在线政务服务平台深化应用</w:t>
      </w:r>
      <w:r>
        <w:rPr>
          <w:rFonts w:hint="eastAsia" w:ascii="仿宋_GB2312" w:eastAsia="仿宋_GB2312"/>
          <w:color w:val="auto"/>
          <w:sz w:val="32"/>
          <w:szCs w:val="32"/>
          <w:highlight w:val="none"/>
        </w:rPr>
        <w:t>项目</w:t>
      </w:r>
      <w:r>
        <w:rPr>
          <w:rFonts w:hint="eastAsia" w:ascii="仿宋_GB2312" w:eastAsia="仿宋_GB2312"/>
          <w:color w:val="auto"/>
          <w:sz w:val="32"/>
          <w:szCs w:val="32"/>
          <w:highlight w:val="none"/>
          <w:lang w:val="en-US" w:eastAsia="zh-CN"/>
        </w:rPr>
        <w:t>因涉及机构改革，项目法人变更为自治区信息中心，因此本单位不报送绩效自评表。</w:t>
      </w:r>
    </w:p>
    <w:p w14:paraId="7CA81FA7">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0388F38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3BBCFBE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3C96A26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0122A72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2F7714C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43D0AF1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6CBAB65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375D820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46AA9F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6319463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19B08DF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31245B6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02F68C8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218214FF">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54AF764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531C1F1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0099B05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6ACBA96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0FF4ED0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7D268D5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6642772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432D4C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46A69C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3D7ADEF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540F3380">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4A1AD18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7C1E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869DAE">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8869DAE">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lYzdjMzM5N2VmMWY5OWViM2YzMjc4ZTk1NTIzY2QifQ=="/>
    <w:docVar w:name="KSO_WPS_MARK_KEY" w:val="41ee2a61-2d54-4f93-83be-afdb9a40d732"/>
  </w:docVars>
  <w:rsids>
    <w:rsidRoot w:val="00000000"/>
    <w:rsid w:val="00213C59"/>
    <w:rsid w:val="003210CE"/>
    <w:rsid w:val="005C0DA9"/>
    <w:rsid w:val="00B70D59"/>
    <w:rsid w:val="00F52A8D"/>
    <w:rsid w:val="015D0D5E"/>
    <w:rsid w:val="019404F8"/>
    <w:rsid w:val="0281282A"/>
    <w:rsid w:val="02832A46"/>
    <w:rsid w:val="02BD3108"/>
    <w:rsid w:val="02F73D26"/>
    <w:rsid w:val="034D4FEF"/>
    <w:rsid w:val="035D1785"/>
    <w:rsid w:val="039F47CE"/>
    <w:rsid w:val="03E05CE8"/>
    <w:rsid w:val="03F973EE"/>
    <w:rsid w:val="043E5B56"/>
    <w:rsid w:val="04C04386"/>
    <w:rsid w:val="04C2570D"/>
    <w:rsid w:val="04FA68C4"/>
    <w:rsid w:val="053F5AE6"/>
    <w:rsid w:val="057C0B0F"/>
    <w:rsid w:val="05EF4B48"/>
    <w:rsid w:val="05F76ECA"/>
    <w:rsid w:val="064C7787"/>
    <w:rsid w:val="06792773"/>
    <w:rsid w:val="07093795"/>
    <w:rsid w:val="07195727"/>
    <w:rsid w:val="07804730"/>
    <w:rsid w:val="079052BE"/>
    <w:rsid w:val="08145C21"/>
    <w:rsid w:val="08422688"/>
    <w:rsid w:val="085854ED"/>
    <w:rsid w:val="0879188F"/>
    <w:rsid w:val="08A0354D"/>
    <w:rsid w:val="08CD4C49"/>
    <w:rsid w:val="09114954"/>
    <w:rsid w:val="095A5B83"/>
    <w:rsid w:val="096466E3"/>
    <w:rsid w:val="0968304D"/>
    <w:rsid w:val="09AF3D17"/>
    <w:rsid w:val="09E810D6"/>
    <w:rsid w:val="0A7809B7"/>
    <w:rsid w:val="0A79472F"/>
    <w:rsid w:val="0A7B4867"/>
    <w:rsid w:val="0A840954"/>
    <w:rsid w:val="0A9928ED"/>
    <w:rsid w:val="0B52745A"/>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4D215A"/>
    <w:rsid w:val="0E63197E"/>
    <w:rsid w:val="0E640559"/>
    <w:rsid w:val="0F1113DA"/>
    <w:rsid w:val="0F78534A"/>
    <w:rsid w:val="0F89358A"/>
    <w:rsid w:val="0F8C6D51"/>
    <w:rsid w:val="0FCE2E27"/>
    <w:rsid w:val="105B0B5E"/>
    <w:rsid w:val="112E58D0"/>
    <w:rsid w:val="114809B7"/>
    <w:rsid w:val="11731CAC"/>
    <w:rsid w:val="119500A0"/>
    <w:rsid w:val="11C0733B"/>
    <w:rsid w:val="11D50D17"/>
    <w:rsid w:val="120E0809"/>
    <w:rsid w:val="124D097B"/>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C06CAA"/>
    <w:rsid w:val="19CE05F3"/>
    <w:rsid w:val="19D26CD4"/>
    <w:rsid w:val="19E60D19"/>
    <w:rsid w:val="1A3E3450"/>
    <w:rsid w:val="1AD807E5"/>
    <w:rsid w:val="1B39345B"/>
    <w:rsid w:val="1B9969DF"/>
    <w:rsid w:val="1BFB2A1F"/>
    <w:rsid w:val="1C015D4A"/>
    <w:rsid w:val="1C290ED5"/>
    <w:rsid w:val="1C317E4F"/>
    <w:rsid w:val="1C472464"/>
    <w:rsid w:val="1C901B90"/>
    <w:rsid w:val="1D22799A"/>
    <w:rsid w:val="1D5C1A72"/>
    <w:rsid w:val="1DAF458D"/>
    <w:rsid w:val="1E086ACE"/>
    <w:rsid w:val="1E62130A"/>
    <w:rsid w:val="1E97358B"/>
    <w:rsid w:val="1EAA4A5F"/>
    <w:rsid w:val="1EE869A7"/>
    <w:rsid w:val="1FA15E62"/>
    <w:rsid w:val="1FAD2A59"/>
    <w:rsid w:val="1FB2006F"/>
    <w:rsid w:val="1FED69B6"/>
    <w:rsid w:val="201A79C2"/>
    <w:rsid w:val="2064678E"/>
    <w:rsid w:val="20DC1AB9"/>
    <w:rsid w:val="20DD6197"/>
    <w:rsid w:val="212631E0"/>
    <w:rsid w:val="21A53757"/>
    <w:rsid w:val="21E253F3"/>
    <w:rsid w:val="221236C6"/>
    <w:rsid w:val="22D7662C"/>
    <w:rsid w:val="23326B7F"/>
    <w:rsid w:val="2380045B"/>
    <w:rsid w:val="23BC04D2"/>
    <w:rsid w:val="23E17175"/>
    <w:rsid w:val="23EF1892"/>
    <w:rsid w:val="2483647E"/>
    <w:rsid w:val="24A32D55"/>
    <w:rsid w:val="24CB4DDC"/>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15A0A"/>
    <w:rsid w:val="28DF2665"/>
    <w:rsid w:val="29072599"/>
    <w:rsid w:val="291029F3"/>
    <w:rsid w:val="29CB58F0"/>
    <w:rsid w:val="2A053397"/>
    <w:rsid w:val="2A145E96"/>
    <w:rsid w:val="2A5E4E22"/>
    <w:rsid w:val="2AF5378F"/>
    <w:rsid w:val="2B844FB6"/>
    <w:rsid w:val="2BB94DBF"/>
    <w:rsid w:val="2C321E35"/>
    <w:rsid w:val="2C6F314E"/>
    <w:rsid w:val="2CC206BE"/>
    <w:rsid w:val="2CCB09C2"/>
    <w:rsid w:val="2CD805AD"/>
    <w:rsid w:val="2D1136DF"/>
    <w:rsid w:val="2D20606D"/>
    <w:rsid w:val="2DB87198"/>
    <w:rsid w:val="2DB93C54"/>
    <w:rsid w:val="2E3D144C"/>
    <w:rsid w:val="2E884DBD"/>
    <w:rsid w:val="2E891204"/>
    <w:rsid w:val="2F3F0A28"/>
    <w:rsid w:val="2F7610B9"/>
    <w:rsid w:val="2F7E7F6E"/>
    <w:rsid w:val="2FBF7029"/>
    <w:rsid w:val="2FD0187F"/>
    <w:rsid w:val="2FD27414"/>
    <w:rsid w:val="2FFE4BB0"/>
    <w:rsid w:val="300E7B60"/>
    <w:rsid w:val="300F6E18"/>
    <w:rsid w:val="30862F5F"/>
    <w:rsid w:val="30E87D95"/>
    <w:rsid w:val="314029C9"/>
    <w:rsid w:val="31C63837"/>
    <w:rsid w:val="31C82E39"/>
    <w:rsid w:val="32601BAD"/>
    <w:rsid w:val="32737B32"/>
    <w:rsid w:val="32990C1B"/>
    <w:rsid w:val="329F6389"/>
    <w:rsid w:val="3389023A"/>
    <w:rsid w:val="33953AD8"/>
    <w:rsid w:val="33C13C84"/>
    <w:rsid w:val="33CB74FA"/>
    <w:rsid w:val="343642F2"/>
    <w:rsid w:val="343F3010"/>
    <w:rsid w:val="345D0A00"/>
    <w:rsid w:val="34713BFD"/>
    <w:rsid w:val="34C13589"/>
    <w:rsid w:val="34EA39B0"/>
    <w:rsid w:val="352E7D40"/>
    <w:rsid w:val="353369E3"/>
    <w:rsid w:val="35E00D72"/>
    <w:rsid w:val="363932F5"/>
    <w:rsid w:val="36965B9D"/>
    <w:rsid w:val="36C549FD"/>
    <w:rsid w:val="36EF52AD"/>
    <w:rsid w:val="37A755DD"/>
    <w:rsid w:val="37F94FA0"/>
    <w:rsid w:val="380D3381"/>
    <w:rsid w:val="38115B1F"/>
    <w:rsid w:val="385E3AC3"/>
    <w:rsid w:val="387D6B9E"/>
    <w:rsid w:val="38B75FF0"/>
    <w:rsid w:val="38D45016"/>
    <w:rsid w:val="38D90432"/>
    <w:rsid w:val="3914510A"/>
    <w:rsid w:val="3926770B"/>
    <w:rsid w:val="398D3668"/>
    <w:rsid w:val="39B969D1"/>
    <w:rsid w:val="39DA0497"/>
    <w:rsid w:val="3A4818A4"/>
    <w:rsid w:val="3A893816"/>
    <w:rsid w:val="3A893B6D"/>
    <w:rsid w:val="3AD1763A"/>
    <w:rsid w:val="3B6716E3"/>
    <w:rsid w:val="3B6C6B2D"/>
    <w:rsid w:val="3B8734FF"/>
    <w:rsid w:val="3C242659"/>
    <w:rsid w:val="3C96719C"/>
    <w:rsid w:val="3CA72BE8"/>
    <w:rsid w:val="3CF37F8C"/>
    <w:rsid w:val="3D137554"/>
    <w:rsid w:val="3D5275AC"/>
    <w:rsid w:val="3DCC2473"/>
    <w:rsid w:val="3DEB0883"/>
    <w:rsid w:val="3E1B7715"/>
    <w:rsid w:val="3E2527BF"/>
    <w:rsid w:val="3E731662"/>
    <w:rsid w:val="3E8168DD"/>
    <w:rsid w:val="3EA352FB"/>
    <w:rsid w:val="3EA7725F"/>
    <w:rsid w:val="3EB03713"/>
    <w:rsid w:val="3EBF1A11"/>
    <w:rsid w:val="3EC52607"/>
    <w:rsid w:val="3ED951C1"/>
    <w:rsid w:val="3EEC6CEF"/>
    <w:rsid w:val="3F183429"/>
    <w:rsid w:val="3F397A0D"/>
    <w:rsid w:val="3FB77A1D"/>
    <w:rsid w:val="3FDC3674"/>
    <w:rsid w:val="3FED7F8A"/>
    <w:rsid w:val="40094AEF"/>
    <w:rsid w:val="405470BD"/>
    <w:rsid w:val="40794A29"/>
    <w:rsid w:val="40834692"/>
    <w:rsid w:val="40B00CE7"/>
    <w:rsid w:val="41431AD5"/>
    <w:rsid w:val="414B3C0F"/>
    <w:rsid w:val="417C1CE7"/>
    <w:rsid w:val="41900018"/>
    <w:rsid w:val="41944406"/>
    <w:rsid w:val="41CE128F"/>
    <w:rsid w:val="41DA6F12"/>
    <w:rsid w:val="42171FB1"/>
    <w:rsid w:val="434E6957"/>
    <w:rsid w:val="43BA0E31"/>
    <w:rsid w:val="43C15147"/>
    <w:rsid w:val="43E14DD2"/>
    <w:rsid w:val="43F800E9"/>
    <w:rsid w:val="441017BC"/>
    <w:rsid w:val="443A7E4B"/>
    <w:rsid w:val="44612182"/>
    <w:rsid w:val="447F7E47"/>
    <w:rsid w:val="452F5B3A"/>
    <w:rsid w:val="454E7FD2"/>
    <w:rsid w:val="45684BA8"/>
    <w:rsid w:val="46061BDC"/>
    <w:rsid w:val="461404F8"/>
    <w:rsid w:val="46413018"/>
    <w:rsid w:val="464B7E04"/>
    <w:rsid w:val="468041AA"/>
    <w:rsid w:val="468123C6"/>
    <w:rsid w:val="46901EEE"/>
    <w:rsid w:val="469C74D2"/>
    <w:rsid w:val="474150C5"/>
    <w:rsid w:val="47445515"/>
    <w:rsid w:val="474B4782"/>
    <w:rsid w:val="47D90D14"/>
    <w:rsid w:val="48387FB0"/>
    <w:rsid w:val="483A6114"/>
    <w:rsid w:val="488727DB"/>
    <w:rsid w:val="48B82268"/>
    <w:rsid w:val="48C354B3"/>
    <w:rsid w:val="493D58B5"/>
    <w:rsid w:val="494A7A04"/>
    <w:rsid w:val="4A0330F2"/>
    <w:rsid w:val="4A0A26D2"/>
    <w:rsid w:val="4A2019A5"/>
    <w:rsid w:val="4A241A0B"/>
    <w:rsid w:val="4A7B2875"/>
    <w:rsid w:val="4A934476"/>
    <w:rsid w:val="4AAA220A"/>
    <w:rsid w:val="4AE12E67"/>
    <w:rsid w:val="4B4C0111"/>
    <w:rsid w:val="4B8553A9"/>
    <w:rsid w:val="4BDB3730"/>
    <w:rsid w:val="4C200F7A"/>
    <w:rsid w:val="4C9B1D07"/>
    <w:rsid w:val="4CEE3180"/>
    <w:rsid w:val="4D0F4AF6"/>
    <w:rsid w:val="4DF94F37"/>
    <w:rsid w:val="4E0A1DD5"/>
    <w:rsid w:val="4E3160E5"/>
    <w:rsid w:val="4E4D37AF"/>
    <w:rsid w:val="4E8C6496"/>
    <w:rsid w:val="4EBB21ED"/>
    <w:rsid w:val="4EFD18DE"/>
    <w:rsid w:val="4F144236"/>
    <w:rsid w:val="4F663C87"/>
    <w:rsid w:val="4F7E29A8"/>
    <w:rsid w:val="4F9E1FFC"/>
    <w:rsid w:val="4FC450D1"/>
    <w:rsid w:val="50447CC2"/>
    <w:rsid w:val="50874A7C"/>
    <w:rsid w:val="50895EE7"/>
    <w:rsid w:val="50921B9D"/>
    <w:rsid w:val="50C65917"/>
    <w:rsid w:val="50D16158"/>
    <w:rsid w:val="50DB5F45"/>
    <w:rsid w:val="50E9506E"/>
    <w:rsid w:val="51025EB1"/>
    <w:rsid w:val="51141503"/>
    <w:rsid w:val="518D0ED5"/>
    <w:rsid w:val="51F577C4"/>
    <w:rsid w:val="525C687F"/>
    <w:rsid w:val="52817153"/>
    <w:rsid w:val="52D10231"/>
    <w:rsid w:val="52F647F7"/>
    <w:rsid w:val="52F92565"/>
    <w:rsid w:val="5358625C"/>
    <w:rsid w:val="53D03877"/>
    <w:rsid w:val="541F4FCC"/>
    <w:rsid w:val="542F73CA"/>
    <w:rsid w:val="5430786D"/>
    <w:rsid w:val="54C811C0"/>
    <w:rsid w:val="556A442D"/>
    <w:rsid w:val="55DA564E"/>
    <w:rsid w:val="5604127D"/>
    <w:rsid w:val="56166703"/>
    <w:rsid w:val="56510474"/>
    <w:rsid w:val="56861525"/>
    <w:rsid w:val="56A93273"/>
    <w:rsid w:val="56BD550C"/>
    <w:rsid w:val="56E07045"/>
    <w:rsid w:val="56FF28AF"/>
    <w:rsid w:val="57234B26"/>
    <w:rsid w:val="57405985"/>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5756EA"/>
    <w:rsid w:val="5B76247F"/>
    <w:rsid w:val="5BD456CE"/>
    <w:rsid w:val="5C0D1F49"/>
    <w:rsid w:val="5CBB0CE2"/>
    <w:rsid w:val="5CC17177"/>
    <w:rsid w:val="5CF306BC"/>
    <w:rsid w:val="5D3F3D64"/>
    <w:rsid w:val="5D833043"/>
    <w:rsid w:val="5DD92690"/>
    <w:rsid w:val="5DDB1CFD"/>
    <w:rsid w:val="5E7E6D93"/>
    <w:rsid w:val="5ED44800"/>
    <w:rsid w:val="5F1871E8"/>
    <w:rsid w:val="5F350BDE"/>
    <w:rsid w:val="5F61632C"/>
    <w:rsid w:val="5FA17648"/>
    <w:rsid w:val="5FE705CB"/>
    <w:rsid w:val="603D5080"/>
    <w:rsid w:val="60D0261B"/>
    <w:rsid w:val="60E92BEA"/>
    <w:rsid w:val="61642270"/>
    <w:rsid w:val="61761FA3"/>
    <w:rsid w:val="618E3791"/>
    <w:rsid w:val="61947DCA"/>
    <w:rsid w:val="61A46A97"/>
    <w:rsid w:val="61D1382F"/>
    <w:rsid w:val="61F114A2"/>
    <w:rsid w:val="62512BB4"/>
    <w:rsid w:val="625D7D1A"/>
    <w:rsid w:val="62DD7D21"/>
    <w:rsid w:val="62F92E8C"/>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33EDD"/>
    <w:rsid w:val="66CC12D7"/>
    <w:rsid w:val="67134CEF"/>
    <w:rsid w:val="671F1ABD"/>
    <w:rsid w:val="67521A59"/>
    <w:rsid w:val="67C304AB"/>
    <w:rsid w:val="68183DB4"/>
    <w:rsid w:val="683F0658"/>
    <w:rsid w:val="688B41A9"/>
    <w:rsid w:val="689C6793"/>
    <w:rsid w:val="68DB0208"/>
    <w:rsid w:val="68FB170C"/>
    <w:rsid w:val="691B3D98"/>
    <w:rsid w:val="693748F0"/>
    <w:rsid w:val="69846A0E"/>
    <w:rsid w:val="69AD798C"/>
    <w:rsid w:val="69D005C0"/>
    <w:rsid w:val="69D80B96"/>
    <w:rsid w:val="6AF24D91"/>
    <w:rsid w:val="6B68175F"/>
    <w:rsid w:val="6BFD799F"/>
    <w:rsid w:val="6C4A2E5A"/>
    <w:rsid w:val="6C8138D0"/>
    <w:rsid w:val="6CEF0725"/>
    <w:rsid w:val="6D0B038C"/>
    <w:rsid w:val="6D4B2604"/>
    <w:rsid w:val="6D8030E4"/>
    <w:rsid w:val="6DC01176"/>
    <w:rsid w:val="6DD442CF"/>
    <w:rsid w:val="6E0E35C4"/>
    <w:rsid w:val="6E0F7A08"/>
    <w:rsid w:val="6E3947F5"/>
    <w:rsid w:val="6E421B8B"/>
    <w:rsid w:val="6E9C74ED"/>
    <w:rsid w:val="6EF72976"/>
    <w:rsid w:val="6F362C8F"/>
    <w:rsid w:val="6F795A80"/>
    <w:rsid w:val="6F7C1D2E"/>
    <w:rsid w:val="6F8E0407"/>
    <w:rsid w:val="6FDD069F"/>
    <w:rsid w:val="702B4D16"/>
    <w:rsid w:val="70AA6621"/>
    <w:rsid w:val="7111480F"/>
    <w:rsid w:val="71261F49"/>
    <w:rsid w:val="712E6956"/>
    <w:rsid w:val="71473612"/>
    <w:rsid w:val="71504F32"/>
    <w:rsid w:val="7152309F"/>
    <w:rsid w:val="718F7F65"/>
    <w:rsid w:val="7205184D"/>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16A13"/>
    <w:rsid w:val="7616619B"/>
    <w:rsid w:val="76320737"/>
    <w:rsid w:val="76660D7C"/>
    <w:rsid w:val="766C5968"/>
    <w:rsid w:val="76BE0C8F"/>
    <w:rsid w:val="76CD53B2"/>
    <w:rsid w:val="76CF41D8"/>
    <w:rsid w:val="770719AC"/>
    <w:rsid w:val="776526CC"/>
    <w:rsid w:val="77A262E1"/>
    <w:rsid w:val="77B13C33"/>
    <w:rsid w:val="77ED6F44"/>
    <w:rsid w:val="77F45548"/>
    <w:rsid w:val="784E7CA6"/>
    <w:rsid w:val="78574801"/>
    <w:rsid w:val="7873527F"/>
    <w:rsid w:val="790A6425"/>
    <w:rsid w:val="790E2D96"/>
    <w:rsid w:val="79144124"/>
    <w:rsid w:val="791B54B2"/>
    <w:rsid w:val="795A0A34"/>
    <w:rsid w:val="797339C3"/>
    <w:rsid w:val="79D57D57"/>
    <w:rsid w:val="79F00650"/>
    <w:rsid w:val="7A5977C7"/>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keepLines/>
      <w:spacing w:before="260" w:after="260" w:line="416" w:lineRule="auto"/>
      <w:outlineLvl w:val="2"/>
    </w:pPr>
    <w:rPr>
      <w:b/>
      <w:bCs/>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5600</Words>
  <Characters>6481</Characters>
  <Lines>0</Lines>
  <Paragraphs>0</Paragraphs>
  <TotalTime>0</TotalTime>
  <ScaleCrop>false</ScaleCrop>
  <LinksUpToDate>false</LinksUpToDate>
  <CharactersWithSpaces>6493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Maripat-Mahmut</cp:lastModifiedBy>
  <dcterms:modified xsi:type="dcterms:W3CDTF">2024-11-14T09:29:24Z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8D79837B5D094B86A9D96D6881E7A4E7_13</vt:lpwstr>
  </property>
</Properties>
</file>