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664C7">
      <w:pPr>
        <w:jc w:val="center"/>
        <w:rPr>
          <w:rFonts w:ascii="宋体" w:hAnsi="宋体" w:eastAsia="宋体" w:cs="Arial"/>
          <w:b/>
          <w:bCs/>
          <w:sz w:val="48"/>
          <w:szCs w:val="48"/>
        </w:rPr>
      </w:pPr>
    </w:p>
    <w:p w14:paraId="739275A2">
      <w:pPr>
        <w:jc w:val="center"/>
        <w:rPr>
          <w:rFonts w:ascii="宋体" w:hAnsi="宋体" w:eastAsia="宋体" w:cs="Arial"/>
          <w:b/>
          <w:bCs/>
          <w:sz w:val="48"/>
          <w:szCs w:val="48"/>
        </w:rPr>
      </w:pPr>
    </w:p>
    <w:p w14:paraId="3923D51F">
      <w:pPr>
        <w:jc w:val="center"/>
        <w:rPr>
          <w:rFonts w:ascii="宋体" w:hAnsi="宋体" w:eastAsia="宋体" w:cs="Arial"/>
          <w:b/>
          <w:bCs/>
          <w:sz w:val="48"/>
          <w:szCs w:val="48"/>
        </w:rPr>
      </w:pPr>
    </w:p>
    <w:p w14:paraId="3F8F2DEF">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14:paraId="739A8DE8">
      <w:pPr>
        <w:jc w:val="center"/>
        <w:rPr>
          <w:rFonts w:ascii="宋体" w:hAnsi="宋体" w:eastAsia="宋体" w:cs="Arial"/>
          <w:b/>
          <w:bCs/>
          <w:sz w:val="48"/>
          <w:szCs w:val="48"/>
        </w:rPr>
      </w:pPr>
    </w:p>
    <w:p w14:paraId="74AC5DAF">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3</w:t>
      </w:r>
      <w:r>
        <w:rPr>
          <w:rFonts w:hint="eastAsia" w:ascii="方正小标宋简体" w:hAnsi="方正小标宋简体" w:eastAsia="方正小标宋简体" w:cs="方正小标宋简体"/>
          <w:color w:val="000000"/>
          <w:kern w:val="0"/>
          <w:sz w:val="36"/>
          <w:szCs w:val="36"/>
        </w:rPr>
        <w:t>年度）</w:t>
      </w:r>
    </w:p>
    <w:p w14:paraId="62849C06">
      <w:pPr>
        <w:spacing w:line="480" w:lineRule="auto"/>
        <w:jc w:val="center"/>
        <w:rPr>
          <w:rFonts w:ascii="仿宋_GB2312" w:hAnsi="仿宋_GB2312" w:cs="仿宋_GB2312"/>
          <w:b/>
          <w:kern w:val="0"/>
          <w:sz w:val="50"/>
          <w:szCs w:val="50"/>
          <w:lang w:bidi="en-US"/>
        </w:rPr>
      </w:pPr>
    </w:p>
    <w:p w14:paraId="38A9A37C">
      <w:pPr>
        <w:spacing w:line="480" w:lineRule="auto"/>
        <w:jc w:val="center"/>
        <w:rPr>
          <w:rFonts w:ascii="仿宋_GB2312" w:hAnsi="仿宋_GB2312" w:cs="仿宋_GB2312"/>
          <w:b/>
          <w:kern w:val="0"/>
          <w:sz w:val="50"/>
          <w:szCs w:val="50"/>
          <w:lang w:bidi="en-US"/>
        </w:rPr>
      </w:pPr>
    </w:p>
    <w:p w14:paraId="7AF1DF96">
      <w:pPr>
        <w:spacing w:line="480" w:lineRule="auto"/>
        <w:jc w:val="center"/>
        <w:rPr>
          <w:rFonts w:ascii="仿宋_GB2312" w:hAnsi="仿宋_GB2312" w:cs="仿宋_GB2312"/>
          <w:b/>
          <w:kern w:val="0"/>
          <w:sz w:val="50"/>
          <w:szCs w:val="50"/>
          <w:lang w:bidi="en-US"/>
        </w:rPr>
      </w:pPr>
    </w:p>
    <w:p w14:paraId="7486EBA9">
      <w:pPr>
        <w:spacing w:line="480" w:lineRule="auto"/>
        <w:jc w:val="center"/>
        <w:rPr>
          <w:rFonts w:ascii="仿宋_GB2312" w:hAnsi="仿宋_GB2312" w:cs="仿宋_GB2312"/>
          <w:b/>
          <w:kern w:val="0"/>
          <w:sz w:val="50"/>
          <w:szCs w:val="50"/>
          <w:lang w:bidi="en-US"/>
        </w:rPr>
      </w:pPr>
    </w:p>
    <w:p w14:paraId="1F986AAA">
      <w:pPr>
        <w:spacing w:line="480" w:lineRule="auto"/>
        <w:jc w:val="center"/>
        <w:rPr>
          <w:rFonts w:ascii="仿宋_GB2312" w:hAnsi="仿宋_GB2312" w:cs="仿宋_GB2312"/>
          <w:b/>
          <w:kern w:val="0"/>
          <w:sz w:val="50"/>
          <w:szCs w:val="50"/>
          <w:lang w:bidi="en-US"/>
        </w:rPr>
      </w:pPr>
    </w:p>
    <w:p w14:paraId="0A99B712">
      <w:pPr>
        <w:spacing w:line="560" w:lineRule="exact"/>
        <w:ind w:firstLine="321" w:firstLineChars="100"/>
        <w:rPr>
          <w:rFonts w:hint="eastAsia" w:ascii="Times New Roman"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Times New Roman" w:hAnsi="宋体" w:eastAsia="仿宋_GB2312" w:cs="宋体"/>
          <w:kern w:val="0"/>
          <w:sz w:val="32"/>
          <w:szCs w:val="32"/>
          <w:lang w:val="en-US" w:eastAsia="zh-CN"/>
        </w:rPr>
        <w:t>瓶装液化气石油气相关企业监督抽查项目</w:t>
      </w:r>
    </w:p>
    <w:p w14:paraId="7347C9C5">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hAnsi="宋体" w:eastAsia="仿宋_GB2312" w:cs="宋体"/>
          <w:kern w:val="0"/>
          <w:sz w:val="32"/>
          <w:szCs w:val="32"/>
        </w:rPr>
        <w:t>自治区产品质量监督检验研究院</w:t>
      </w:r>
    </w:p>
    <w:p w14:paraId="0B701A39">
      <w:pPr>
        <w:spacing w:line="560" w:lineRule="exact"/>
        <w:ind w:firstLine="321" w:firstLineChars="100"/>
        <w:rPr>
          <w:rFonts w:hint="default" w:ascii="宋体"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hAnsi="宋体" w:eastAsia="仿宋_GB2312" w:cs="宋体"/>
          <w:kern w:val="0"/>
          <w:sz w:val="32"/>
          <w:szCs w:val="32"/>
        </w:rPr>
        <w:t>自治区市场</w:t>
      </w:r>
      <w:r>
        <w:rPr>
          <w:rFonts w:hint="eastAsia" w:hAnsi="宋体" w:cs="宋体"/>
          <w:kern w:val="0"/>
          <w:sz w:val="32"/>
          <w:szCs w:val="32"/>
          <w:lang w:val="en-US" w:eastAsia="zh-CN"/>
        </w:rPr>
        <w:t>监督管理局</w:t>
      </w:r>
    </w:p>
    <w:p w14:paraId="35D30642">
      <w:pPr>
        <w:spacing w:line="560" w:lineRule="exact"/>
        <w:ind w:firstLine="321" w:firstLineChars="100"/>
        <w:rPr>
          <w:rFonts w:hint="eastAsia" w:ascii="Times New Roman"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Times New Roman" w:hAnsi="宋体" w:eastAsia="仿宋_GB2312" w:cs="宋体"/>
          <w:kern w:val="0"/>
          <w:sz w:val="32"/>
          <w:szCs w:val="32"/>
          <w:lang w:val="en-US" w:eastAsia="zh-CN"/>
        </w:rPr>
        <w:t>黄河</w:t>
      </w:r>
    </w:p>
    <w:p w14:paraId="76D7476D">
      <w:pPr>
        <w:spacing w:line="560" w:lineRule="exact"/>
        <w:ind w:firstLine="321" w:firstLineChars="100"/>
        <w:rPr>
          <w:rFonts w:hint="eastAsia" w:ascii="Times New Roman"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填报时间：</w:t>
      </w:r>
      <w:r>
        <w:rPr>
          <w:rFonts w:hint="eastAsia" w:ascii="Times New Roman" w:hAnsi="宋体" w:eastAsia="仿宋_GB2312" w:cs="宋体"/>
          <w:kern w:val="0"/>
          <w:sz w:val="32"/>
          <w:szCs w:val="32"/>
          <w:lang w:val="en-US" w:eastAsia="zh-CN"/>
        </w:rPr>
        <w:t>2024年1月10日</w:t>
      </w:r>
    </w:p>
    <w:p w14:paraId="66723C0E">
      <w:pPr>
        <w:jc w:val="center"/>
        <w:rPr>
          <w:rFonts w:ascii="宋体" w:hAnsi="宋体" w:eastAsia="宋体" w:cs="Arial"/>
          <w:b/>
          <w:bCs/>
          <w:sz w:val="36"/>
          <w:szCs w:val="36"/>
        </w:rPr>
      </w:pPr>
    </w:p>
    <w:p w14:paraId="04F6501C">
      <w:pPr>
        <w:widowControl/>
        <w:jc w:val="left"/>
        <w:rPr>
          <w:rFonts w:ascii="宋体" w:hAnsi="宋体" w:eastAsia="宋体" w:cs="Arial"/>
          <w:b/>
          <w:bCs/>
          <w:sz w:val="36"/>
          <w:szCs w:val="36"/>
        </w:rPr>
      </w:pPr>
      <w:r>
        <w:rPr>
          <w:rFonts w:ascii="宋体" w:hAnsi="宋体" w:eastAsia="宋体" w:cs="Arial"/>
          <w:b/>
          <w:bCs/>
          <w:sz w:val="36"/>
          <w:szCs w:val="36"/>
        </w:rPr>
        <w:br w:type="page"/>
      </w:r>
    </w:p>
    <w:sdt>
      <w:sdtPr>
        <w:rPr>
          <w:rFonts w:ascii="Times New Roman" w:hAnsi="Times New Roman" w:eastAsia="仿宋_GB2312" w:cs="Times New Roman"/>
          <w:color w:val="auto"/>
          <w:kern w:val="2"/>
          <w:sz w:val="30"/>
          <w:szCs w:val="24"/>
          <w:lang w:val="zh-CN"/>
        </w:rPr>
        <w:id w:val="-514851075"/>
        <w:docPartObj>
          <w:docPartGallery w:val="Table of Contents"/>
          <w:docPartUnique/>
        </w:docPartObj>
      </w:sdtPr>
      <w:sdtEndPr>
        <w:rPr>
          <w:rFonts w:ascii="Times New Roman" w:hAnsi="Times New Roman" w:eastAsia="仿宋_GB2312" w:cs="Times New Roman"/>
          <w:b/>
          <w:bCs/>
          <w:color w:val="auto"/>
          <w:kern w:val="2"/>
          <w:sz w:val="30"/>
          <w:szCs w:val="24"/>
          <w:lang w:val="zh-CN"/>
        </w:rPr>
      </w:sdtEndPr>
      <w:sdtContent>
        <w:p w14:paraId="0FAE5E72">
          <w:pPr>
            <w:pStyle w:val="15"/>
            <w:jc w:val="center"/>
            <w:rPr>
              <w:rFonts w:ascii="宋体" w:hAnsi="宋体" w:eastAsia="宋体"/>
              <w:b/>
              <w:bCs/>
              <w:color w:val="auto"/>
              <w:lang w:val="zh-CN"/>
            </w:rPr>
          </w:pPr>
          <w:r>
            <w:rPr>
              <w:rFonts w:ascii="宋体" w:hAnsi="宋体" w:eastAsia="宋体"/>
              <w:b/>
              <w:bCs/>
              <w:color w:val="auto"/>
              <w:lang w:val="zh-CN"/>
            </w:rPr>
            <w:t>目录</w:t>
          </w:r>
        </w:p>
        <w:p w14:paraId="64549F2F">
          <w:pPr>
            <w:pStyle w:val="8"/>
            <w:tabs>
              <w:tab w:val="right" w:leader="dot" w:pos="8834"/>
            </w:tabs>
            <w:rPr>
              <w:rFonts w:cstheme="minorBidi"/>
              <w:kern w:val="2"/>
              <w:sz w:val="21"/>
            </w:rPr>
          </w:pPr>
          <w:r>
            <w:fldChar w:fldCharType="begin"/>
          </w:r>
          <w:r>
            <w:instrText xml:space="preserve"> TOC \o "1-3" \h \z \u </w:instrText>
          </w:r>
          <w:r>
            <w:fldChar w:fldCharType="separate"/>
          </w:r>
          <w:r>
            <w:fldChar w:fldCharType="begin"/>
          </w:r>
          <w:r>
            <w:instrText xml:space="preserve"> HYPERLINK \l "_Toc68702112" </w:instrText>
          </w:r>
          <w:r>
            <w:fldChar w:fldCharType="separate"/>
          </w:r>
          <w:r>
            <w:rPr>
              <w:rStyle w:val="14"/>
              <w:rFonts w:ascii="宋体" w:hAnsi="宋体" w:eastAsia="宋体"/>
            </w:rPr>
            <w:t>一、基本情况</w:t>
          </w:r>
          <w:r>
            <w:tab/>
          </w:r>
          <w:r>
            <w:fldChar w:fldCharType="begin"/>
          </w:r>
          <w:r>
            <w:instrText xml:space="preserve"> PAGEREF _Toc68702112 \h </w:instrText>
          </w:r>
          <w:r>
            <w:fldChar w:fldCharType="separate"/>
          </w:r>
          <w:r>
            <w:t>3</w:t>
          </w:r>
          <w:r>
            <w:fldChar w:fldCharType="end"/>
          </w:r>
          <w:r>
            <w:fldChar w:fldCharType="end"/>
          </w:r>
        </w:p>
        <w:p w14:paraId="2DBF09A6">
          <w:pPr>
            <w:pStyle w:val="9"/>
            <w:tabs>
              <w:tab w:val="right" w:leader="dot" w:pos="8834"/>
            </w:tabs>
            <w:rPr>
              <w:rFonts w:cstheme="minorBidi"/>
              <w:kern w:val="2"/>
              <w:sz w:val="21"/>
            </w:rPr>
          </w:pPr>
          <w:r>
            <w:fldChar w:fldCharType="begin"/>
          </w:r>
          <w:r>
            <w:instrText xml:space="preserve"> HYPERLINK \l "_Toc68702113" </w:instrText>
          </w:r>
          <w:r>
            <w:fldChar w:fldCharType="separate"/>
          </w:r>
          <w:r>
            <w:rPr>
              <w:rStyle w:val="14"/>
              <w:rFonts w:ascii="仿宋_GB2312" w:eastAsia="仿宋_GB2312"/>
            </w:rPr>
            <w:t>（一）项目概况。</w:t>
          </w:r>
          <w:r>
            <w:tab/>
          </w:r>
          <w:r>
            <w:fldChar w:fldCharType="begin"/>
          </w:r>
          <w:r>
            <w:instrText xml:space="preserve"> PAGEREF _Toc68702113 \h </w:instrText>
          </w:r>
          <w:r>
            <w:fldChar w:fldCharType="separate"/>
          </w:r>
          <w:r>
            <w:t>3</w:t>
          </w:r>
          <w:r>
            <w:fldChar w:fldCharType="end"/>
          </w:r>
          <w:r>
            <w:fldChar w:fldCharType="end"/>
          </w:r>
        </w:p>
        <w:p w14:paraId="13F11212">
          <w:pPr>
            <w:pStyle w:val="9"/>
            <w:tabs>
              <w:tab w:val="right" w:leader="dot" w:pos="8834"/>
            </w:tabs>
            <w:rPr>
              <w:rFonts w:cstheme="minorBidi"/>
              <w:kern w:val="2"/>
              <w:sz w:val="21"/>
            </w:rPr>
          </w:pPr>
          <w:r>
            <w:fldChar w:fldCharType="begin"/>
          </w:r>
          <w:r>
            <w:instrText xml:space="preserve"> HYPERLINK \l "_Toc68702114" </w:instrText>
          </w:r>
          <w:r>
            <w:fldChar w:fldCharType="separate"/>
          </w:r>
          <w:r>
            <w:rPr>
              <w:rStyle w:val="14"/>
              <w:rFonts w:ascii="仿宋_GB2312" w:eastAsia="仿宋_GB2312"/>
            </w:rPr>
            <w:t>（二）项目绩效目标。</w:t>
          </w:r>
          <w:r>
            <w:tab/>
          </w:r>
          <w:r>
            <w:fldChar w:fldCharType="begin"/>
          </w:r>
          <w:r>
            <w:instrText xml:space="preserve"> PAGEREF _Toc68702114 \h </w:instrText>
          </w:r>
          <w:r>
            <w:fldChar w:fldCharType="separate"/>
          </w:r>
          <w:r>
            <w:t>4</w:t>
          </w:r>
          <w:r>
            <w:fldChar w:fldCharType="end"/>
          </w:r>
          <w:r>
            <w:fldChar w:fldCharType="end"/>
          </w:r>
        </w:p>
        <w:p w14:paraId="5713AA86">
          <w:pPr>
            <w:pStyle w:val="8"/>
            <w:tabs>
              <w:tab w:val="right" w:leader="dot" w:pos="8834"/>
            </w:tabs>
            <w:rPr>
              <w:rFonts w:cstheme="minorBidi"/>
              <w:kern w:val="2"/>
              <w:sz w:val="21"/>
            </w:rPr>
          </w:pPr>
          <w:r>
            <w:fldChar w:fldCharType="begin"/>
          </w:r>
          <w:r>
            <w:instrText xml:space="preserve"> HYPERLINK \l "_Toc68702115" </w:instrText>
          </w:r>
          <w:r>
            <w:fldChar w:fldCharType="separate"/>
          </w:r>
          <w:r>
            <w:rPr>
              <w:rStyle w:val="14"/>
              <w:rFonts w:ascii="宋体" w:hAnsi="宋体" w:eastAsia="宋体"/>
            </w:rPr>
            <w:t>二、绩效评价工作开展情况</w:t>
          </w:r>
          <w:r>
            <w:tab/>
          </w:r>
          <w:r>
            <w:fldChar w:fldCharType="begin"/>
          </w:r>
          <w:r>
            <w:instrText xml:space="preserve"> PAGEREF _Toc68702115 \h </w:instrText>
          </w:r>
          <w:r>
            <w:fldChar w:fldCharType="separate"/>
          </w:r>
          <w:r>
            <w:t>4</w:t>
          </w:r>
          <w:r>
            <w:fldChar w:fldCharType="end"/>
          </w:r>
          <w:r>
            <w:fldChar w:fldCharType="end"/>
          </w:r>
        </w:p>
        <w:p w14:paraId="23D294BD">
          <w:pPr>
            <w:pStyle w:val="9"/>
            <w:tabs>
              <w:tab w:val="right" w:leader="dot" w:pos="8834"/>
            </w:tabs>
            <w:rPr>
              <w:rFonts w:cstheme="minorBidi"/>
              <w:kern w:val="2"/>
              <w:sz w:val="21"/>
            </w:rPr>
          </w:pPr>
          <w:r>
            <w:fldChar w:fldCharType="begin"/>
          </w:r>
          <w:r>
            <w:instrText xml:space="preserve"> HYPERLINK \l "_Toc68702116" </w:instrText>
          </w:r>
          <w:r>
            <w:fldChar w:fldCharType="separate"/>
          </w:r>
          <w:r>
            <w:rPr>
              <w:rStyle w:val="14"/>
              <w:rFonts w:ascii="仿宋_GB2312" w:eastAsia="仿宋_GB2312"/>
            </w:rPr>
            <w:t>（一）绩效评价目的、对象和范围。</w:t>
          </w:r>
          <w:r>
            <w:tab/>
          </w:r>
          <w:r>
            <w:fldChar w:fldCharType="begin"/>
          </w:r>
          <w:r>
            <w:instrText xml:space="preserve"> PAGEREF _Toc68702116 \h </w:instrText>
          </w:r>
          <w:r>
            <w:fldChar w:fldCharType="separate"/>
          </w:r>
          <w:r>
            <w:t>4</w:t>
          </w:r>
          <w:r>
            <w:fldChar w:fldCharType="end"/>
          </w:r>
          <w:r>
            <w:fldChar w:fldCharType="end"/>
          </w:r>
        </w:p>
        <w:p w14:paraId="3812D544">
          <w:pPr>
            <w:pStyle w:val="9"/>
            <w:tabs>
              <w:tab w:val="right" w:leader="dot" w:pos="8834"/>
            </w:tabs>
            <w:rPr>
              <w:rFonts w:cstheme="minorBidi"/>
              <w:kern w:val="2"/>
              <w:sz w:val="21"/>
            </w:rPr>
          </w:pPr>
          <w:r>
            <w:fldChar w:fldCharType="begin"/>
          </w:r>
          <w:r>
            <w:instrText xml:space="preserve"> HYPERLINK \l "_Toc68702117" </w:instrText>
          </w:r>
          <w:r>
            <w:fldChar w:fldCharType="separate"/>
          </w:r>
          <w:r>
            <w:rPr>
              <w:rStyle w:val="14"/>
              <w:rFonts w:ascii="仿宋_GB2312" w:eastAsia="仿宋_GB2312"/>
            </w:rPr>
            <w:t>（二）绩效评价原则、评价指标体系、评价方法、评价标准等。</w:t>
          </w:r>
          <w:r>
            <w:tab/>
          </w:r>
          <w:r>
            <w:fldChar w:fldCharType="begin"/>
          </w:r>
          <w:r>
            <w:instrText xml:space="preserve"> PAGEREF _Toc68702117 \h </w:instrText>
          </w:r>
          <w:r>
            <w:fldChar w:fldCharType="separate"/>
          </w:r>
          <w:r>
            <w:t>5</w:t>
          </w:r>
          <w:r>
            <w:fldChar w:fldCharType="end"/>
          </w:r>
          <w:r>
            <w:fldChar w:fldCharType="end"/>
          </w:r>
        </w:p>
        <w:p w14:paraId="13160DC7">
          <w:pPr>
            <w:pStyle w:val="9"/>
            <w:tabs>
              <w:tab w:val="right" w:leader="dot" w:pos="8834"/>
            </w:tabs>
            <w:rPr>
              <w:rFonts w:cstheme="minorBidi"/>
              <w:kern w:val="2"/>
              <w:sz w:val="21"/>
            </w:rPr>
          </w:pPr>
          <w:r>
            <w:fldChar w:fldCharType="begin"/>
          </w:r>
          <w:r>
            <w:instrText xml:space="preserve"> HYPERLINK \l "_Toc68702118" </w:instrText>
          </w:r>
          <w:r>
            <w:fldChar w:fldCharType="separate"/>
          </w:r>
          <w:r>
            <w:rPr>
              <w:rStyle w:val="14"/>
              <w:rFonts w:ascii="仿宋_GB2312" w:eastAsia="仿宋_GB2312"/>
            </w:rPr>
            <w:t>（三）绩效评价工作过程。</w:t>
          </w:r>
          <w:r>
            <w:tab/>
          </w:r>
          <w:r>
            <w:fldChar w:fldCharType="begin"/>
          </w:r>
          <w:r>
            <w:instrText xml:space="preserve"> PAGEREF _Toc68702118 \h </w:instrText>
          </w:r>
          <w:r>
            <w:fldChar w:fldCharType="separate"/>
          </w:r>
          <w:r>
            <w:t>11</w:t>
          </w:r>
          <w:r>
            <w:fldChar w:fldCharType="end"/>
          </w:r>
          <w:r>
            <w:fldChar w:fldCharType="end"/>
          </w:r>
        </w:p>
        <w:p w14:paraId="2D850AEE">
          <w:pPr>
            <w:pStyle w:val="8"/>
            <w:tabs>
              <w:tab w:val="right" w:leader="dot" w:pos="8834"/>
            </w:tabs>
            <w:rPr>
              <w:rFonts w:cstheme="minorBidi"/>
              <w:kern w:val="2"/>
              <w:sz w:val="21"/>
            </w:rPr>
          </w:pPr>
          <w:r>
            <w:fldChar w:fldCharType="begin"/>
          </w:r>
          <w:r>
            <w:instrText xml:space="preserve"> HYPERLINK \l "_Toc68702119" </w:instrText>
          </w:r>
          <w:r>
            <w:fldChar w:fldCharType="separate"/>
          </w:r>
          <w:r>
            <w:rPr>
              <w:rStyle w:val="14"/>
              <w:rFonts w:ascii="宋体" w:hAnsi="宋体" w:eastAsia="宋体"/>
            </w:rPr>
            <w:t>三、综合评价情况及评价结论</w:t>
          </w:r>
          <w:r>
            <w:tab/>
          </w:r>
          <w:r>
            <w:fldChar w:fldCharType="begin"/>
          </w:r>
          <w:r>
            <w:instrText xml:space="preserve"> PAGEREF _Toc68702119 \h </w:instrText>
          </w:r>
          <w:r>
            <w:fldChar w:fldCharType="separate"/>
          </w:r>
          <w:r>
            <w:t>12</w:t>
          </w:r>
          <w:r>
            <w:fldChar w:fldCharType="end"/>
          </w:r>
          <w:r>
            <w:fldChar w:fldCharType="end"/>
          </w:r>
        </w:p>
        <w:p w14:paraId="72B9FEA1">
          <w:pPr>
            <w:pStyle w:val="9"/>
            <w:tabs>
              <w:tab w:val="right" w:leader="dot" w:pos="8834"/>
            </w:tabs>
            <w:rPr>
              <w:rFonts w:cstheme="minorBidi"/>
              <w:kern w:val="2"/>
              <w:sz w:val="21"/>
            </w:rPr>
          </w:pPr>
          <w:r>
            <w:fldChar w:fldCharType="begin"/>
          </w:r>
          <w:r>
            <w:instrText xml:space="preserve"> HYPERLINK \l "_Toc68702120" </w:instrText>
          </w:r>
          <w:r>
            <w:fldChar w:fldCharType="separate"/>
          </w:r>
          <w:r>
            <w:rPr>
              <w:rStyle w:val="14"/>
              <w:rFonts w:ascii="仿宋_GB2312" w:eastAsia="仿宋_GB2312"/>
            </w:rPr>
            <w:t>（一）综合评价情况</w:t>
          </w:r>
          <w:r>
            <w:tab/>
          </w:r>
          <w:r>
            <w:fldChar w:fldCharType="begin"/>
          </w:r>
          <w:r>
            <w:instrText xml:space="preserve"> PAGEREF _Toc68702120 \h </w:instrText>
          </w:r>
          <w:r>
            <w:fldChar w:fldCharType="separate"/>
          </w:r>
          <w:r>
            <w:t>12</w:t>
          </w:r>
          <w:r>
            <w:fldChar w:fldCharType="end"/>
          </w:r>
          <w:r>
            <w:fldChar w:fldCharType="end"/>
          </w:r>
        </w:p>
        <w:p w14:paraId="2EC51AED">
          <w:pPr>
            <w:pStyle w:val="9"/>
            <w:tabs>
              <w:tab w:val="right" w:leader="dot" w:pos="8834"/>
            </w:tabs>
            <w:rPr>
              <w:rFonts w:cstheme="minorBidi"/>
              <w:kern w:val="2"/>
              <w:sz w:val="21"/>
            </w:rPr>
          </w:pPr>
          <w:r>
            <w:fldChar w:fldCharType="begin"/>
          </w:r>
          <w:r>
            <w:instrText xml:space="preserve"> HYPERLINK \l "_Toc68702121" </w:instrText>
          </w:r>
          <w:r>
            <w:fldChar w:fldCharType="separate"/>
          </w:r>
          <w:r>
            <w:rPr>
              <w:rStyle w:val="14"/>
              <w:rFonts w:ascii="仿宋_GB2312" w:eastAsia="仿宋_GB2312"/>
            </w:rPr>
            <w:t>（二）评价结论</w:t>
          </w:r>
          <w:r>
            <w:tab/>
          </w:r>
          <w:r>
            <w:fldChar w:fldCharType="begin"/>
          </w:r>
          <w:r>
            <w:instrText xml:space="preserve"> PAGEREF _Toc68702121 \h </w:instrText>
          </w:r>
          <w:r>
            <w:fldChar w:fldCharType="separate"/>
          </w:r>
          <w:r>
            <w:t>13</w:t>
          </w:r>
          <w:r>
            <w:fldChar w:fldCharType="end"/>
          </w:r>
          <w:r>
            <w:fldChar w:fldCharType="end"/>
          </w:r>
        </w:p>
        <w:p w14:paraId="48036D1F">
          <w:pPr>
            <w:pStyle w:val="8"/>
            <w:tabs>
              <w:tab w:val="right" w:leader="dot" w:pos="8834"/>
            </w:tabs>
            <w:rPr>
              <w:rFonts w:cstheme="minorBidi"/>
              <w:kern w:val="2"/>
              <w:sz w:val="21"/>
            </w:rPr>
          </w:pPr>
          <w:r>
            <w:fldChar w:fldCharType="begin"/>
          </w:r>
          <w:r>
            <w:instrText xml:space="preserve"> HYPERLINK \l "_Toc68702122" </w:instrText>
          </w:r>
          <w:r>
            <w:fldChar w:fldCharType="separate"/>
          </w:r>
          <w:r>
            <w:rPr>
              <w:rStyle w:val="14"/>
              <w:rFonts w:ascii="宋体" w:hAnsi="宋体" w:eastAsia="宋体"/>
            </w:rPr>
            <w:t>四、绩效评价指标分析</w:t>
          </w:r>
          <w:r>
            <w:tab/>
          </w:r>
          <w:r>
            <w:fldChar w:fldCharType="begin"/>
          </w:r>
          <w:r>
            <w:instrText xml:space="preserve"> PAGEREF _Toc68702122 \h </w:instrText>
          </w:r>
          <w:r>
            <w:fldChar w:fldCharType="separate"/>
          </w:r>
          <w:r>
            <w:t>13</w:t>
          </w:r>
          <w:r>
            <w:fldChar w:fldCharType="end"/>
          </w:r>
          <w:r>
            <w:fldChar w:fldCharType="end"/>
          </w:r>
        </w:p>
        <w:p w14:paraId="57EB8B8D">
          <w:pPr>
            <w:pStyle w:val="9"/>
            <w:tabs>
              <w:tab w:val="right" w:leader="dot" w:pos="8834"/>
            </w:tabs>
            <w:rPr>
              <w:rFonts w:cstheme="minorBidi"/>
              <w:kern w:val="2"/>
              <w:sz w:val="21"/>
            </w:rPr>
          </w:pPr>
          <w:r>
            <w:fldChar w:fldCharType="begin"/>
          </w:r>
          <w:r>
            <w:instrText xml:space="preserve"> HYPERLINK \l "_Toc68702123" </w:instrText>
          </w:r>
          <w:r>
            <w:fldChar w:fldCharType="separate"/>
          </w:r>
          <w:r>
            <w:rPr>
              <w:rStyle w:val="14"/>
              <w:rFonts w:ascii="仿宋_GB2312" w:eastAsia="仿宋_GB2312"/>
            </w:rPr>
            <w:t>（一）项目决策情况。</w:t>
          </w:r>
          <w:r>
            <w:tab/>
          </w:r>
          <w:r>
            <w:fldChar w:fldCharType="begin"/>
          </w:r>
          <w:r>
            <w:instrText xml:space="preserve"> PAGEREF _Toc68702123 \h </w:instrText>
          </w:r>
          <w:r>
            <w:fldChar w:fldCharType="separate"/>
          </w:r>
          <w:r>
            <w:t>13</w:t>
          </w:r>
          <w:r>
            <w:fldChar w:fldCharType="end"/>
          </w:r>
          <w:r>
            <w:fldChar w:fldCharType="end"/>
          </w:r>
        </w:p>
        <w:p w14:paraId="16F9ECF0">
          <w:pPr>
            <w:pStyle w:val="9"/>
            <w:tabs>
              <w:tab w:val="right" w:leader="dot" w:pos="8834"/>
            </w:tabs>
            <w:rPr>
              <w:rFonts w:cstheme="minorBidi"/>
              <w:kern w:val="2"/>
              <w:sz w:val="21"/>
            </w:rPr>
          </w:pPr>
          <w:r>
            <w:fldChar w:fldCharType="begin"/>
          </w:r>
          <w:r>
            <w:instrText xml:space="preserve"> HYPERLINK \l "_Toc68702124" </w:instrText>
          </w:r>
          <w:r>
            <w:fldChar w:fldCharType="separate"/>
          </w:r>
          <w:r>
            <w:rPr>
              <w:rStyle w:val="14"/>
              <w:rFonts w:ascii="仿宋_GB2312" w:eastAsia="仿宋_GB2312"/>
            </w:rPr>
            <w:t>（二）项目过程情况。</w:t>
          </w:r>
          <w:r>
            <w:tab/>
          </w:r>
          <w:r>
            <w:fldChar w:fldCharType="begin"/>
          </w:r>
          <w:r>
            <w:instrText xml:space="preserve"> PAGEREF _Toc68702124 \h </w:instrText>
          </w:r>
          <w:r>
            <w:fldChar w:fldCharType="separate"/>
          </w:r>
          <w:r>
            <w:t>15</w:t>
          </w:r>
          <w:r>
            <w:fldChar w:fldCharType="end"/>
          </w:r>
          <w:r>
            <w:fldChar w:fldCharType="end"/>
          </w:r>
        </w:p>
        <w:p w14:paraId="72705166">
          <w:pPr>
            <w:pStyle w:val="9"/>
            <w:tabs>
              <w:tab w:val="right" w:leader="dot" w:pos="8834"/>
            </w:tabs>
            <w:rPr>
              <w:rFonts w:cstheme="minorBidi"/>
              <w:kern w:val="2"/>
              <w:sz w:val="21"/>
            </w:rPr>
          </w:pPr>
          <w:r>
            <w:fldChar w:fldCharType="begin"/>
          </w:r>
          <w:r>
            <w:instrText xml:space="preserve"> HYPERLINK \l "_Toc68702125" </w:instrText>
          </w:r>
          <w:r>
            <w:fldChar w:fldCharType="separate"/>
          </w:r>
          <w:r>
            <w:rPr>
              <w:rStyle w:val="14"/>
              <w:rFonts w:ascii="仿宋_GB2312" w:eastAsia="仿宋_GB2312"/>
            </w:rPr>
            <w:t>（三）项目产出情况。</w:t>
          </w:r>
          <w:r>
            <w:tab/>
          </w:r>
          <w:r>
            <w:fldChar w:fldCharType="begin"/>
          </w:r>
          <w:r>
            <w:instrText xml:space="preserve"> PAGEREF _Toc68702125 \h </w:instrText>
          </w:r>
          <w:r>
            <w:fldChar w:fldCharType="separate"/>
          </w:r>
          <w:r>
            <w:t>16</w:t>
          </w:r>
          <w:r>
            <w:fldChar w:fldCharType="end"/>
          </w:r>
          <w:r>
            <w:fldChar w:fldCharType="end"/>
          </w:r>
        </w:p>
        <w:p w14:paraId="30B92B10">
          <w:pPr>
            <w:pStyle w:val="9"/>
            <w:tabs>
              <w:tab w:val="right" w:leader="dot" w:pos="8834"/>
            </w:tabs>
            <w:rPr>
              <w:rFonts w:cstheme="minorBidi"/>
              <w:kern w:val="2"/>
              <w:sz w:val="21"/>
            </w:rPr>
          </w:pPr>
          <w:r>
            <w:fldChar w:fldCharType="begin"/>
          </w:r>
          <w:r>
            <w:instrText xml:space="preserve"> HYPERLINK \l "_Toc68702126" </w:instrText>
          </w:r>
          <w:r>
            <w:fldChar w:fldCharType="separate"/>
          </w:r>
          <w:r>
            <w:rPr>
              <w:rStyle w:val="14"/>
              <w:rFonts w:ascii="仿宋_GB2312" w:eastAsia="仿宋_GB2312"/>
            </w:rPr>
            <w:t>（四）项目效益情况。</w:t>
          </w:r>
          <w:r>
            <w:tab/>
          </w:r>
          <w:r>
            <w:fldChar w:fldCharType="begin"/>
          </w:r>
          <w:r>
            <w:instrText xml:space="preserve"> PAGEREF _Toc68702126 \h </w:instrText>
          </w:r>
          <w:r>
            <w:fldChar w:fldCharType="separate"/>
          </w:r>
          <w:r>
            <w:t>17</w:t>
          </w:r>
          <w:r>
            <w:fldChar w:fldCharType="end"/>
          </w:r>
          <w:r>
            <w:fldChar w:fldCharType="end"/>
          </w:r>
        </w:p>
        <w:p w14:paraId="6482837B">
          <w:pPr>
            <w:pStyle w:val="8"/>
            <w:tabs>
              <w:tab w:val="right" w:leader="dot" w:pos="8834"/>
            </w:tabs>
            <w:rPr>
              <w:rFonts w:cstheme="minorBidi"/>
              <w:kern w:val="2"/>
              <w:sz w:val="21"/>
            </w:rPr>
          </w:pPr>
          <w:r>
            <w:fldChar w:fldCharType="begin"/>
          </w:r>
          <w:r>
            <w:instrText xml:space="preserve"> HYPERLINK \l "_Toc68702127" </w:instrText>
          </w:r>
          <w:r>
            <w:fldChar w:fldCharType="separate"/>
          </w:r>
          <w:r>
            <w:rPr>
              <w:rStyle w:val="14"/>
              <w:rFonts w:ascii="宋体" w:hAnsi="宋体" w:eastAsia="宋体"/>
            </w:rPr>
            <w:t>五、主要经验及做法、存在的问题及原因分析</w:t>
          </w:r>
          <w:r>
            <w:tab/>
          </w:r>
          <w:r>
            <w:fldChar w:fldCharType="begin"/>
          </w:r>
          <w:r>
            <w:instrText xml:space="preserve"> PAGEREF _Toc68702127 \h </w:instrText>
          </w:r>
          <w:r>
            <w:fldChar w:fldCharType="separate"/>
          </w:r>
          <w:r>
            <w:t>18</w:t>
          </w:r>
          <w:r>
            <w:fldChar w:fldCharType="end"/>
          </w:r>
          <w:r>
            <w:fldChar w:fldCharType="end"/>
          </w:r>
        </w:p>
        <w:p w14:paraId="265AEE6F">
          <w:pPr>
            <w:pStyle w:val="9"/>
            <w:tabs>
              <w:tab w:val="right" w:leader="dot" w:pos="8834"/>
            </w:tabs>
            <w:rPr>
              <w:rFonts w:cstheme="minorBidi"/>
              <w:kern w:val="2"/>
              <w:sz w:val="21"/>
            </w:rPr>
          </w:pPr>
          <w:r>
            <w:fldChar w:fldCharType="begin"/>
          </w:r>
          <w:r>
            <w:instrText xml:space="preserve"> HYPERLINK \l "_Toc68702128" </w:instrText>
          </w:r>
          <w:r>
            <w:fldChar w:fldCharType="separate"/>
          </w:r>
          <w:r>
            <w:rPr>
              <w:rStyle w:val="14"/>
              <w:rFonts w:ascii="仿宋_GB2312" w:eastAsia="仿宋_GB2312"/>
            </w:rPr>
            <w:t>（一）主要经验及做法</w:t>
          </w:r>
          <w:r>
            <w:tab/>
          </w:r>
          <w:r>
            <w:fldChar w:fldCharType="begin"/>
          </w:r>
          <w:r>
            <w:instrText xml:space="preserve"> PAGEREF _Toc68702128 \h </w:instrText>
          </w:r>
          <w:r>
            <w:fldChar w:fldCharType="separate"/>
          </w:r>
          <w:r>
            <w:t>18</w:t>
          </w:r>
          <w:r>
            <w:fldChar w:fldCharType="end"/>
          </w:r>
          <w:r>
            <w:fldChar w:fldCharType="end"/>
          </w:r>
        </w:p>
        <w:p w14:paraId="47FFBE7D">
          <w:pPr>
            <w:pStyle w:val="9"/>
            <w:tabs>
              <w:tab w:val="right" w:leader="dot" w:pos="8834"/>
            </w:tabs>
            <w:rPr>
              <w:rFonts w:cstheme="minorBidi"/>
              <w:kern w:val="2"/>
              <w:sz w:val="21"/>
            </w:rPr>
          </w:pPr>
          <w:r>
            <w:fldChar w:fldCharType="begin"/>
          </w:r>
          <w:r>
            <w:instrText xml:space="preserve"> HYPERLINK \l "_Toc68702129" </w:instrText>
          </w:r>
          <w:r>
            <w:fldChar w:fldCharType="separate"/>
          </w:r>
          <w:r>
            <w:rPr>
              <w:rStyle w:val="14"/>
              <w:rFonts w:ascii="仿宋_GB2312" w:eastAsia="仿宋_GB2312"/>
            </w:rPr>
            <w:t>（二）存在的问题及原因分析</w:t>
          </w:r>
          <w:r>
            <w:tab/>
          </w:r>
          <w:r>
            <w:fldChar w:fldCharType="begin"/>
          </w:r>
          <w:r>
            <w:instrText xml:space="preserve"> PAGEREF _Toc68702129 \h </w:instrText>
          </w:r>
          <w:r>
            <w:fldChar w:fldCharType="separate"/>
          </w:r>
          <w:r>
            <w:t>18</w:t>
          </w:r>
          <w:r>
            <w:fldChar w:fldCharType="end"/>
          </w:r>
          <w:r>
            <w:fldChar w:fldCharType="end"/>
          </w:r>
        </w:p>
        <w:p w14:paraId="0097BE8A">
          <w:pPr>
            <w:pStyle w:val="8"/>
            <w:tabs>
              <w:tab w:val="right" w:leader="dot" w:pos="8834"/>
            </w:tabs>
            <w:rPr>
              <w:rFonts w:cstheme="minorBidi"/>
              <w:kern w:val="2"/>
              <w:sz w:val="21"/>
            </w:rPr>
          </w:pPr>
          <w:r>
            <w:fldChar w:fldCharType="begin"/>
          </w:r>
          <w:r>
            <w:instrText xml:space="preserve"> HYPERLINK \l "_Toc68702130" </w:instrText>
          </w:r>
          <w:r>
            <w:fldChar w:fldCharType="separate"/>
          </w:r>
          <w:r>
            <w:rPr>
              <w:rStyle w:val="14"/>
              <w:rFonts w:ascii="宋体" w:hAnsi="宋体" w:eastAsia="宋体"/>
            </w:rPr>
            <w:t>六、有关建议</w:t>
          </w:r>
          <w:r>
            <w:tab/>
          </w:r>
          <w:r>
            <w:fldChar w:fldCharType="begin"/>
          </w:r>
          <w:r>
            <w:instrText xml:space="preserve"> PAGEREF _Toc68702130 \h </w:instrText>
          </w:r>
          <w:r>
            <w:fldChar w:fldCharType="separate"/>
          </w:r>
          <w:r>
            <w:t>18</w:t>
          </w:r>
          <w:r>
            <w:fldChar w:fldCharType="end"/>
          </w:r>
          <w:r>
            <w:fldChar w:fldCharType="end"/>
          </w:r>
        </w:p>
        <w:p w14:paraId="04B18719">
          <w:pPr>
            <w:pStyle w:val="8"/>
            <w:tabs>
              <w:tab w:val="right" w:leader="dot" w:pos="8834"/>
            </w:tabs>
            <w:rPr>
              <w:rFonts w:cstheme="minorBidi"/>
              <w:kern w:val="2"/>
              <w:sz w:val="21"/>
            </w:rPr>
          </w:pPr>
          <w:r>
            <w:fldChar w:fldCharType="begin"/>
          </w:r>
          <w:r>
            <w:instrText xml:space="preserve"> HYPERLINK \l "_Toc68702131" </w:instrText>
          </w:r>
          <w:r>
            <w:fldChar w:fldCharType="separate"/>
          </w:r>
          <w:r>
            <w:rPr>
              <w:rStyle w:val="14"/>
              <w:rFonts w:ascii="宋体" w:hAnsi="宋体" w:eastAsia="宋体"/>
            </w:rPr>
            <w:t>七、其他需要说明的问题</w:t>
          </w:r>
          <w:r>
            <w:tab/>
          </w:r>
          <w:r>
            <w:fldChar w:fldCharType="begin"/>
          </w:r>
          <w:r>
            <w:instrText xml:space="preserve"> PAGEREF _Toc68702131 \h </w:instrText>
          </w:r>
          <w:r>
            <w:fldChar w:fldCharType="separate"/>
          </w:r>
          <w:r>
            <w:t>18</w:t>
          </w:r>
          <w:r>
            <w:fldChar w:fldCharType="end"/>
          </w:r>
          <w:r>
            <w:fldChar w:fldCharType="end"/>
          </w:r>
        </w:p>
        <w:p w14:paraId="015749CC">
          <w:r>
            <w:rPr>
              <w:b/>
              <w:bCs/>
              <w:lang w:val="zh-CN"/>
            </w:rPr>
            <w:fldChar w:fldCharType="end"/>
          </w:r>
        </w:p>
      </w:sdtContent>
    </w:sdt>
    <w:p w14:paraId="2C380818">
      <w:pPr>
        <w:widowControl/>
        <w:jc w:val="left"/>
        <w:rPr>
          <w:rFonts w:ascii="宋体" w:hAnsi="宋体" w:eastAsia="宋体" w:cs="Arial"/>
          <w:b/>
          <w:bCs/>
          <w:sz w:val="36"/>
          <w:szCs w:val="36"/>
        </w:rPr>
      </w:pPr>
      <w:r>
        <w:rPr>
          <w:rFonts w:ascii="宋体" w:hAnsi="宋体" w:eastAsia="宋体" w:cs="Arial"/>
          <w:b/>
          <w:bCs/>
          <w:sz w:val="36"/>
          <w:szCs w:val="36"/>
        </w:rPr>
        <w:br w:type="page"/>
      </w:r>
    </w:p>
    <w:p w14:paraId="7886BD77">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68E31F07">
      <w:pPr>
        <w:pStyle w:val="5"/>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32"/>
          <w:szCs w:val="32"/>
        </w:rPr>
      </w:pPr>
      <w:bookmarkStart w:id="0" w:name="_Toc68702112"/>
      <w:r>
        <w:rPr>
          <w:rFonts w:hint="eastAsia" w:ascii="宋体" w:hAnsi="宋体" w:eastAsia="宋体"/>
          <w:sz w:val="32"/>
          <w:szCs w:val="32"/>
        </w:rPr>
        <w:t>一、基本情况</w:t>
      </w:r>
      <w:bookmarkEnd w:id="0"/>
    </w:p>
    <w:p w14:paraId="2CDC37B2">
      <w:pPr>
        <w:pStyle w:val="6"/>
        <w:pageBreakBefore w:val="0"/>
        <w:widowControl w:val="0"/>
        <w:kinsoku/>
        <w:wordWrap/>
        <w:overflowPunct/>
        <w:topLinePunct w:val="0"/>
        <w:autoSpaceDE/>
        <w:autoSpaceDN/>
        <w:bidi w:val="0"/>
        <w:adjustRightInd/>
        <w:snapToGrid/>
        <w:spacing w:line="360" w:lineRule="auto"/>
        <w:textAlignment w:val="auto"/>
        <w:rPr>
          <w:rFonts w:ascii="仿宋_GB2312" w:eastAsia="仿宋_GB2312"/>
          <w:b w:val="0"/>
          <w:bCs w:val="0"/>
        </w:rPr>
      </w:pPr>
      <w:bookmarkStart w:id="1" w:name="_Toc68702113"/>
      <w:r>
        <w:rPr>
          <w:rFonts w:hint="eastAsia" w:ascii="仿宋_GB2312" w:eastAsia="仿宋_GB2312"/>
          <w:b w:val="0"/>
          <w:bCs w:val="0"/>
        </w:rPr>
        <w:t>（一）项目概况。</w:t>
      </w:r>
      <w:bookmarkEnd w:id="1"/>
    </w:p>
    <w:p w14:paraId="7AB17E7C">
      <w:pPr>
        <w:pageBreakBefore w:val="0"/>
        <w:widowControl w:val="0"/>
        <w:kinsoku/>
        <w:wordWrap/>
        <w:overflowPunct/>
        <w:topLinePunct w:val="0"/>
        <w:autoSpaceDE/>
        <w:autoSpaceDN/>
        <w:bidi w:val="0"/>
        <w:adjustRightInd/>
        <w:snapToGrid/>
        <w:spacing w:line="360" w:lineRule="auto"/>
        <w:ind w:firstLine="641"/>
        <w:textAlignment w:val="auto"/>
        <w:rPr>
          <w:b/>
          <w:bCs/>
          <w:sz w:val="32"/>
          <w:szCs w:val="32"/>
        </w:rPr>
      </w:pPr>
      <w:r>
        <w:rPr>
          <w:rFonts w:hint="eastAsia"/>
          <w:b/>
          <w:bCs/>
          <w:sz w:val="32"/>
          <w:szCs w:val="32"/>
        </w:rPr>
        <w:t>1、项目背景</w:t>
      </w:r>
    </w:p>
    <w:p w14:paraId="5B64937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outlineLvl w:val="0"/>
        <w:rPr>
          <w:rFonts w:hint="eastAsia"/>
          <w:b/>
          <w:bCs/>
          <w:sz w:val="32"/>
          <w:szCs w:val="32"/>
        </w:rPr>
      </w:pPr>
      <w:r>
        <w:rPr>
          <w:rFonts w:hint="eastAsia" w:ascii="仿宋_GB2312" w:hAnsi="Times New Roman" w:cs="Times New Roman"/>
        </w:rPr>
        <w:t>为加强</w:t>
      </w:r>
      <w:r>
        <w:rPr>
          <w:rFonts w:hint="eastAsia" w:ascii="仿宋_GB2312" w:hAnsi="Times New Roman" w:cs="Times New Roman"/>
          <w:lang w:val="en-US" w:eastAsia="zh-CN"/>
        </w:rPr>
        <w:t>燃气相关</w:t>
      </w:r>
      <w:r>
        <w:rPr>
          <w:rFonts w:hint="eastAsia" w:ascii="仿宋_GB2312" w:hAnsi="Times New Roman" w:cs="Times New Roman"/>
        </w:rPr>
        <w:t>产品质量监管，较好掌握自治区</w:t>
      </w:r>
      <w:r>
        <w:rPr>
          <w:rFonts w:hint="eastAsia" w:ascii="仿宋_GB2312" w:hAnsi="Times New Roman" w:cs="Times New Roman"/>
          <w:lang w:val="en-US" w:eastAsia="zh-CN"/>
        </w:rPr>
        <w:t>燃气相关</w:t>
      </w:r>
      <w:r>
        <w:rPr>
          <w:rFonts w:hint="eastAsia" w:ascii="仿宋_GB2312" w:hAnsi="Times New Roman" w:cs="Times New Roman"/>
        </w:rPr>
        <w:t>产品质量的总体状况，规范</w:t>
      </w:r>
      <w:r>
        <w:rPr>
          <w:rFonts w:hint="eastAsia" w:ascii="仿宋_GB2312" w:hAnsi="Times New Roman" w:cs="Times New Roman"/>
          <w:lang w:val="en-US" w:eastAsia="zh-CN"/>
        </w:rPr>
        <w:t>燃气相关</w:t>
      </w:r>
      <w:r>
        <w:rPr>
          <w:rFonts w:hint="eastAsia" w:ascii="仿宋_GB2312" w:hAnsi="Times New Roman" w:cs="Times New Roman"/>
        </w:rPr>
        <w:t>产品的生产销售行为，切实加强质量安全监管工作</w:t>
      </w:r>
      <w:r>
        <w:rPr>
          <w:rFonts w:hint="eastAsia" w:ascii="仿宋_GB2312" w:hAnsi="Times New Roman" w:cs="Times New Roman"/>
          <w:lang w:eastAsia="zh-CN"/>
        </w:rPr>
        <w:t>，</w:t>
      </w:r>
      <w:r>
        <w:rPr>
          <w:rFonts w:hint="eastAsia" w:ascii="仿宋_GB2312" w:hAnsi="Times New Roman" w:cs="Times New Roman"/>
        </w:rPr>
        <w:t>维护消费者的合法权益，按照《中华人民共和国产品质量法》和《产品质量监督抽查管理暂行办法</w:t>
      </w:r>
      <w:r>
        <w:rPr>
          <w:rFonts w:hint="eastAsia" w:ascii="仿宋_GB2312" w:cs="Times New Roman"/>
          <w:lang w:eastAsia="zh-CN"/>
        </w:rPr>
        <w:t>（</w:t>
      </w:r>
      <w:r>
        <w:rPr>
          <w:rFonts w:hint="eastAsia" w:ascii="仿宋_GB2312" w:hAnsi="Times New Roman" w:cs="Times New Roman"/>
        </w:rPr>
        <w:t>总局18号令</w:t>
      </w:r>
      <w:r>
        <w:rPr>
          <w:rFonts w:hint="eastAsia" w:ascii="仿宋_GB2312" w:cs="Times New Roman"/>
          <w:lang w:eastAsia="zh-CN"/>
        </w:rPr>
        <w:t>）</w:t>
      </w:r>
      <w:r>
        <w:rPr>
          <w:rFonts w:hint="eastAsia" w:ascii="仿宋_GB2312" w:hAnsi="Times New Roman" w:cs="Times New Roman"/>
        </w:rPr>
        <w:t>》的有关规定，</w:t>
      </w:r>
      <w:r>
        <w:rPr>
          <w:rFonts w:hint="eastAsia" w:ascii="仿宋_GB2312" w:cs="仿宋_GB2312"/>
        </w:rPr>
        <w:t>自治区市场监督管理局下发了《关于开展2023年液化石油气和燃气器具产品质量监督抽查工作的通知》（新市监办质监〔2023〕9号）</w:t>
      </w:r>
      <w:r>
        <w:rPr>
          <w:rFonts w:hint="eastAsia" w:ascii="仿宋_GB2312" w:cs="仿宋_GB2312"/>
          <w:lang w:val="en-US" w:eastAsia="zh-CN"/>
        </w:rPr>
        <w:t>文件</w:t>
      </w:r>
      <w:r>
        <w:rPr>
          <w:rFonts w:hint="eastAsia" w:ascii="仿宋_GB2312" w:cs="仿宋_GB2312"/>
        </w:rPr>
        <w:t>，对自治区辖区内</w:t>
      </w:r>
      <w:r>
        <w:rPr>
          <w:rFonts w:hint="eastAsia" w:ascii="仿宋_GB2312" w:cs="仿宋_GB2312"/>
          <w:lang w:val="en-US" w:eastAsia="zh-CN"/>
        </w:rPr>
        <w:t>生产及流通领域</w:t>
      </w:r>
      <w:r>
        <w:rPr>
          <w:rFonts w:hint="eastAsia" w:ascii="仿宋_GB2312" w:hAnsi="Times New Roman" w:cs="Times New Roman"/>
          <w:lang w:eastAsia="zh-CN"/>
        </w:rPr>
        <w:t>的液化石油气、燃气软管、燃气灶具、燃气调压阀</w:t>
      </w:r>
      <w:r>
        <w:rPr>
          <w:rFonts w:hint="eastAsia" w:ascii="仿宋_GB2312" w:hAnsi="Times New Roman" w:cs="Times New Roman"/>
          <w:lang w:val="en-US" w:eastAsia="zh-CN"/>
        </w:rPr>
        <w:t>4类产品</w:t>
      </w:r>
      <w:r>
        <w:rPr>
          <w:rFonts w:hint="eastAsia" w:ascii="仿宋_GB2312" w:cs="仿宋_GB2312"/>
        </w:rPr>
        <w:t>进行了质量监督抽查工作，该项目由新疆维吾尔自治区产品质量监督检验研究院承担。</w:t>
      </w:r>
    </w:p>
    <w:p w14:paraId="38EC3B54">
      <w:pPr>
        <w:spacing w:line="600" w:lineRule="exact"/>
        <w:ind w:firstLine="641"/>
        <w:rPr>
          <w:b/>
          <w:bCs/>
          <w:sz w:val="32"/>
          <w:szCs w:val="32"/>
        </w:rPr>
      </w:pPr>
      <w:r>
        <w:rPr>
          <w:rFonts w:hint="eastAsia"/>
          <w:b/>
          <w:bCs/>
          <w:sz w:val="32"/>
          <w:szCs w:val="32"/>
        </w:rPr>
        <w:t>2、主要内容及实施情况</w:t>
      </w:r>
    </w:p>
    <w:p w14:paraId="1934877C">
      <w:pPr>
        <w:spacing w:line="360" w:lineRule="auto"/>
        <w:ind w:firstLine="600" w:firstLineChars="200"/>
        <w:rPr>
          <w:rFonts w:hint="eastAsia" w:ascii="仿宋_GB2312" w:eastAsia="仿宋_GB2312"/>
          <w:color w:val="FF0000"/>
          <w:lang w:eastAsia="zh-CN"/>
        </w:rPr>
      </w:pPr>
      <w:r>
        <w:rPr>
          <w:rFonts w:hint="eastAsia" w:ascii="仿宋_GB2312"/>
        </w:rPr>
        <w:t>主要内容：我单位遵照文件要求开展了</w:t>
      </w:r>
      <w:r>
        <w:rPr>
          <w:rFonts w:hint="eastAsia" w:ascii="仿宋_GB2312" w:hAnsi="Times New Roman" w:cs="Times New Roman"/>
          <w:lang w:eastAsia="zh-CN"/>
        </w:rPr>
        <w:t>液化石油气、燃气软管、燃气灶具、燃气调压阀</w:t>
      </w:r>
      <w:r>
        <w:rPr>
          <w:rFonts w:hint="eastAsia" w:ascii="仿宋_GB2312"/>
          <w:lang w:val="en-US" w:eastAsia="zh-CN"/>
        </w:rPr>
        <w:t>等4</w:t>
      </w:r>
      <w:r>
        <w:rPr>
          <w:rFonts w:hint="eastAsia" w:ascii="仿宋_GB2312"/>
        </w:rPr>
        <w:t>类产品的自治区监督抽查工作</w:t>
      </w:r>
      <w:r>
        <w:rPr>
          <w:rFonts w:hint="eastAsia" w:ascii="仿宋_GB2312"/>
          <w:lang w:eastAsia="zh-CN"/>
        </w:rPr>
        <w:t>。</w:t>
      </w:r>
    </w:p>
    <w:p w14:paraId="4461DBC2">
      <w:pPr>
        <w:spacing w:line="360" w:lineRule="auto"/>
        <w:ind w:firstLine="600" w:firstLineChars="200"/>
        <w:rPr>
          <w:rFonts w:ascii="仿宋_GB2312"/>
          <w:color w:val="FF0000"/>
        </w:rPr>
      </w:pPr>
      <w:r>
        <w:rPr>
          <w:rFonts w:hint="eastAsia" w:ascii="仿宋_GB2312"/>
        </w:rPr>
        <w:t>实施情况：</w:t>
      </w:r>
      <w:r>
        <w:rPr>
          <w:rFonts w:ascii="仿宋_GB2312"/>
        </w:rPr>
        <w:t>项目目前已经完成实际设立的目标，项目在实施过程中严格按照目标设立的各阶段任务进行开展工作，在前期立项过程中严格把质量关，建立安全防护机制，保证项目实施各阶段安全顺利进行。</w:t>
      </w:r>
    </w:p>
    <w:p w14:paraId="7FE5C175">
      <w:pPr>
        <w:spacing w:line="600" w:lineRule="exact"/>
        <w:ind w:firstLine="643" w:firstLineChars="200"/>
        <w:rPr>
          <w:b/>
          <w:bCs/>
          <w:sz w:val="32"/>
          <w:szCs w:val="32"/>
        </w:rPr>
      </w:pPr>
      <w:r>
        <w:rPr>
          <w:b/>
          <w:bCs/>
          <w:sz w:val="32"/>
          <w:szCs w:val="32"/>
        </w:rPr>
        <w:t>3</w:t>
      </w:r>
      <w:r>
        <w:rPr>
          <w:rFonts w:hint="eastAsia"/>
          <w:b/>
          <w:bCs/>
          <w:sz w:val="32"/>
          <w:szCs w:val="32"/>
        </w:rPr>
        <w:t>、资金投入和使用情况</w:t>
      </w:r>
    </w:p>
    <w:p w14:paraId="504070F0">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400</w:t>
      </w:r>
      <w:r>
        <w:rPr>
          <w:rFonts w:hint="eastAsia"/>
          <w:color w:val="auto"/>
        </w:rPr>
        <w:t>万元，全年预算数</w:t>
      </w:r>
      <w:r>
        <w:rPr>
          <w:rFonts w:hint="eastAsia"/>
          <w:color w:val="auto"/>
          <w:lang w:val="en-US" w:eastAsia="zh-CN"/>
        </w:rPr>
        <w:t>400</w:t>
      </w:r>
      <w:r>
        <w:rPr>
          <w:rFonts w:hint="eastAsia"/>
          <w:color w:val="auto"/>
        </w:rPr>
        <w:t>万元，实际总投入</w:t>
      </w:r>
      <w:r>
        <w:rPr>
          <w:rFonts w:hint="eastAsia"/>
          <w:color w:val="auto"/>
          <w:lang w:val="en-US" w:eastAsia="zh-CN"/>
        </w:rPr>
        <w:t>400</w:t>
      </w:r>
      <w:r>
        <w:rPr>
          <w:rFonts w:hint="eastAsia"/>
          <w:color w:val="auto"/>
        </w:rPr>
        <w:t>万元，该项目资金已全部落实到位，资金来源为</w:t>
      </w:r>
      <w:r>
        <w:rPr>
          <w:rFonts w:hint="eastAsia"/>
          <w:color w:val="auto"/>
          <w:lang w:val="en-US" w:eastAsia="zh-CN"/>
        </w:rPr>
        <w:t>财政资金拨款</w:t>
      </w:r>
      <w:r>
        <w:rPr>
          <w:rFonts w:hint="eastAsia"/>
          <w:color w:val="auto"/>
        </w:rPr>
        <w:t>。</w:t>
      </w:r>
    </w:p>
    <w:p w14:paraId="55BE370D">
      <w:pPr>
        <w:spacing w:line="360" w:lineRule="auto"/>
        <w:ind w:firstLine="600" w:firstLineChars="200"/>
        <w:rPr>
          <w:color w:val="auto"/>
          <w:highlight w:val="none"/>
        </w:rPr>
      </w:pPr>
      <w:r>
        <w:rPr>
          <w:rFonts w:hint="eastAsia"/>
        </w:rPr>
        <w:t>资金使用情况：</w:t>
      </w:r>
      <w:r>
        <w:rPr>
          <w:rFonts w:hint="eastAsia"/>
          <w:color w:val="auto"/>
        </w:rPr>
        <w:t>该项目年初预算数</w:t>
      </w:r>
      <w:r>
        <w:rPr>
          <w:rFonts w:hint="eastAsia"/>
          <w:color w:val="auto"/>
          <w:lang w:val="en-US" w:eastAsia="zh-CN"/>
        </w:rPr>
        <w:t>400</w:t>
      </w:r>
      <w:r>
        <w:rPr>
          <w:rFonts w:hint="eastAsia"/>
          <w:color w:val="auto"/>
        </w:rPr>
        <w:t>万元，全年预算数</w:t>
      </w:r>
      <w:r>
        <w:rPr>
          <w:rFonts w:hint="eastAsia"/>
          <w:color w:val="auto"/>
          <w:lang w:val="en-US" w:eastAsia="zh-CN"/>
        </w:rPr>
        <w:t>400</w:t>
      </w:r>
      <w:r>
        <w:rPr>
          <w:rFonts w:hint="eastAsia"/>
          <w:color w:val="auto"/>
        </w:rPr>
        <w:t>万元，全年执行数</w:t>
      </w:r>
      <w:r>
        <w:rPr>
          <w:rFonts w:hint="eastAsia"/>
          <w:color w:val="auto"/>
          <w:lang w:val="en-US" w:eastAsia="zh-CN"/>
        </w:rPr>
        <w:t>400</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highlight w:val="none"/>
        </w:rPr>
        <w:t>用于：</w:t>
      </w:r>
      <w:r>
        <w:rPr>
          <w:rFonts w:hint="eastAsia"/>
          <w:color w:val="auto"/>
          <w:highlight w:val="none"/>
          <w:lang w:val="en-US" w:eastAsia="zh-CN"/>
        </w:rPr>
        <w:t>产品质量安全监督抽检</w:t>
      </w:r>
      <w:r>
        <w:rPr>
          <w:rFonts w:hint="eastAsia"/>
          <w:color w:val="auto"/>
          <w:highlight w:val="none"/>
        </w:rPr>
        <w:t>。</w:t>
      </w:r>
    </w:p>
    <w:p w14:paraId="6080E0F8">
      <w:pPr>
        <w:pStyle w:val="6"/>
        <w:spacing w:line="360" w:lineRule="auto"/>
        <w:ind w:firstLine="640" w:firstLineChars="200"/>
        <w:rPr>
          <w:rFonts w:ascii="仿宋_GB2312" w:eastAsia="仿宋_GB2312"/>
          <w:b w:val="0"/>
          <w:bCs w:val="0"/>
        </w:rPr>
      </w:pPr>
      <w:bookmarkStart w:id="2" w:name="_Toc68702114"/>
      <w:r>
        <w:rPr>
          <w:rFonts w:hint="eastAsia" w:ascii="仿宋_GB2312" w:eastAsia="仿宋_GB2312"/>
          <w:b w:val="0"/>
          <w:bCs w:val="0"/>
        </w:rPr>
        <w:t>（二）项目绩效目标。</w:t>
      </w:r>
      <w:bookmarkEnd w:id="2"/>
    </w:p>
    <w:p w14:paraId="07BD8DD8">
      <w:pPr>
        <w:spacing w:line="360" w:lineRule="auto"/>
        <w:ind w:firstLine="600" w:firstLineChars="200"/>
        <w:rPr>
          <w:rFonts w:hint="eastAsia" w:ascii="仿宋_GB2312"/>
        </w:rPr>
      </w:pPr>
      <w:r>
        <w:rPr>
          <w:rFonts w:hint="eastAsia"/>
        </w:rPr>
        <w:t>总体目标：</w:t>
      </w:r>
      <w:r>
        <w:rPr>
          <w:rFonts w:hint="eastAsia" w:ascii="仿宋_GB2312"/>
        </w:rPr>
        <w:t>1、开展液化石油气、燃气软管、燃气灶具、燃气调压阀等燃气相关产品检验和出具检验报告和质量分析报告。</w:t>
      </w:r>
    </w:p>
    <w:p w14:paraId="7713DE9D">
      <w:pPr>
        <w:spacing w:line="360" w:lineRule="auto"/>
        <w:ind w:firstLine="600" w:firstLineChars="200"/>
        <w:rPr>
          <w:rFonts w:hint="eastAsia" w:ascii="仿宋_GB2312"/>
        </w:rPr>
      </w:pPr>
      <w:r>
        <w:rPr>
          <w:rFonts w:hint="eastAsia" w:ascii="仿宋_GB2312"/>
        </w:rPr>
        <w:t>2、严格按照区局相关要求，规范抽样行为、高效完成自治区产品质量监督抽查工作任务。</w:t>
      </w:r>
    </w:p>
    <w:p w14:paraId="02896655">
      <w:pPr>
        <w:spacing w:line="360" w:lineRule="auto"/>
        <w:ind w:firstLine="600" w:firstLineChars="200"/>
        <w:rPr>
          <w:rFonts w:hint="eastAsia" w:ascii="仿宋_GB2312"/>
        </w:rPr>
      </w:pPr>
      <w:r>
        <w:rPr>
          <w:rFonts w:hint="eastAsia" w:ascii="仿宋_GB2312"/>
        </w:rPr>
        <w:t>3、抽查批次≥1504批次、检验报告准确率=100%、受检企业满意度≥95%</w:t>
      </w:r>
      <w:bookmarkStart w:id="3" w:name="_Toc68702115"/>
    </w:p>
    <w:p w14:paraId="524C00A1">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二、绩效评价工作开展情况</w:t>
      </w:r>
      <w:bookmarkEnd w:id="3"/>
      <w:bookmarkStart w:id="4" w:name="_Toc68702116"/>
    </w:p>
    <w:p w14:paraId="47F7A706">
      <w:pPr>
        <w:spacing w:line="360" w:lineRule="auto"/>
        <w:ind w:firstLine="600" w:firstLineChars="200"/>
        <w:rPr>
          <w:rFonts w:ascii="仿宋_GB2312" w:eastAsia="仿宋_GB2312"/>
          <w:b w:val="0"/>
          <w:bCs w:val="0"/>
        </w:rPr>
      </w:pPr>
      <w:r>
        <w:rPr>
          <w:rFonts w:hint="eastAsia" w:ascii="仿宋_GB2312" w:eastAsia="仿宋_GB2312"/>
          <w:b w:val="0"/>
          <w:bCs w:val="0"/>
        </w:rPr>
        <w:t>（一）绩效评价目的、对象和范围。</w:t>
      </w:r>
      <w:bookmarkEnd w:id="4"/>
    </w:p>
    <w:p w14:paraId="115BB257">
      <w:pPr>
        <w:spacing w:line="360" w:lineRule="auto"/>
      </w:pPr>
      <w:r>
        <w:rPr>
          <w:rFonts w:hint="eastAsia"/>
          <w:sz w:val="32"/>
          <w:szCs w:val="32"/>
        </w:rPr>
        <w:t>1、绩效评价目的</w:t>
      </w:r>
      <w:r>
        <w:rPr>
          <w:rFonts w:hint="eastAsia"/>
        </w:rPr>
        <w:t>：</w:t>
      </w:r>
    </w:p>
    <w:p w14:paraId="51B77916">
      <w:pPr>
        <w:spacing w:line="600" w:lineRule="exact"/>
        <w:ind w:firstLine="640" w:firstLineChars="200"/>
        <w:rPr>
          <w:sz w:val="32"/>
          <w:szCs w:val="32"/>
        </w:rPr>
      </w:pPr>
      <w:r>
        <w:rPr>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3699322">
      <w:pPr>
        <w:numPr>
          <w:ilvl w:val="0"/>
          <w:numId w:val="1"/>
        </w:numPr>
        <w:spacing w:line="600" w:lineRule="exact"/>
        <w:ind w:firstLine="640" w:firstLineChars="200"/>
        <w:rPr>
          <w:sz w:val="32"/>
          <w:szCs w:val="32"/>
        </w:rPr>
      </w:pPr>
      <w:r>
        <w:rPr>
          <w:sz w:val="32"/>
          <w:szCs w:val="32"/>
        </w:rPr>
        <w:t>项目在实施前向项目负责人提供财政支出绩效方面的资金管理信息，促进项目支出严格按照资金管理规定进行。</w:t>
      </w:r>
    </w:p>
    <w:p w14:paraId="1431237B">
      <w:pPr>
        <w:spacing w:line="600" w:lineRule="exact"/>
        <w:ind w:firstLine="640" w:firstLineChars="200"/>
        <w:rPr>
          <w:sz w:val="32"/>
          <w:szCs w:val="32"/>
        </w:rPr>
      </w:pPr>
      <w:r>
        <w:rPr>
          <w:sz w:val="32"/>
          <w:szCs w:val="32"/>
        </w:rPr>
        <w:t>（2）项目绩效管</w:t>
      </w:r>
      <w:r>
        <w:rPr>
          <w:rFonts w:hint="eastAsia"/>
          <w:sz w:val="32"/>
          <w:szCs w:val="32"/>
          <w:lang w:eastAsia="zh-CN"/>
        </w:rPr>
        <w:t>理为</w:t>
      </w:r>
      <w:r>
        <w:rPr>
          <w:sz w:val="32"/>
          <w:szCs w:val="32"/>
        </w:rPr>
        <w:t>财政支出运行提供及时、有效的信息。</w:t>
      </w:r>
    </w:p>
    <w:p w14:paraId="4A4E1520">
      <w:pPr>
        <w:spacing w:line="600" w:lineRule="exact"/>
        <w:rPr>
          <w:sz w:val="32"/>
          <w:szCs w:val="32"/>
        </w:rPr>
      </w:pPr>
      <w:r>
        <w:rPr>
          <w:sz w:val="32"/>
          <w:szCs w:val="32"/>
        </w:rPr>
        <w:t>综合来看，通过开展有效的财政支出绩效评价管理，达到改进预算管理、控制节约成本，提高预算资金使用效益的目的。</w:t>
      </w:r>
    </w:p>
    <w:p w14:paraId="27926F29">
      <w:pPr>
        <w:spacing w:line="360" w:lineRule="auto"/>
        <w:ind w:firstLine="600" w:firstLineChars="200"/>
        <w:jc w:val="left"/>
      </w:pPr>
      <w:r>
        <w:rPr>
          <w:rFonts w:hint="eastAsia"/>
        </w:rPr>
        <w:t>2、绩效评价对象：</w:t>
      </w:r>
    </w:p>
    <w:p w14:paraId="268D4410">
      <w:pPr>
        <w:spacing w:line="560" w:lineRule="exact"/>
        <w:ind w:firstLine="640" w:firstLineChars="200"/>
        <w:rPr>
          <w:rFonts w:ascii="仿宋_GB2312" w:hAnsi="仿宋_GB2312" w:cs="仿宋_GB2312"/>
          <w:sz w:val="32"/>
          <w:szCs w:val="32"/>
          <w:highlight w:val="yellow"/>
        </w:rPr>
      </w:pPr>
      <w:r>
        <w:rPr>
          <w:rFonts w:hint="eastAsia" w:ascii="Times New Roman" w:hAnsi="宋体" w:eastAsia="仿宋_GB2312" w:cs="宋体"/>
          <w:kern w:val="0"/>
          <w:sz w:val="32"/>
          <w:szCs w:val="32"/>
          <w:highlight w:val="none"/>
        </w:rPr>
        <w:t>瓶装液化气石油气相关企业监督抽查项目</w:t>
      </w:r>
      <w:r>
        <w:rPr>
          <w:rFonts w:hint="eastAsia" w:ascii="仿宋_GB2312" w:hAnsi="仿宋_GB2312" w:cs="仿宋_GB2312"/>
          <w:sz w:val="32"/>
          <w:szCs w:val="32"/>
          <w:highlight w:val="none"/>
        </w:rPr>
        <w:t>所包含的全部项目建设内容。</w:t>
      </w:r>
    </w:p>
    <w:p w14:paraId="5953B684">
      <w:pPr>
        <w:spacing w:line="360" w:lineRule="auto"/>
        <w:ind w:firstLine="600" w:firstLineChars="200"/>
      </w:pPr>
      <w:r>
        <w:rPr>
          <w:rFonts w:hint="eastAsia"/>
        </w:rPr>
        <w:t>3、绩效评价范围：</w:t>
      </w:r>
    </w:p>
    <w:p w14:paraId="3936A4AE">
      <w:pPr>
        <w:spacing w:line="560" w:lineRule="exact"/>
        <w:ind w:firstLine="640" w:firstLineChars="200"/>
        <w:rPr>
          <w:rFonts w:hint="eastAsia" w:ascii="Times New Roman" w:hAnsi="宋体" w:eastAsia="仿宋_GB2312" w:cs="宋体"/>
          <w:kern w:val="0"/>
          <w:sz w:val="32"/>
          <w:szCs w:val="32"/>
          <w:highlight w:val="none"/>
        </w:rPr>
      </w:pPr>
      <w:r>
        <w:rPr>
          <w:rFonts w:hint="eastAsia" w:ascii="Times New Roman" w:hAnsi="宋体" w:eastAsia="仿宋_GB2312" w:cs="宋体"/>
          <w:kern w:val="0"/>
          <w:sz w:val="32"/>
          <w:szCs w:val="32"/>
          <w:highlight w:val="none"/>
        </w:rPr>
        <w:t>本次评价从项目决策（包括绩效目标、决策过程）、项目管理（包括项目资金、项目实施）、项目产出（包括项目产出数量、产出质量、产出时效和产出成本）项目效益四个维度进行液化石油气和燃气器具产品质量专项监督抽查</w:t>
      </w:r>
      <w:r>
        <w:rPr>
          <w:rFonts w:hint="eastAsia" w:ascii="Times New Roman" w:hAnsi="宋体" w:eastAsia="仿宋_GB2312" w:cs="宋体"/>
          <w:kern w:val="0"/>
          <w:sz w:val="32"/>
          <w:szCs w:val="32"/>
          <w:highlight w:val="none"/>
          <w:lang w:val="en-US" w:eastAsia="zh-CN"/>
        </w:rPr>
        <w:t>项目</w:t>
      </w:r>
      <w:r>
        <w:rPr>
          <w:rFonts w:hint="eastAsia" w:ascii="Times New Roman" w:hAnsi="宋体" w:eastAsia="仿宋_GB2312" w:cs="宋体"/>
          <w:kern w:val="0"/>
          <w:sz w:val="32"/>
          <w:szCs w:val="32"/>
          <w:highlight w:val="none"/>
        </w:rPr>
        <w:t>评价，评价核心为专项资金的支出完成情况和效果。</w:t>
      </w:r>
    </w:p>
    <w:p w14:paraId="0603ECC9">
      <w:pPr>
        <w:spacing w:line="360" w:lineRule="auto"/>
      </w:pPr>
    </w:p>
    <w:p w14:paraId="7D1AFBC6">
      <w:pPr>
        <w:pStyle w:val="6"/>
        <w:spacing w:line="360" w:lineRule="auto"/>
        <w:rPr>
          <w:rFonts w:ascii="仿宋_GB2312" w:eastAsia="仿宋_GB2312"/>
          <w:b w:val="0"/>
          <w:bCs w:val="0"/>
        </w:rPr>
      </w:pPr>
      <w:bookmarkStart w:id="5" w:name="_Toc68702117"/>
      <w:r>
        <w:rPr>
          <w:rFonts w:hint="eastAsia" w:ascii="仿宋_GB2312" w:eastAsia="仿宋_GB2312"/>
          <w:b w:val="0"/>
          <w:bCs w:val="0"/>
        </w:rPr>
        <w:t>（二）绩效评价原则、评价指标体系、评价方法、评价标准等。</w:t>
      </w:r>
      <w:bookmarkEnd w:id="5"/>
    </w:p>
    <w:p w14:paraId="21314161">
      <w:pPr>
        <w:spacing w:line="360" w:lineRule="auto"/>
      </w:pPr>
      <w:r>
        <w:rPr>
          <w:rFonts w:hint="eastAsia"/>
        </w:rPr>
        <w:t>1、绩效评价原则</w:t>
      </w:r>
    </w:p>
    <w:p w14:paraId="2D9A7BD1">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w:t>
      </w:r>
      <w:r>
        <w:rPr>
          <w:rFonts w:hint="eastAsia" w:ascii="仿宋_GB2312"/>
          <w:bCs/>
          <w:sz w:val="32"/>
          <w:szCs w:val="32"/>
          <w:lang w:eastAsia="zh-CN"/>
        </w:rPr>
        <w:t>地</w:t>
      </w:r>
      <w:r>
        <w:rPr>
          <w:rFonts w:hint="eastAsia" w:ascii="仿宋_GB2312"/>
          <w:bCs/>
          <w:sz w:val="32"/>
          <w:szCs w:val="32"/>
        </w:rPr>
        <w:t>反映。</w:t>
      </w:r>
    </w:p>
    <w:p w14:paraId="22B08685">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210434AA">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14:paraId="4ED85090">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14:paraId="5B5366FA">
      <w:pPr>
        <w:spacing w:line="360" w:lineRule="auto"/>
      </w:pPr>
      <w:r>
        <w:rPr>
          <w:rFonts w:hint="eastAsia"/>
        </w:rPr>
        <w:t>2、评价指标体系（附表说明）</w:t>
      </w:r>
    </w:p>
    <w:p w14:paraId="14CB3E8A">
      <w:pPr>
        <w:spacing w:line="600" w:lineRule="exact"/>
        <w:ind w:firstLine="708" w:firstLineChars="200"/>
        <w:rPr>
          <w:color w:val="000000"/>
          <w:spacing w:val="17"/>
          <w:sz w:val="32"/>
          <w:szCs w:val="32"/>
        </w:rPr>
      </w:pPr>
      <w:r>
        <w:rPr>
          <w:color w:val="000000"/>
          <w:spacing w:val="17"/>
          <w:sz w:val="32"/>
          <w:szCs w:val="32"/>
        </w:rPr>
        <w:t>绩效评价框架是开展绩效评价的核心。绩效评价框架包括评价准则、关键评价问题、评价指标、数据来源、数据收集方法等。指标体系建立过程如下：</w:t>
      </w:r>
    </w:p>
    <w:p w14:paraId="3F5D1075">
      <w:pPr>
        <w:spacing w:line="600" w:lineRule="exact"/>
        <w:ind w:firstLine="708" w:firstLineChars="200"/>
        <w:rPr>
          <w:color w:val="000000"/>
          <w:spacing w:val="17"/>
          <w:sz w:val="32"/>
          <w:szCs w:val="32"/>
        </w:rPr>
      </w:pPr>
      <w:r>
        <w:rPr>
          <w:color w:val="000000"/>
          <w:spacing w:val="17"/>
          <w:sz w:val="32"/>
          <w:szCs w:val="32"/>
        </w:rPr>
        <w:t>（1）确定评价指标</w:t>
      </w:r>
    </w:p>
    <w:p w14:paraId="453396F5">
      <w:pPr>
        <w:spacing w:line="600" w:lineRule="exact"/>
        <w:ind w:firstLine="708" w:firstLineChars="200"/>
        <w:rPr>
          <w:color w:val="000000"/>
          <w:spacing w:val="17"/>
          <w:sz w:val="32"/>
          <w:szCs w:val="32"/>
        </w:rPr>
      </w:pPr>
      <w:r>
        <w:rPr>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05619E8">
      <w:pPr>
        <w:spacing w:line="600" w:lineRule="exact"/>
        <w:ind w:firstLine="708" w:firstLineChars="200"/>
        <w:rPr>
          <w:color w:val="000000"/>
          <w:spacing w:val="17"/>
          <w:sz w:val="32"/>
          <w:szCs w:val="32"/>
        </w:rPr>
      </w:pPr>
      <w:r>
        <w:rPr>
          <w:color w:val="000000"/>
          <w:spacing w:val="17"/>
          <w:sz w:val="32"/>
          <w:szCs w:val="32"/>
        </w:rPr>
        <w:t>（2）确定权重</w:t>
      </w:r>
    </w:p>
    <w:p w14:paraId="19EB904D">
      <w:pPr>
        <w:spacing w:line="600" w:lineRule="exact"/>
        <w:ind w:firstLine="708" w:firstLineChars="200"/>
        <w:rPr>
          <w:color w:val="000000"/>
          <w:spacing w:val="17"/>
          <w:sz w:val="32"/>
          <w:szCs w:val="32"/>
        </w:rPr>
      </w:pPr>
      <w:r>
        <w:rPr>
          <w:color w:val="000000"/>
          <w:spacing w:val="17"/>
          <w:sz w:val="32"/>
          <w:szCs w:val="32"/>
        </w:rPr>
        <w:t>确定各个指标相对于项目总体绩效的权重分值。在绩效评价指标体系中，项目决策权重为</w:t>
      </w:r>
      <w:r>
        <w:rPr>
          <w:rFonts w:hint="eastAsia"/>
          <w:color w:val="000000"/>
          <w:spacing w:val="17"/>
          <w:sz w:val="32"/>
          <w:szCs w:val="32"/>
          <w:lang w:val="en-US" w:eastAsia="zh-CN"/>
        </w:rPr>
        <w:t>20</w:t>
      </w:r>
      <w:r>
        <w:rPr>
          <w:color w:val="000000"/>
          <w:spacing w:val="17"/>
          <w:sz w:val="32"/>
          <w:szCs w:val="32"/>
        </w:rPr>
        <w:t>分，项目过程权重为</w:t>
      </w:r>
      <w:r>
        <w:rPr>
          <w:rFonts w:hint="eastAsia"/>
          <w:color w:val="000000"/>
          <w:spacing w:val="17"/>
          <w:sz w:val="32"/>
          <w:szCs w:val="32"/>
          <w:lang w:val="en-US" w:eastAsia="zh-CN"/>
        </w:rPr>
        <w:t>20</w:t>
      </w:r>
      <w:r>
        <w:rPr>
          <w:color w:val="000000"/>
          <w:spacing w:val="17"/>
          <w:sz w:val="32"/>
          <w:szCs w:val="32"/>
        </w:rPr>
        <w:t>分，项目产出权重为</w:t>
      </w:r>
      <w:r>
        <w:rPr>
          <w:rFonts w:hint="eastAsia"/>
          <w:color w:val="000000"/>
          <w:spacing w:val="17"/>
          <w:sz w:val="32"/>
          <w:szCs w:val="32"/>
          <w:lang w:val="en-US" w:eastAsia="zh-CN"/>
        </w:rPr>
        <w:t>4</w:t>
      </w:r>
      <w:r>
        <w:rPr>
          <w:color w:val="000000"/>
          <w:spacing w:val="17"/>
          <w:sz w:val="32"/>
          <w:szCs w:val="32"/>
        </w:rPr>
        <w:t>0分，项目效益权重为</w:t>
      </w:r>
      <w:r>
        <w:rPr>
          <w:rFonts w:hint="eastAsia"/>
          <w:color w:val="000000"/>
          <w:spacing w:val="17"/>
          <w:sz w:val="32"/>
          <w:szCs w:val="32"/>
          <w:lang w:val="en-US" w:eastAsia="zh-CN"/>
        </w:rPr>
        <w:t>2</w:t>
      </w:r>
      <w:r>
        <w:rPr>
          <w:color w:val="000000"/>
          <w:spacing w:val="17"/>
          <w:sz w:val="32"/>
          <w:szCs w:val="32"/>
        </w:rPr>
        <w:t>0分。</w:t>
      </w:r>
    </w:p>
    <w:p w14:paraId="030DF12B">
      <w:pPr>
        <w:spacing w:line="600" w:lineRule="exact"/>
        <w:ind w:firstLine="708" w:firstLineChars="200"/>
        <w:rPr>
          <w:color w:val="000000"/>
          <w:spacing w:val="17"/>
          <w:sz w:val="32"/>
          <w:szCs w:val="32"/>
        </w:rPr>
      </w:pPr>
      <w:r>
        <w:rPr>
          <w:color w:val="000000"/>
          <w:spacing w:val="17"/>
          <w:sz w:val="32"/>
          <w:szCs w:val="32"/>
        </w:rPr>
        <w:t>（3）确定指标标准值</w:t>
      </w:r>
    </w:p>
    <w:p w14:paraId="5F89ED4D">
      <w:pPr>
        <w:spacing w:line="600" w:lineRule="exact"/>
        <w:ind w:firstLine="708" w:firstLineChars="200"/>
        <w:rPr>
          <w:color w:val="000000"/>
          <w:spacing w:val="17"/>
          <w:sz w:val="32"/>
          <w:szCs w:val="32"/>
        </w:rPr>
      </w:pPr>
      <w:r>
        <w:rPr>
          <w:color w:val="000000"/>
          <w:spacing w:val="17"/>
          <w:sz w:val="32"/>
          <w:szCs w:val="32"/>
        </w:rPr>
        <w:t>指标标准值是绩效评价指标的尺度，既要反映同类项目的先进水平，又要符合项目的实际绩效水平。具体采用计划标准等确定此次绩效评价指标标准值。</w:t>
      </w:r>
    </w:p>
    <w:p w14:paraId="4E843D08">
      <w:pPr>
        <w:pStyle w:val="10"/>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100分（含90分）对应的评分结果级别为优，80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90分（含80分）对应的评分结果级别为良，60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80分（含60分）对应的评分结果级别为中，60分以下对应的评分结果级别为差。</w:t>
      </w:r>
    </w:p>
    <w:p w14:paraId="3BC3FDEF">
      <w:pPr>
        <w:pStyle w:val="10"/>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4A74929E">
      <w:pPr>
        <w:pStyle w:val="1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626F769F">
      <w:pPr>
        <w:spacing w:line="600" w:lineRule="exact"/>
        <w:ind w:firstLine="708" w:firstLineChars="200"/>
        <w:rPr>
          <w:color w:val="000000"/>
          <w:spacing w:val="17"/>
          <w:sz w:val="32"/>
          <w:szCs w:val="32"/>
        </w:rPr>
      </w:pPr>
      <w:r>
        <w:rPr>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C66FDCA">
      <w:pPr>
        <w:spacing w:line="600" w:lineRule="exact"/>
        <w:ind w:firstLine="708" w:firstLineChars="200"/>
        <w:rPr>
          <w:color w:val="000000"/>
          <w:spacing w:val="17"/>
          <w:sz w:val="32"/>
          <w:szCs w:val="32"/>
        </w:rPr>
      </w:pPr>
      <w:r>
        <w:rPr>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CCA400C">
      <w:pPr>
        <w:spacing w:line="600" w:lineRule="exact"/>
        <w:ind w:firstLine="708" w:firstLineChars="200"/>
        <w:rPr>
          <w:color w:val="000000"/>
          <w:spacing w:val="17"/>
          <w:sz w:val="32"/>
          <w:szCs w:val="32"/>
        </w:rPr>
      </w:pPr>
      <w:r>
        <w:rPr>
          <w:color w:val="000000"/>
          <w:spacing w:val="17"/>
          <w:sz w:val="32"/>
          <w:szCs w:val="32"/>
        </w:rPr>
        <w:t>（1）比较法</w:t>
      </w:r>
    </w:p>
    <w:p w14:paraId="5E92BFF9">
      <w:pPr>
        <w:spacing w:line="600" w:lineRule="exact"/>
        <w:ind w:firstLine="708" w:firstLineChars="200"/>
        <w:rPr>
          <w:color w:val="000000"/>
          <w:spacing w:val="17"/>
          <w:sz w:val="32"/>
          <w:szCs w:val="32"/>
        </w:rPr>
      </w:pPr>
      <w:r>
        <w:rPr>
          <w:color w:val="000000"/>
          <w:spacing w:val="17"/>
          <w:sz w:val="32"/>
          <w:szCs w:val="32"/>
        </w:rPr>
        <w:t>通过对绩效目标与实施效果、历史与当期情况，综合分析绩效目标实现程度。对</w:t>
      </w:r>
      <w:r>
        <w:rPr>
          <w:sz w:val="32"/>
          <w:szCs w:val="32"/>
        </w:rPr>
        <w:t>项目</w:t>
      </w:r>
      <w:r>
        <w:rPr>
          <w:color w:val="000000"/>
          <w:spacing w:val="17"/>
          <w:sz w:val="32"/>
          <w:szCs w:val="32"/>
        </w:rPr>
        <w:t>最终验收情况与年度绩效目标对比、预算资金执行情况等相关因素进行比较。</w:t>
      </w:r>
    </w:p>
    <w:p w14:paraId="6AD89FBF">
      <w:pPr>
        <w:spacing w:line="600" w:lineRule="exact"/>
        <w:ind w:firstLine="708" w:firstLineChars="200"/>
        <w:rPr>
          <w:color w:val="000000"/>
          <w:spacing w:val="17"/>
          <w:sz w:val="32"/>
          <w:szCs w:val="32"/>
        </w:rPr>
      </w:pPr>
      <w:r>
        <w:rPr>
          <w:color w:val="000000"/>
          <w:spacing w:val="17"/>
          <w:sz w:val="32"/>
          <w:szCs w:val="32"/>
        </w:rPr>
        <w:t>（2）因素分析法</w:t>
      </w:r>
    </w:p>
    <w:p w14:paraId="09FD43C5">
      <w:pPr>
        <w:spacing w:line="600" w:lineRule="exact"/>
        <w:ind w:firstLine="708" w:firstLineChars="200"/>
        <w:rPr>
          <w:color w:val="000000"/>
          <w:spacing w:val="17"/>
          <w:sz w:val="32"/>
          <w:szCs w:val="32"/>
        </w:rPr>
      </w:pPr>
      <w:r>
        <w:rPr>
          <w:color w:val="000000"/>
          <w:spacing w:val="17"/>
          <w:sz w:val="32"/>
          <w:szCs w:val="32"/>
        </w:rPr>
        <w:t>通过综合分析影响绩效目标实现、实施效果的内外因素，评价绩效目标实现程度。通过对</w:t>
      </w:r>
      <w:r>
        <w:rPr>
          <w:sz w:val="32"/>
          <w:szCs w:val="32"/>
        </w:rPr>
        <w:t>项目</w:t>
      </w:r>
      <w:r>
        <w:rPr>
          <w:color w:val="000000"/>
          <w:spacing w:val="17"/>
          <w:sz w:val="32"/>
          <w:szCs w:val="32"/>
        </w:rPr>
        <w:t>的开展情况、项目产出数量、成本控制、资金拨付文件及自评报告等相关资料的收集和审核，综合分析各因素对绩效目标实现的影响。</w:t>
      </w:r>
    </w:p>
    <w:p w14:paraId="133FDF32">
      <w:pPr>
        <w:pStyle w:val="1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EFDAEF2">
      <w:pPr>
        <w:spacing w:line="600" w:lineRule="exact"/>
        <w:ind w:firstLine="708" w:firstLineChars="200"/>
        <w:rPr>
          <w:color w:val="000000"/>
          <w:spacing w:val="17"/>
          <w:sz w:val="32"/>
          <w:szCs w:val="32"/>
        </w:rPr>
      </w:pPr>
      <w:r>
        <w:rPr>
          <w:color w:val="000000"/>
          <w:spacing w:val="17"/>
          <w:sz w:val="32"/>
          <w:szCs w:val="32"/>
        </w:rPr>
        <w:t>绩效评价标准通常包括计划标准、行业标准、历史标准等，用于对绩效指标完成情况进行比较。本次评价主要采用了计划标准和行业标准。</w:t>
      </w:r>
    </w:p>
    <w:p w14:paraId="5EA43DA7">
      <w:pPr>
        <w:pStyle w:val="10"/>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31C88C98">
      <w:pPr>
        <w:numPr>
          <w:ilvl w:val="0"/>
          <w:numId w:val="3"/>
        </w:numPr>
        <w:spacing w:line="600" w:lineRule="exact"/>
        <w:ind w:firstLine="640" w:firstLineChars="200"/>
        <w:rPr>
          <w:bCs/>
          <w:sz w:val="32"/>
          <w:szCs w:val="32"/>
        </w:rPr>
      </w:pPr>
      <w:r>
        <w:rPr>
          <w:rFonts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2641CADF">
      <w:pPr>
        <w:numPr>
          <w:ilvl w:val="0"/>
          <w:numId w:val="3"/>
        </w:numPr>
        <w:spacing w:line="600" w:lineRule="exact"/>
        <w:ind w:firstLine="640" w:firstLineChars="200"/>
        <w:rPr>
          <w:bCs/>
          <w:sz w:val="32"/>
          <w:szCs w:val="32"/>
        </w:rPr>
      </w:pPr>
      <w:r>
        <w:rPr>
          <w:rFonts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54C4857F">
      <w:pPr>
        <w:numPr>
          <w:ilvl w:val="0"/>
          <w:numId w:val="3"/>
        </w:numPr>
        <w:spacing w:line="600" w:lineRule="exact"/>
        <w:ind w:firstLine="640" w:firstLineChars="200"/>
        <w:rPr>
          <w:sz w:val="32"/>
          <w:szCs w:val="32"/>
        </w:rPr>
      </w:pPr>
      <w:r>
        <w:rPr>
          <w:rFonts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6481F8FD">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14:paraId="734D0DDB">
      <w:pPr>
        <w:pStyle w:val="10"/>
        <w:widowControl w:val="0"/>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瓶装液化气石油气相关企业监督抽查项目</w:t>
      </w:r>
      <w:r>
        <w:rPr>
          <w:rFonts w:ascii="Times New Roman" w:hAnsi="Times New Roman" w:eastAsia="仿宋_GB2312"/>
          <w:b w:val="0"/>
          <w:bCs w:val="0"/>
          <w:highlight w:val="none"/>
        </w:rPr>
        <w:t xml:space="preserve">进行客观评价，最终评分结果：总得分为 </w:t>
      </w:r>
      <w:r>
        <w:rPr>
          <w:rFonts w:hint="eastAsia" w:ascii="Times New Roman" w:hAnsi="Times New Roman" w:eastAsia="仿宋_GB2312"/>
          <w:b w:val="0"/>
          <w:bCs w:val="0"/>
          <w:highlight w:val="none"/>
          <w:lang w:val="en-US" w:eastAsia="zh-CN"/>
        </w:rPr>
        <w:t>98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18</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lang w:val="en-US" w:eastAsia="zh-CN"/>
        </w:rPr>
        <w:t>4</w:t>
      </w:r>
      <w:r>
        <w:rPr>
          <w:rFonts w:ascii="Times New Roman" w:hAnsi="Times New Roman" w:eastAsia="仿宋_GB2312"/>
          <w:b w:val="0"/>
          <w:bCs w:val="0"/>
          <w:highlight w:val="none"/>
        </w:rPr>
        <w:t>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lang w:val="en-US" w:eastAsia="zh-CN"/>
        </w:rPr>
        <w:t>2</w:t>
      </w:r>
      <w:r>
        <w:rPr>
          <w:rFonts w:ascii="Times New Roman" w:hAnsi="Times New Roman" w:eastAsia="仿宋_GB2312"/>
          <w:b w:val="0"/>
          <w:bCs w:val="0"/>
          <w:highlight w:val="none"/>
        </w:rPr>
        <w:t>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0B17DFD9">
      <w:pPr>
        <w:pStyle w:val="10"/>
        <w:widowControl w:val="0"/>
        <w:spacing w:before="0" w:after="0" w:line="600" w:lineRule="exact"/>
        <w:ind w:firstLine="602" w:firstLineChars="200"/>
        <w:jc w:val="both"/>
        <w:outlineLvl w:val="9"/>
        <w:rPr>
          <w:rFonts w:ascii="Times New Roman" w:hAnsi="Times New Roman" w:eastAsia="仿宋_GB2312"/>
          <w:sz w:val="30"/>
          <w:szCs w:val="30"/>
        </w:rPr>
      </w:pPr>
    </w:p>
    <w:p w14:paraId="2BE99D51">
      <w:pPr>
        <w:pStyle w:val="10"/>
        <w:rPr>
          <w:rFonts w:ascii="Times New Roman" w:hAnsi="Times New Roman" w:eastAsia="仿宋_GB2312"/>
          <w:sz w:val="30"/>
          <w:szCs w:val="30"/>
        </w:rPr>
      </w:pPr>
      <w:r>
        <w:rPr>
          <w:rFonts w:ascii="Times New Roman" w:hAnsi="Times New Roman" w:eastAsia="仿宋_GB2312"/>
          <w:sz w:val="30"/>
          <w:szCs w:val="30"/>
        </w:rPr>
        <w:t>表1综合评分表</w:t>
      </w:r>
    </w:p>
    <w:p w14:paraId="517CF292"/>
    <w:p w14:paraId="10C47724"/>
    <w:tbl>
      <w:tblPr>
        <w:tblStyle w:val="1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626CF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0FE7FA89">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772418BD">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59AB2C87">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220D5B8B">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3991A2F7">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18E7FB7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7D8FB9D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2395467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1FF12C8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1A73B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E01E48C">
            <w:pPr>
              <w:widowControl/>
              <w:spacing w:line="0" w:lineRule="atLeast"/>
              <w:jc w:val="center"/>
              <w:rPr>
                <w:color w:val="000000"/>
                <w:kern w:val="0"/>
                <w:sz w:val="22"/>
                <w:szCs w:val="22"/>
              </w:rPr>
            </w:pPr>
            <w:r>
              <w:rPr>
                <w:color w:val="000000"/>
                <w:kern w:val="0"/>
                <w:sz w:val="22"/>
                <w:szCs w:val="22"/>
              </w:rPr>
              <w:t>决策　</w:t>
            </w:r>
          </w:p>
          <w:p w14:paraId="6506B77E">
            <w:pPr>
              <w:widowControl/>
              <w:spacing w:line="0" w:lineRule="atLeast"/>
              <w:jc w:val="center"/>
              <w:rPr>
                <w:color w:val="000000"/>
                <w:kern w:val="0"/>
                <w:sz w:val="22"/>
                <w:szCs w:val="22"/>
              </w:rPr>
            </w:pPr>
            <w:r>
              <w:rPr>
                <w:color w:val="000000"/>
                <w:kern w:val="0"/>
                <w:sz w:val="22"/>
                <w:szCs w:val="22"/>
              </w:rPr>
              <w:t>　</w:t>
            </w:r>
          </w:p>
          <w:p w14:paraId="60C42FE7">
            <w:pPr>
              <w:spacing w:line="0" w:lineRule="atLeast"/>
              <w:jc w:val="center"/>
              <w:rPr>
                <w:color w:val="000000"/>
                <w:kern w:val="0"/>
                <w:sz w:val="22"/>
                <w:szCs w:val="22"/>
              </w:rPr>
            </w:pPr>
            <w:r>
              <w:rPr>
                <w:color w:val="000000"/>
                <w:kern w:val="0"/>
                <w:sz w:val="22"/>
                <w:szCs w:val="22"/>
              </w:rPr>
              <w:t>　</w:t>
            </w:r>
          </w:p>
          <w:p w14:paraId="41A42C4E">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8CA9083">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14:paraId="13B958D4">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14:paraId="3634B36B">
            <w:pPr>
              <w:widowControl/>
              <w:spacing w:line="0" w:lineRule="atLeast"/>
              <w:jc w:val="center"/>
              <w:rPr>
                <w:color w:val="000000"/>
                <w:kern w:val="0"/>
                <w:sz w:val="22"/>
                <w:szCs w:val="22"/>
                <w:highlight w:val="none"/>
              </w:rPr>
            </w:pPr>
            <w:r>
              <w:rPr>
                <w:color w:val="000000"/>
                <w:kern w:val="0"/>
                <w:sz w:val="22"/>
                <w:szCs w:val="22"/>
                <w:highlight w:val="none"/>
              </w:rPr>
              <w:t>立项依据</w:t>
            </w:r>
          </w:p>
          <w:p w14:paraId="3BF44530">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14:paraId="64B34CD3">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14:paraId="4C09527B">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2A552108">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4A36C31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0590885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670CE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7F7792B">
            <w:pPr>
              <w:spacing w:line="0" w:lineRule="atLeast"/>
              <w:jc w:val="center"/>
              <w:rPr>
                <w:color w:val="000000"/>
                <w:kern w:val="0"/>
                <w:sz w:val="22"/>
                <w:szCs w:val="22"/>
              </w:rPr>
            </w:pPr>
          </w:p>
        </w:tc>
        <w:tc>
          <w:tcPr>
            <w:tcW w:w="990" w:type="dxa"/>
            <w:vMerge w:val="continue"/>
            <w:shd w:val="clear" w:color="auto" w:fill="FFFFFF"/>
            <w:vAlign w:val="center"/>
          </w:tcPr>
          <w:p w14:paraId="2C52FCEC">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36B55C14">
            <w:pPr>
              <w:widowControl/>
              <w:spacing w:line="0" w:lineRule="atLeast"/>
              <w:jc w:val="center"/>
              <w:rPr>
                <w:color w:val="000000"/>
                <w:kern w:val="0"/>
                <w:sz w:val="22"/>
                <w:szCs w:val="22"/>
                <w:highlight w:val="none"/>
              </w:rPr>
            </w:pPr>
          </w:p>
        </w:tc>
        <w:tc>
          <w:tcPr>
            <w:tcW w:w="1707" w:type="dxa"/>
            <w:shd w:val="clear" w:color="auto" w:fill="FFFFFF"/>
            <w:vAlign w:val="center"/>
          </w:tcPr>
          <w:p w14:paraId="33F79FF2">
            <w:pPr>
              <w:widowControl/>
              <w:spacing w:line="0" w:lineRule="atLeast"/>
              <w:jc w:val="center"/>
              <w:rPr>
                <w:color w:val="000000"/>
                <w:kern w:val="0"/>
                <w:sz w:val="22"/>
                <w:szCs w:val="22"/>
                <w:highlight w:val="none"/>
              </w:rPr>
            </w:pPr>
            <w:r>
              <w:rPr>
                <w:color w:val="000000"/>
                <w:kern w:val="0"/>
                <w:sz w:val="22"/>
                <w:szCs w:val="22"/>
                <w:highlight w:val="none"/>
              </w:rPr>
              <w:t>立项程序</w:t>
            </w:r>
          </w:p>
          <w:p w14:paraId="476ABC22">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14:paraId="53818D90">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14:paraId="6914B0E9">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5ED4E7A8">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29377CF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6FC128C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530F9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01011F9">
            <w:pPr>
              <w:spacing w:line="0" w:lineRule="atLeast"/>
              <w:jc w:val="center"/>
              <w:rPr>
                <w:color w:val="000000"/>
                <w:kern w:val="0"/>
                <w:sz w:val="22"/>
                <w:szCs w:val="22"/>
              </w:rPr>
            </w:pPr>
          </w:p>
        </w:tc>
        <w:tc>
          <w:tcPr>
            <w:tcW w:w="990" w:type="dxa"/>
            <w:vMerge w:val="continue"/>
            <w:shd w:val="clear" w:color="auto" w:fill="FFFFFF"/>
            <w:vAlign w:val="center"/>
          </w:tcPr>
          <w:p w14:paraId="5DA9A0B4">
            <w:pPr>
              <w:widowControl/>
              <w:spacing w:line="0" w:lineRule="atLeast"/>
              <w:jc w:val="center"/>
              <w:rPr>
                <w:color w:val="000000"/>
                <w:kern w:val="0"/>
                <w:sz w:val="22"/>
                <w:szCs w:val="22"/>
                <w:highlight w:val="none"/>
              </w:rPr>
            </w:pPr>
          </w:p>
        </w:tc>
        <w:tc>
          <w:tcPr>
            <w:tcW w:w="1283" w:type="dxa"/>
            <w:vMerge w:val="restart"/>
            <w:shd w:val="clear" w:color="auto" w:fill="FFFFFF"/>
            <w:vAlign w:val="center"/>
          </w:tcPr>
          <w:p w14:paraId="4E7EAAD1">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14:paraId="60B609B5">
            <w:pPr>
              <w:widowControl/>
              <w:spacing w:line="0" w:lineRule="atLeast"/>
              <w:jc w:val="center"/>
              <w:rPr>
                <w:color w:val="000000"/>
                <w:kern w:val="0"/>
                <w:sz w:val="22"/>
                <w:szCs w:val="22"/>
                <w:highlight w:val="none"/>
              </w:rPr>
            </w:pPr>
            <w:r>
              <w:rPr>
                <w:color w:val="000000"/>
                <w:kern w:val="0"/>
                <w:sz w:val="22"/>
                <w:szCs w:val="22"/>
                <w:highlight w:val="none"/>
              </w:rPr>
              <w:t>绩效目标</w:t>
            </w:r>
          </w:p>
          <w:p w14:paraId="46E6A6CB">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14:paraId="6CCC853D">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14:paraId="1D76809C">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25B43E31">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274F93E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496DB9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681C45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40385C6">
            <w:pPr>
              <w:widowControl/>
              <w:spacing w:line="0" w:lineRule="atLeast"/>
              <w:jc w:val="center"/>
              <w:rPr>
                <w:color w:val="000000"/>
                <w:kern w:val="0"/>
                <w:sz w:val="22"/>
                <w:szCs w:val="22"/>
              </w:rPr>
            </w:pPr>
          </w:p>
        </w:tc>
        <w:tc>
          <w:tcPr>
            <w:tcW w:w="990" w:type="dxa"/>
            <w:vMerge w:val="continue"/>
            <w:shd w:val="clear" w:color="auto" w:fill="FFFFFF"/>
            <w:vAlign w:val="center"/>
          </w:tcPr>
          <w:p w14:paraId="53D70471">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673FD2EC">
            <w:pPr>
              <w:widowControl/>
              <w:spacing w:line="0" w:lineRule="atLeast"/>
              <w:jc w:val="center"/>
              <w:rPr>
                <w:color w:val="000000"/>
                <w:kern w:val="0"/>
                <w:sz w:val="22"/>
                <w:szCs w:val="22"/>
                <w:highlight w:val="none"/>
              </w:rPr>
            </w:pPr>
          </w:p>
        </w:tc>
        <w:tc>
          <w:tcPr>
            <w:tcW w:w="1707" w:type="dxa"/>
            <w:shd w:val="clear" w:color="auto" w:fill="FFFFFF"/>
            <w:vAlign w:val="center"/>
          </w:tcPr>
          <w:p w14:paraId="4A5BF94D">
            <w:pPr>
              <w:widowControl/>
              <w:spacing w:line="0" w:lineRule="atLeast"/>
              <w:jc w:val="center"/>
              <w:rPr>
                <w:color w:val="000000"/>
                <w:kern w:val="0"/>
                <w:sz w:val="22"/>
                <w:szCs w:val="22"/>
                <w:highlight w:val="none"/>
              </w:rPr>
            </w:pPr>
            <w:r>
              <w:rPr>
                <w:color w:val="000000"/>
                <w:kern w:val="0"/>
                <w:sz w:val="22"/>
                <w:szCs w:val="22"/>
                <w:highlight w:val="none"/>
              </w:rPr>
              <w:t>绩效指标</w:t>
            </w:r>
          </w:p>
          <w:p w14:paraId="534E5DC6">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14:paraId="52DABAA2">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14:paraId="01BFF378">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41B47E2C">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4699452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A9E332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164EE2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5F589D3">
            <w:pPr>
              <w:spacing w:line="0" w:lineRule="atLeast"/>
              <w:jc w:val="center"/>
              <w:rPr>
                <w:color w:val="000000"/>
                <w:kern w:val="0"/>
                <w:sz w:val="22"/>
                <w:szCs w:val="22"/>
              </w:rPr>
            </w:pPr>
          </w:p>
        </w:tc>
        <w:tc>
          <w:tcPr>
            <w:tcW w:w="990" w:type="dxa"/>
            <w:vMerge w:val="continue"/>
            <w:shd w:val="clear" w:color="auto" w:fill="FFFFFF"/>
            <w:vAlign w:val="center"/>
          </w:tcPr>
          <w:p w14:paraId="0ABC00B7">
            <w:pPr>
              <w:spacing w:line="0" w:lineRule="atLeast"/>
              <w:jc w:val="center"/>
              <w:rPr>
                <w:color w:val="000000"/>
                <w:kern w:val="0"/>
                <w:sz w:val="22"/>
                <w:szCs w:val="22"/>
                <w:highlight w:val="none"/>
              </w:rPr>
            </w:pPr>
          </w:p>
        </w:tc>
        <w:tc>
          <w:tcPr>
            <w:tcW w:w="1283" w:type="dxa"/>
            <w:vMerge w:val="restart"/>
            <w:shd w:val="clear" w:color="auto" w:fill="FFFFFF"/>
            <w:vAlign w:val="center"/>
          </w:tcPr>
          <w:p w14:paraId="110854A3">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14:paraId="363B37DE">
            <w:pPr>
              <w:widowControl/>
              <w:spacing w:line="0" w:lineRule="atLeast"/>
              <w:jc w:val="center"/>
              <w:rPr>
                <w:color w:val="000000"/>
                <w:kern w:val="0"/>
                <w:sz w:val="22"/>
                <w:szCs w:val="22"/>
                <w:highlight w:val="none"/>
              </w:rPr>
            </w:pPr>
            <w:r>
              <w:rPr>
                <w:color w:val="000000"/>
                <w:kern w:val="0"/>
                <w:sz w:val="22"/>
                <w:szCs w:val="22"/>
                <w:highlight w:val="none"/>
              </w:rPr>
              <w:t>预算编制</w:t>
            </w:r>
          </w:p>
          <w:p w14:paraId="6C6D4BD6">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14:paraId="019D5900">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07EA9368">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0FDB66EA">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517D82E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75%</w:t>
            </w:r>
          </w:p>
        </w:tc>
        <w:tc>
          <w:tcPr>
            <w:tcW w:w="960" w:type="dxa"/>
            <w:shd w:val="clear" w:color="auto" w:fill="FFFFFF"/>
            <w:vAlign w:val="center"/>
          </w:tcPr>
          <w:p w14:paraId="45C7EBF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08AAF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16C4A0D">
            <w:pPr>
              <w:widowControl/>
              <w:spacing w:line="0" w:lineRule="atLeast"/>
              <w:jc w:val="center"/>
              <w:rPr>
                <w:color w:val="000000"/>
                <w:kern w:val="0"/>
                <w:sz w:val="22"/>
                <w:szCs w:val="22"/>
              </w:rPr>
            </w:pPr>
          </w:p>
        </w:tc>
        <w:tc>
          <w:tcPr>
            <w:tcW w:w="990" w:type="dxa"/>
            <w:vMerge w:val="continue"/>
            <w:shd w:val="clear" w:color="auto" w:fill="FFFFFF"/>
            <w:vAlign w:val="center"/>
          </w:tcPr>
          <w:p w14:paraId="7EAA77BF">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0854CA76">
            <w:pPr>
              <w:widowControl/>
              <w:spacing w:line="0" w:lineRule="atLeast"/>
              <w:jc w:val="center"/>
              <w:rPr>
                <w:color w:val="000000"/>
                <w:kern w:val="0"/>
                <w:sz w:val="22"/>
                <w:szCs w:val="22"/>
                <w:highlight w:val="none"/>
              </w:rPr>
            </w:pPr>
          </w:p>
        </w:tc>
        <w:tc>
          <w:tcPr>
            <w:tcW w:w="1707" w:type="dxa"/>
            <w:shd w:val="clear" w:color="auto" w:fill="FFFFFF"/>
            <w:vAlign w:val="center"/>
          </w:tcPr>
          <w:p w14:paraId="0F1EF86F">
            <w:pPr>
              <w:widowControl/>
              <w:spacing w:line="0" w:lineRule="atLeast"/>
              <w:jc w:val="center"/>
              <w:rPr>
                <w:color w:val="000000"/>
                <w:kern w:val="0"/>
                <w:sz w:val="22"/>
                <w:szCs w:val="22"/>
                <w:highlight w:val="none"/>
              </w:rPr>
            </w:pPr>
            <w:r>
              <w:rPr>
                <w:color w:val="000000"/>
                <w:kern w:val="0"/>
                <w:sz w:val="22"/>
                <w:szCs w:val="22"/>
                <w:highlight w:val="none"/>
              </w:rPr>
              <w:t>资金分配</w:t>
            </w:r>
          </w:p>
          <w:p w14:paraId="2C3E2BF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14:paraId="4FA36446">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7450E299">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442A423D">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39B38D7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3360AA6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3CC42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B8A0BBC">
            <w:pPr>
              <w:spacing w:line="0" w:lineRule="atLeast"/>
              <w:jc w:val="center"/>
              <w:rPr>
                <w:color w:val="000000"/>
                <w:kern w:val="0"/>
                <w:sz w:val="22"/>
                <w:szCs w:val="22"/>
              </w:rPr>
            </w:pPr>
            <w:r>
              <w:rPr>
                <w:color w:val="000000"/>
                <w:kern w:val="0"/>
                <w:sz w:val="22"/>
                <w:szCs w:val="22"/>
              </w:rPr>
              <w:t>过程</w:t>
            </w:r>
          </w:p>
        </w:tc>
        <w:tc>
          <w:tcPr>
            <w:tcW w:w="990" w:type="dxa"/>
            <w:vMerge w:val="restart"/>
            <w:shd w:val="clear" w:color="auto" w:fill="FFFFFF"/>
            <w:vAlign w:val="center"/>
          </w:tcPr>
          <w:p w14:paraId="073AE8E6">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14:paraId="597F8844">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0A964ECE">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14:paraId="73AB89FD">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4698B238">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50378FD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65770B2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36B92C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316CC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6ED1F7C">
            <w:pPr>
              <w:spacing w:line="0" w:lineRule="atLeast"/>
              <w:jc w:val="center"/>
              <w:rPr>
                <w:color w:val="000000"/>
                <w:kern w:val="0"/>
                <w:sz w:val="22"/>
                <w:szCs w:val="22"/>
              </w:rPr>
            </w:pPr>
          </w:p>
        </w:tc>
        <w:tc>
          <w:tcPr>
            <w:tcW w:w="990" w:type="dxa"/>
            <w:vMerge w:val="continue"/>
            <w:shd w:val="clear" w:color="auto" w:fill="FFFFFF"/>
            <w:vAlign w:val="center"/>
          </w:tcPr>
          <w:p w14:paraId="4E3C759C">
            <w:pPr>
              <w:spacing w:line="0" w:lineRule="atLeast"/>
              <w:jc w:val="center"/>
              <w:rPr>
                <w:color w:val="000000"/>
                <w:kern w:val="0"/>
                <w:sz w:val="22"/>
                <w:szCs w:val="22"/>
                <w:highlight w:val="none"/>
              </w:rPr>
            </w:pPr>
          </w:p>
        </w:tc>
        <w:tc>
          <w:tcPr>
            <w:tcW w:w="1283" w:type="dxa"/>
            <w:vMerge w:val="continue"/>
            <w:shd w:val="clear" w:color="auto" w:fill="FFFFFF"/>
            <w:vAlign w:val="center"/>
          </w:tcPr>
          <w:p w14:paraId="05891C72">
            <w:pPr>
              <w:spacing w:line="0" w:lineRule="atLeast"/>
              <w:jc w:val="center"/>
              <w:rPr>
                <w:color w:val="000000"/>
                <w:kern w:val="0"/>
                <w:sz w:val="22"/>
                <w:szCs w:val="22"/>
                <w:highlight w:val="none"/>
              </w:rPr>
            </w:pPr>
          </w:p>
        </w:tc>
        <w:tc>
          <w:tcPr>
            <w:tcW w:w="1707" w:type="dxa"/>
            <w:shd w:val="clear" w:color="auto" w:fill="FFFFFF"/>
            <w:vAlign w:val="center"/>
          </w:tcPr>
          <w:p w14:paraId="04DBC94C">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5BB415B3">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30B671E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3464DEA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14:paraId="6F202CA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1C5B2D3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0890B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2EB27B">
            <w:pPr>
              <w:spacing w:line="0" w:lineRule="atLeast"/>
              <w:jc w:val="center"/>
              <w:rPr>
                <w:color w:val="000000"/>
                <w:kern w:val="0"/>
                <w:sz w:val="22"/>
                <w:szCs w:val="22"/>
              </w:rPr>
            </w:pPr>
          </w:p>
        </w:tc>
        <w:tc>
          <w:tcPr>
            <w:tcW w:w="990" w:type="dxa"/>
            <w:vMerge w:val="continue"/>
            <w:shd w:val="clear" w:color="auto" w:fill="FFFFFF"/>
            <w:vAlign w:val="center"/>
          </w:tcPr>
          <w:p w14:paraId="35CB8129">
            <w:pPr>
              <w:widowControl/>
              <w:spacing w:line="0" w:lineRule="atLeast"/>
              <w:jc w:val="center"/>
              <w:rPr>
                <w:color w:val="000000"/>
                <w:kern w:val="0"/>
                <w:sz w:val="22"/>
                <w:szCs w:val="22"/>
                <w:highlight w:val="none"/>
              </w:rPr>
            </w:pPr>
          </w:p>
        </w:tc>
        <w:tc>
          <w:tcPr>
            <w:tcW w:w="1283" w:type="dxa"/>
            <w:shd w:val="clear" w:color="auto" w:fill="FFFFFF"/>
            <w:vAlign w:val="center"/>
          </w:tcPr>
          <w:p w14:paraId="061EF472">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2E0A3985">
            <w:pPr>
              <w:widowControl/>
              <w:spacing w:line="0" w:lineRule="atLeast"/>
              <w:jc w:val="center"/>
              <w:rPr>
                <w:color w:val="000000"/>
                <w:kern w:val="0"/>
                <w:sz w:val="22"/>
                <w:szCs w:val="22"/>
                <w:highlight w:val="none"/>
              </w:rPr>
            </w:pPr>
            <w:r>
              <w:rPr>
                <w:color w:val="000000"/>
                <w:kern w:val="0"/>
                <w:sz w:val="22"/>
                <w:szCs w:val="22"/>
                <w:highlight w:val="none"/>
              </w:rPr>
              <w:t>资金使用</w:t>
            </w:r>
          </w:p>
          <w:p w14:paraId="6D63B9AE">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14:paraId="3557BDEC">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3FE0C79F">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03711E3D">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4286152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7A8793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0D0DC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2BB8FC0">
            <w:pPr>
              <w:spacing w:line="0" w:lineRule="atLeast"/>
              <w:jc w:val="center"/>
              <w:rPr>
                <w:color w:val="000000"/>
                <w:kern w:val="0"/>
                <w:sz w:val="22"/>
                <w:szCs w:val="22"/>
              </w:rPr>
            </w:pPr>
          </w:p>
        </w:tc>
        <w:tc>
          <w:tcPr>
            <w:tcW w:w="990" w:type="dxa"/>
            <w:vMerge w:val="continue"/>
            <w:shd w:val="clear" w:color="auto" w:fill="FFFFFF"/>
            <w:vAlign w:val="center"/>
          </w:tcPr>
          <w:p w14:paraId="536A437B">
            <w:pPr>
              <w:spacing w:line="0" w:lineRule="atLeast"/>
              <w:jc w:val="center"/>
              <w:rPr>
                <w:color w:val="000000"/>
                <w:kern w:val="0"/>
                <w:sz w:val="22"/>
                <w:szCs w:val="22"/>
                <w:highlight w:val="none"/>
              </w:rPr>
            </w:pPr>
          </w:p>
        </w:tc>
        <w:tc>
          <w:tcPr>
            <w:tcW w:w="1283" w:type="dxa"/>
            <w:vMerge w:val="restart"/>
            <w:shd w:val="clear" w:color="auto" w:fill="FFFFFF"/>
            <w:vAlign w:val="center"/>
          </w:tcPr>
          <w:p w14:paraId="6AC0DBF5">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14:paraId="32622979">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E85C9A8">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14:paraId="33B7C3D3">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3E164B88">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30E9D441">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79E318B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EB0920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5DCD0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86E2EFB">
            <w:pPr>
              <w:widowControl/>
              <w:spacing w:line="0" w:lineRule="atLeast"/>
              <w:jc w:val="center"/>
              <w:rPr>
                <w:color w:val="000000"/>
                <w:kern w:val="0"/>
                <w:sz w:val="22"/>
                <w:szCs w:val="22"/>
              </w:rPr>
            </w:pPr>
          </w:p>
        </w:tc>
        <w:tc>
          <w:tcPr>
            <w:tcW w:w="990" w:type="dxa"/>
            <w:vMerge w:val="continue"/>
            <w:shd w:val="clear" w:color="auto" w:fill="FFFFFF"/>
            <w:vAlign w:val="center"/>
          </w:tcPr>
          <w:p w14:paraId="6FC3FA3F">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5F82C14C">
            <w:pPr>
              <w:widowControl/>
              <w:spacing w:line="0" w:lineRule="atLeast"/>
              <w:jc w:val="center"/>
              <w:rPr>
                <w:color w:val="000000"/>
                <w:kern w:val="0"/>
                <w:sz w:val="22"/>
                <w:szCs w:val="22"/>
                <w:highlight w:val="none"/>
              </w:rPr>
            </w:pPr>
          </w:p>
        </w:tc>
        <w:tc>
          <w:tcPr>
            <w:tcW w:w="1707" w:type="dxa"/>
            <w:shd w:val="clear" w:color="auto" w:fill="FFFFFF"/>
            <w:vAlign w:val="center"/>
          </w:tcPr>
          <w:p w14:paraId="09B000D7">
            <w:pPr>
              <w:widowControl/>
              <w:spacing w:line="0" w:lineRule="atLeast"/>
              <w:jc w:val="center"/>
              <w:rPr>
                <w:color w:val="000000"/>
                <w:kern w:val="0"/>
                <w:sz w:val="22"/>
                <w:szCs w:val="22"/>
                <w:highlight w:val="none"/>
              </w:rPr>
            </w:pPr>
            <w:r>
              <w:rPr>
                <w:color w:val="000000"/>
                <w:kern w:val="0"/>
                <w:sz w:val="22"/>
                <w:szCs w:val="22"/>
                <w:highlight w:val="none"/>
              </w:rPr>
              <w:t>制度执行</w:t>
            </w:r>
          </w:p>
          <w:p w14:paraId="45229518">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14:paraId="7632FA98">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7122471F">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6C3DCECA">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7A083D8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C5BF33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1057C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7A36DFD">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56A2EA66">
            <w:pPr>
              <w:widowControl/>
              <w:spacing w:line="0" w:lineRule="atLeast"/>
              <w:jc w:val="center"/>
              <w:rPr>
                <w:color w:val="000000"/>
                <w:kern w:val="0"/>
                <w:sz w:val="22"/>
                <w:szCs w:val="22"/>
                <w:highlight w:val="none"/>
              </w:rPr>
            </w:pPr>
            <w:r>
              <w:rPr>
                <w:kern w:val="0"/>
                <w:sz w:val="22"/>
                <w:szCs w:val="22"/>
                <w:highlight w:val="none"/>
              </w:rPr>
              <w:t>40分</w:t>
            </w:r>
          </w:p>
        </w:tc>
        <w:tc>
          <w:tcPr>
            <w:tcW w:w="1283" w:type="dxa"/>
            <w:shd w:val="clear" w:color="auto" w:fill="FFFFFF"/>
            <w:vAlign w:val="center"/>
          </w:tcPr>
          <w:p w14:paraId="4C39725A">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14:paraId="24581C0E">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14:paraId="03F948E3">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655EDE59">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3DDD3D0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3B0F21C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528465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14:paraId="7396B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A73F68A">
            <w:pPr>
              <w:widowControl/>
              <w:spacing w:line="0" w:lineRule="atLeast"/>
              <w:jc w:val="center"/>
              <w:rPr>
                <w:color w:val="000000"/>
                <w:kern w:val="0"/>
                <w:sz w:val="22"/>
                <w:szCs w:val="22"/>
              </w:rPr>
            </w:pPr>
          </w:p>
        </w:tc>
        <w:tc>
          <w:tcPr>
            <w:tcW w:w="990" w:type="dxa"/>
            <w:vMerge w:val="continue"/>
            <w:shd w:val="clear" w:color="auto" w:fill="FFFFFF"/>
            <w:vAlign w:val="center"/>
          </w:tcPr>
          <w:p w14:paraId="1104E75D">
            <w:pPr>
              <w:widowControl/>
              <w:spacing w:line="0" w:lineRule="atLeast"/>
              <w:jc w:val="center"/>
              <w:rPr>
                <w:color w:val="000000"/>
                <w:kern w:val="0"/>
                <w:sz w:val="22"/>
                <w:szCs w:val="22"/>
                <w:highlight w:val="none"/>
              </w:rPr>
            </w:pPr>
          </w:p>
        </w:tc>
        <w:tc>
          <w:tcPr>
            <w:tcW w:w="1283" w:type="dxa"/>
            <w:shd w:val="clear" w:color="auto" w:fill="FFFFFF"/>
            <w:vAlign w:val="center"/>
          </w:tcPr>
          <w:p w14:paraId="02EEB4E7">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14:paraId="48454D92">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14:paraId="16044E6E">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7E1F0C38">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0ABF5AF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781C6E8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5C22C3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14:paraId="12779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AB6EB54">
            <w:pPr>
              <w:spacing w:line="0" w:lineRule="atLeast"/>
              <w:jc w:val="center"/>
              <w:rPr>
                <w:color w:val="000000"/>
                <w:kern w:val="0"/>
                <w:sz w:val="22"/>
                <w:szCs w:val="22"/>
              </w:rPr>
            </w:pPr>
          </w:p>
        </w:tc>
        <w:tc>
          <w:tcPr>
            <w:tcW w:w="990" w:type="dxa"/>
            <w:vMerge w:val="continue"/>
            <w:shd w:val="clear" w:color="auto" w:fill="FFFFFF"/>
            <w:vAlign w:val="center"/>
          </w:tcPr>
          <w:p w14:paraId="359A280A">
            <w:pPr>
              <w:spacing w:line="0" w:lineRule="atLeast"/>
              <w:jc w:val="center"/>
              <w:rPr>
                <w:color w:val="000000"/>
                <w:kern w:val="0"/>
                <w:sz w:val="22"/>
                <w:szCs w:val="22"/>
                <w:highlight w:val="none"/>
              </w:rPr>
            </w:pPr>
          </w:p>
        </w:tc>
        <w:tc>
          <w:tcPr>
            <w:tcW w:w="1283" w:type="dxa"/>
            <w:shd w:val="clear" w:color="auto" w:fill="FFFFFF"/>
            <w:vAlign w:val="center"/>
          </w:tcPr>
          <w:p w14:paraId="23D7D8FE">
            <w:pP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14:paraId="646B2E90">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14:paraId="799A70D3">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21154E07">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265E9ACC">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3EA199F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32A1F9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14:paraId="6EEE7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4E4BD66">
            <w:pPr>
              <w:widowControl/>
              <w:spacing w:line="0" w:lineRule="atLeast"/>
              <w:jc w:val="center"/>
              <w:rPr>
                <w:color w:val="000000"/>
                <w:kern w:val="0"/>
                <w:sz w:val="22"/>
                <w:szCs w:val="22"/>
              </w:rPr>
            </w:pPr>
          </w:p>
        </w:tc>
        <w:tc>
          <w:tcPr>
            <w:tcW w:w="990" w:type="dxa"/>
            <w:vMerge w:val="continue"/>
            <w:shd w:val="clear" w:color="auto" w:fill="FFFFFF"/>
            <w:vAlign w:val="center"/>
          </w:tcPr>
          <w:p w14:paraId="25CBB5C6">
            <w:pPr>
              <w:widowControl/>
              <w:spacing w:line="0" w:lineRule="atLeast"/>
              <w:jc w:val="center"/>
              <w:rPr>
                <w:color w:val="000000"/>
                <w:kern w:val="0"/>
                <w:sz w:val="22"/>
                <w:szCs w:val="22"/>
                <w:highlight w:val="none"/>
              </w:rPr>
            </w:pPr>
          </w:p>
        </w:tc>
        <w:tc>
          <w:tcPr>
            <w:tcW w:w="1283" w:type="dxa"/>
            <w:shd w:val="clear" w:color="auto" w:fill="FFFFFF"/>
            <w:vAlign w:val="center"/>
          </w:tcPr>
          <w:p w14:paraId="3393CAD7">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14:paraId="36797804">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14:paraId="7987BCA0">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728EC864">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31C4C0D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135986F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08A78E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14:paraId="064791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0B7A26B">
            <w:pPr>
              <w:widowControl/>
              <w:spacing w:line="0" w:lineRule="atLeast"/>
              <w:jc w:val="center"/>
              <w:rPr>
                <w:color w:val="000000"/>
                <w:kern w:val="0"/>
                <w:sz w:val="22"/>
                <w:szCs w:val="22"/>
              </w:rPr>
            </w:pPr>
            <w:r>
              <w:rPr>
                <w:color w:val="000000"/>
                <w:kern w:val="0"/>
                <w:sz w:val="22"/>
                <w:szCs w:val="22"/>
              </w:rPr>
              <w:t>效益</w:t>
            </w:r>
          </w:p>
        </w:tc>
        <w:tc>
          <w:tcPr>
            <w:tcW w:w="990" w:type="dxa"/>
            <w:vMerge w:val="restart"/>
            <w:shd w:val="clear" w:color="auto" w:fill="FFFFFF"/>
            <w:vAlign w:val="center"/>
          </w:tcPr>
          <w:p w14:paraId="0FAD38FD">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1283" w:type="dxa"/>
            <w:vMerge w:val="restart"/>
            <w:shd w:val="clear" w:color="auto" w:fill="FFFFFF"/>
            <w:vAlign w:val="center"/>
          </w:tcPr>
          <w:p w14:paraId="41AEE90C">
            <w:pPr>
              <w:widowControl/>
              <w:spacing w:line="0" w:lineRule="atLeast"/>
              <w:jc w:val="center"/>
              <w:rPr>
                <w:color w:val="000000"/>
                <w:kern w:val="0"/>
                <w:sz w:val="22"/>
                <w:szCs w:val="22"/>
                <w:highlight w:val="none"/>
              </w:rPr>
            </w:pPr>
            <w:r>
              <w:rPr>
                <w:color w:val="000000"/>
                <w:kern w:val="0"/>
                <w:sz w:val="22"/>
                <w:szCs w:val="22"/>
                <w:highlight w:val="none"/>
              </w:rPr>
              <w:t>项目效益</w:t>
            </w:r>
          </w:p>
        </w:tc>
        <w:tc>
          <w:tcPr>
            <w:tcW w:w="1707" w:type="dxa"/>
            <w:shd w:val="clear" w:color="auto" w:fill="FFFFFF"/>
            <w:vAlign w:val="center"/>
          </w:tcPr>
          <w:p w14:paraId="1A4FD657">
            <w:pPr>
              <w:widowControl/>
              <w:spacing w:line="0" w:lineRule="atLeast"/>
              <w:jc w:val="center"/>
              <w:rPr>
                <w:color w:val="000000"/>
                <w:kern w:val="0"/>
                <w:sz w:val="22"/>
                <w:szCs w:val="22"/>
                <w:highlight w:val="none"/>
              </w:rPr>
            </w:pPr>
            <w:r>
              <w:rPr>
                <w:color w:val="000000"/>
                <w:kern w:val="0"/>
                <w:sz w:val="22"/>
                <w:szCs w:val="22"/>
                <w:highlight w:val="none"/>
              </w:rPr>
              <w:t>实施效益</w:t>
            </w:r>
          </w:p>
          <w:p w14:paraId="5F6400EB">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14:paraId="69046914">
            <w:pPr>
              <w:widowControl/>
              <w:spacing w:line="0" w:lineRule="atLeast"/>
              <w:jc w:val="center"/>
              <w:rPr>
                <w:color w:val="000000"/>
                <w:kern w:val="0"/>
                <w:sz w:val="22"/>
                <w:szCs w:val="22"/>
                <w:highlight w:val="none"/>
              </w:rPr>
            </w:pPr>
            <w:r>
              <w:rPr>
                <w:rFonts w:hint="eastAsia"/>
                <w:color w:val="000000"/>
                <w:kern w:val="0"/>
                <w:sz w:val="22"/>
                <w:szCs w:val="22"/>
                <w:highlight w:val="none"/>
              </w:rPr>
              <w:t>10</w:t>
            </w:r>
          </w:p>
        </w:tc>
        <w:tc>
          <w:tcPr>
            <w:tcW w:w="1044" w:type="dxa"/>
            <w:shd w:val="clear" w:color="auto" w:fill="FFFFFF"/>
            <w:vAlign w:val="center"/>
          </w:tcPr>
          <w:p w14:paraId="3E19AB8D">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17434BA0">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14:paraId="3F6E188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4ECC346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14:paraId="777CA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DBE1702">
            <w:pPr>
              <w:widowControl/>
              <w:spacing w:line="0" w:lineRule="atLeast"/>
              <w:jc w:val="center"/>
              <w:rPr>
                <w:color w:val="000000"/>
                <w:kern w:val="0"/>
                <w:sz w:val="22"/>
                <w:szCs w:val="22"/>
              </w:rPr>
            </w:pPr>
          </w:p>
        </w:tc>
        <w:tc>
          <w:tcPr>
            <w:tcW w:w="990" w:type="dxa"/>
            <w:vMerge w:val="continue"/>
            <w:shd w:val="clear" w:color="auto" w:fill="FFFFFF"/>
            <w:vAlign w:val="center"/>
          </w:tcPr>
          <w:p w14:paraId="001C384E">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491FFE1B">
            <w:pPr>
              <w:widowControl/>
              <w:spacing w:line="0" w:lineRule="atLeast"/>
              <w:jc w:val="center"/>
              <w:rPr>
                <w:color w:val="000000"/>
                <w:kern w:val="0"/>
                <w:sz w:val="22"/>
                <w:szCs w:val="22"/>
                <w:highlight w:val="none"/>
              </w:rPr>
            </w:pPr>
          </w:p>
        </w:tc>
        <w:tc>
          <w:tcPr>
            <w:tcW w:w="1707" w:type="dxa"/>
            <w:shd w:val="clear" w:color="auto" w:fill="FFFFFF"/>
            <w:vAlign w:val="center"/>
          </w:tcPr>
          <w:p w14:paraId="613CA9D4">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14:paraId="2C7D6C19">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3216BD48">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14:paraId="1012DCD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637DF9A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475F4A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bl>
    <w:p w14:paraId="1C9E76B7">
      <w:pPr>
        <w:spacing w:line="600" w:lineRule="exact"/>
        <w:ind w:firstLine="320" w:firstLineChars="100"/>
        <w:rPr>
          <w:rFonts w:eastAsia="黑体"/>
          <w:sz w:val="32"/>
          <w:szCs w:val="32"/>
        </w:rPr>
      </w:pPr>
      <w:r>
        <w:rPr>
          <w:rFonts w:eastAsia="黑体"/>
          <w:sz w:val="32"/>
          <w:szCs w:val="32"/>
        </w:rPr>
        <w:t>四、绩效评价指标分析</w:t>
      </w:r>
    </w:p>
    <w:p w14:paraId="72AFC292">
      <w:pPr>
        <w:pStyle w:val="10"/>
        <w:ind w:firstLine="321" w:firstLineChars="100"/>
        <w:jc w:val="both"/>
        <w:rPr>
          <w:rFonts w:ascii="Times New Roman" w:hAnsi="Times New Roman" w:eastAsia="楷体_GB2312"/>
        </w:rPr>
      </w:pPr>
      <w:r>
        <w:rPr>
          <w:rFonts w:ascii="Times New Roman" w:hAnsi="Times New Roman" w:eastAsia="楷体_GB2312"/>
        </w:rPr>
        <w:t>（一）项目决策情况</w:t>
      </w:r>
    </w:p>
    <w:p w14:paraId="70A488A5">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依据《中华人民共和国产品质量法</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产品质量监督抽查管理暂行办法》、结合自治区安全生产相关要求，按</w:t>
      </w:r>
      <w:r>
        <w:rPr>
          <w:rFonts w:hint="eastAsia" w:ascii="仿宋_GB2312" w:cs="仿宋_GB2312"/>
          <w:sz w:val="32"/>
          <w:szCs w:val="32"/>
        </w:rPr>
        <w:t>《关于开展2023年液化石油气和燃气器具产品质量监督抽查工作的通知》（新市监办质监〔2023〕9号）</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val="en-US" w:eastAsia="zh-CN"/>
        </w:rPr>
        <w:t>由</w:t>
      </w:r>
      <w:r>
        <w:rPr>
          <w:rFonts w:hint="eastAsia" w:ascii="仿宋_GB2312" w:hAnsi="仿宋_GB2312" w:eastAsia="仿宋_GB2312" w:cs="仿宋_GB2312"/>
          <w:sz w:val="32"/>
          <w:szCs w:val="32"/>
        </w:rPr>
        <w:t>我院承担</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，在接到</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任务后，指我院依据此次抽查要求及相关产品标准上报并由自治区市场监督管理局公布了液化石油气、燃气软管、燃气灶具、燃气调压阀</w:t>
      </w:r>
      <w:r>
        <w:rPr>
          <w:rFonts w:hint="eastAsia" w:ascii="仿宋_GB2312" w:hAnsi="仿宋_GB2312" w:eastAsia="仿宋_GB2312" w:cs="仿宋_GB2312"/>
          <w:sz w:val="32"/>
          <w:szCs w:val="32"/>
          <w:lang w:val="en-US" w:eastAsia="zh-CN"/>
        </w:rPr>
        <w:t>等</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类产品</w:t>
      </w:r>
      <w:r>
        <w:rPr>
          <w:rFonts w:hint="eastAsia" w:ascii="仿宋_GB2312" w:hAnsi="仿宋_GB2312" w:eastAsia="仿宋_GB2312" w:cs="仿宋_GB2312"/>
          <w:sz w:val="32"/>
          <w:szCs w:val="32"/>
          <w:lang w:val="en-US" w:eastAsia="zh-CN"/>
        </w:rPr>
        <w:t>的产品</w:t>
      </w:r>
      <w:r>
        <w:rPr>
          <w:rFonts w:hint="eastAsia" w:ascii="仿宋_GB2312" w:hAnsi="仿宋_GB2312" w:eastAsia="仿宋_GB2312" w:cs="仿宋_GB2312"/>
          <w:sz w:val="32"/>
          <w:szCs w:val="32"/>
        </w:rPr>
        <w:t>质量抽查实施细则</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对所有监督抽查工作提前进行了安排，院各部门提前联动协调，并由专人负责，确保项目顺利实施</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积极配合自治区市场监督管理局做好抽检</w:t>
      </w:r>
      <w:r>
        <w:rPr>
          <w:rFonts w:hint="eastAsia" w:ascii="仿宋_GB2312" w:hAnsi="仿宋_GB2312" w:eastAsia="仿宋_GB2312" w:cs="仿宋_GB2312"/>
          <w:sz w:val="32"/>
          <w:szCs w:val="32"/>
          <w:lang w:val="en-US" w:eastAsia="zh-CN"/>
        </w:rPr>
        <w:t>及结果上报</w:t>
      </w:r>
      <w:r>
        <w:rPr>
          <w:rFonts w:hint="eastAsia" w:ascii="仿宋_GB2312" w:hAnsi="仿宋_GB2312" w:eastAsia="仿宋_GB2312" w:cs="仿宋_GB2312"/>
          <w:sz w:val="32"/>
          <w:szCs w:val="32"/>
        </w:rPr>
        <w:t>工作，做到工作认真细致，程序合法合规。</w:t>
      </w:r>
    </w:p>
    <w:p w14:paraId="588031D7">
      <w:pPr>
        <w:pStyle w:val="10"/>
        <w:numPr>
          <w:ilvl w:val="0"/>
          <w:numId w:val="5"/>
        </w:numPr>
        <w:ind w:firstLine="321" w:firstLineChars="100"/>
        <w:jc w:val="both"/>
        <w:rPr>
          <w:rFonts w:ascii="Times New Roman" w:hAnsi="Times New Roman"/>
        </w:rPr>
      </w:pPr>
      <w:r>
        <w:rPr>
          <w:rFonts w:ascii="Times New Roman" w:hAnsi="Times New Roman" w:eastAsia="楷体_GB2312"/>
        </w:rPr>
        <w:t>项目过程情况</w:t>
      </w:r>
    </w:p>
    <w:p w14:paraId="7B01684C">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按照项目经费管理办法执行，项目资金专款专用，项目在实施过程中，严格控制经费支出执行预算。严格执行《自治区质检院财务管理制度》及《自治区质检院资金管理制度》，保证了项目经费的专款专用。项目资金使用符合相关的财务管理制度规定，资金到位率100%，预算执行率100%，项目实施符合相关管理规定。</w:t>
      </w:r>
    </w:p>
    <w:p w14:paraId="2F296928">
      <w:pPr>
        <w:pStyle w:val="2"/>
        <w:numPr>
          <w:ilvl w:val="0"/>
          <w:numId w:val="5"/>
        </w:numPr>
        <w:ind w:firstLine="321" w:firstLineChars="100"/>
        <w:rPr>
          <w:rFonts w:eastAsia="楷体_GB2312"/>
          <w:b/>
          <w:bCs/>
          <w:sz w:val="32"/>
          <w:szCs w:val="32"/>
        </w:rPr>
      </w:pPr>
      <w:r>
        <w:rPr>
          <w:rFonts w:eastAsia="楷体_GB2312"/>
          <w:b/>
          <w:bCs/>
          <w:sz w:val="32"/>
          <w:szCs w:val="32"/>
        </w:rPr>
        <w:t>项目产出</w:t>
      </w:r>
    </w:p>
    <w:p w14:paraId="36869D49">
      <w:pPr>
        <w:pStyle w:val="10"/>
        <w:spacing w:before="0" w:after="0" w:line="600" w:lineRule="exact"/>
        <w:ind w:firstLine="640" w:firstLineChars="200"/>
        <w:jc w:val="both"/>
        <w:rPr>
          <w:rStyle w:val="16"/>
          <w:rFonts w:hint="eastAsia"/>
          <w:b w:val="0"/>
          <w:bCs w:val="0"/>
          <w:kern w:val="2"/>
          <w:lang w:val="en-US" w:eastAsia="zh-CN" w:bidi="ar-SA"/>
        </w:rPr>
      </w:pPr>
      <w:r>
        <w:rPr>
          <w:rStyle w:val="16"/>
          <w:rFonts w:hint="eastAsia"/>
          <w:b w:val="0"/>
          <w:bCs w:val="0"/>
          <w:kern w:val="2"/>
          <w:lang w:val="en-US" w:eastAsia="zh-CN" w:bidi="ar-SA"/>
        </w:rPr>
        <w:t>数量指标方面：监督抽查批次≧1504批次，完成值1269批次，绩效目标完成率85%，绩效目标完成情况偏差主要原因为。</w:t>
      </w:r>
    </w:p>
    <w:p w14:paraId="7B4722CC">
      <w:pPr>
        <w:pStyle w:val="10"/>
        <w:spacing w:before="0" w:after="0" w:line="600" w:lineRule="exact"/>
        <w:ind w:firstLine="640" w:firstLineChars="200"/>
        <w:jc w:val="both"/>
        <w:rPr>
          <w:rStyle w:val="16"/>
          <w:rFonts w:hint="eastAsia"/>
          <w:b w:val="0"/>
          <w:bCs w:val="0"/>
          <w:kern w:val="2"/>
          <w:lang w:val="en-US" w:eastAsia="zh-CN" w:bidi="ar-SA"/>
        </w:rPr>
      </w:pPr>
      <w:r>
        <w:rPr>
          <w:rStyle w:val="16"/>
          <w:rFonts w:hint="eastAsia"/>
          <w:b w:val="0"/>
          <w:bCs w:val="0"/>
          <w:kern w:val="2"/>
          <w:lang w:val="en-US" w:eastAsia="zh-CN" w:bidi="ar-SA"/>
        </w:rPr>
        <w:t>数量指标方面：完成检查报告数量≧1504份，完成值1269份，绩效目标完成率85%，绩效目标完成情况偏差主要原因为。</w:t>
      </w:r>
    </w:p>
    <w:p w14:paraId="29C90E8C">
      <w:pPr>
        <w:pStyle w:val="10"/>
        <w:spacing w:before="0" w:after="0" w:line="600" w:lineRule="exact"/>
        <w:ind w:firstLine="640" w:firstLineChars="200"/>
        <w:jc w:val="both"/>
        <w:rPr>
          <w:rStyle w:val="16"/>
          <w:rFonts w:hint="eastAsia"/>
          <w:b w:val="0"/>
          <w:bCs w:val="0"/>
          <w:kern w:val="2"/>
          <w:lang w:val="en-US" w:eastAsia="zh-CN" w:bidi="ar-SA"/>
        </w:rPr>
      </w:pPr>
      <w:r>
        <w:rPr>
          <w:rStyle w:val="16"/>
          <w:b w:val="0"/>
          <w:bCs w:val="0"/>
          <w:kern w:val="2"/>
          <w:lang w:val="en-US" w:eastAsia="zh-CN" w:bidi="ar-SA"/>
        </w:rPr>
        <w:t>质量指标方面：</w:t>
      </w:r>
      <w:r>
        <w:rPr>
          <w:rStyle w:val="16"/>
          <w:rFonts w:hint="eastAsia"/>
          <w:b w:val="0"/>
          <w:bCs w:val="0"/>
          <w:kern w:val="2"/>
          <w:lang w:val="en-US" w:eastAsia="zh-CN" w:bidi="ar-SA"/>
        </w:rPr>
        <w:t>抽样覆盖率≧90%，完成值95%，绩效目标完成率100%，绩效目标完成情况无偏差。</w:t>
      </w:r>
    </w:p>
    <w:p w14:paraId="3AAC0C11">
      <w:pPr>
        <w:pStyle w:val="10"/>
        <w:spacing w:before="0" w:after="0" w:line="600" w:lineRule="exact"/>
        <w:ind w:firstLine="640" w:firstLineChars="200"/>
        <w:jc w:val="both"/>
        <w:rPr>
          <w:rStyle w:val="16"/>
          <w:b w:val="0"/>
          <w:bCs w:val="0"/>
          <w:kern w:val="2"/>
          <w:lang w:val="en-US" w:eastAsia="zh-CN" w:bidi="ar-SA"/>
        </w:rPr>
      </w:pPr>
      <w:r>
        <w:rPr>
          <w:rStyle w:val="16"/>
          <w:b w:val="0"/>
          <w:bCs w:val="0"/>
          <w:kern w:val="2"/>
          <w:lang w:val="en-US" w:eastAsia="zh-CN" w:bidi="ar-SA"/>
        </w:rPr>
        <w:t>质量指标方面：</w:t>
      </w:r>
      <w:r>
        <w:rPr>
          <w:rStyle w:val="16"/>
          <w:rFonts w:hint="eastAsia"/>
          <w:b w:val="0"/>
          <w:bCs w:val="0"/>
          <w:kern w:val="2"/>
          <w:lang w:val="en-US" w:eastAsia="zh-CN" w:bidi="ar-SA"/>
        </w:rPr>
        <w:t>检验报告准确率≧90%，完成值95%，绩效目标完成率100%，绩效目标完成情况无偏差。</w:t>
      </w:r>
    </w:p>
    <w:p w14:paraId="1E2EDC69">
      <w:pPr>
        <w:pStyle w:val="10"/>
        <w:spacing w:before="0" w:after="0" w:line="600" w:lineRule="exact"/>
        <w:ind w:firstLine="640" w:firstLineChars="200"/>
        <w:jc w:val="both"/>
        <w:rPr>
          <w:rStyle w:val="16"/>
          <w:rFonts w:hint="eastAsia"/>
          <w:b w:val="0"/>
          <w:bCs w:val="0"/>
          <w:kern w:val="2"/>
          <w:lang w:val="en-US" w:eastAsia="zh-CN" w:bidi="ar-SA"/>
        </w:rPr>
      </w:pPr>
      <w:r>
        <w:rPr>
          <w:rStyle w:val="16"/>
          <w:b w:val="0"/>
          <w:bCs w:val="0"/>
          <w:kern w:val="2"/>
          <w:lang w:val="en-US" w:eastAsia="zh-CN" w:bidi="ar-SA"/>
        </w:rPr>
        <w:t>成本指标方面：</w:t>
      </w:r>
      <w:r>
        <w:rPr>
          <w:rStyle w:val="16"/>
          <w:rFonts w:hint="eastAsia"/>
          <w:b w:val="0"/>
          <w:bCs w:val="0"/>
          <w:kern w:val="2"/>
          <w:lang w:val="en-US" w:eastAsia="zh-CN" w:bidi="ar-SA"/>
        </w:rPr>
        <w:t>产品质量安全监督抽检平均成本≦2660元/批次，完成值3152元/批次，绩效目标完成率85%，绩效目标完成情况偏差主要原因为。</w:t>
      </w:r>
    </w:p>
    <w:p w14:paraId="4076FD49">
      <w:pPr>
        <w:spacing w:line="600" w:lineRule="exact"/>
        <w:ind w:firstLine="640" w:firstLineChars="200"/>
        <w:rPr>
          <w:rFonts w:hint="eastAsia" w:ascii="Times New Roman" w:hAnsi="Times New Roman" w:eastAsiaTheme="majorEastAsia"/>
          <w:color w:val="auto"/>
          <w:lang w:eastAsia="zh-CN"/>
        </w:rPr>
      </w:pPr>
      <w:r>
        <w:rPr>
          <w:rStyle w:val="16"/>
        </w:rPr>
        <w:t>时效指标方面：</w:t>
      </w:r>
      <w:r>
        <w:rPr>
          <w:rStyle w:val="16"/>
          <w:rFonts w:hint="eastAsia"/>
        </w:rPr>
        <w:t>出具检验报告及时率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14:paraId="74FB764E">
      <w:pPr>
        <w:spacing w:line="600" w:lineRule="exact"/>
        <w:ind w:firstLine="640" w:firstLineChars="200"/>
        <w:rPr>
          <w:rFonts w:hint="eastAsia" w:ascii="Times New Roman" w:hAnsi="Times New Roman" w:eastAsiaTheme="majorEastAsia"/>
          <w:color w:val="auto"/>
          <w:lang w:eastAsia="zh-CN"/>
        </w:rPr>
      </w:pPr>
      <w:r>
        <w:rPr>
          <w:rStyle w:val="16"/>
        </w:rPr>
        <w:t>时效指标方面：</w:t>
      </w:r>
      <w:r>
        <w:rPr>
          <w:rStyle w:val="16"/>
          <w:rFonts w:hint="eastAsia"/>
        </w:rPr>
        <w:t>质量分析报告上报及时率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14:paraId="67E7AFED">
      <w:pPr>
        <w:pStyle w:val="2"/>
        <w:numPr>
          <w:ilvl w:val="0"/>
          <w:numId w:val="5"/>
        </w:numPr>
        <w:spacing w:line="600" w:lineRule="exact"/>
        <w:ind w:firstLine="643"/>
        <w:rPr>
          <w:rFonts w:eastAsia="楷体_GB2312"/>
          <w:b/>
          <w:bCs/>
          <w:sz w:val="32"/>
          <w:szCs w:val="32"/>
        </w:rPr>
      </w:pPr>
      <w:r>
        <w:rPr>
          <w:rFonts w:eastAsia="楷体_GB2312"/>
          <w:b/>
          <w:bCs/>
          <w:sz w:val="32"/>
          <w:szCs w:val="32"/>
        </w:rPr>
        <w:t>效益情况</w:t>
      </w:r>
    </w:p>
    <w:p w14:paraId="5253C8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Theme="majorEastAsia"/>
          <w:color w:val="auto"/>
          <w:lang w:eastAsia="zh-CN"/>
        </w:rPr>
      </w:pPr>
      <w:r>
        <w:rPr>
          <w:rStyle w:val="16"/>
          <w:rFonts w:hint="eastAsia"/>
          <w:lang w:val="en-US" w:eastAsia="zh-CN"/>
        </w:rPr>
        <w:t>经济</w:t>
      </w:r>
      <w:r>
        <w:rPr>
          <w:rStyle w:val="16"/>
        </w:rPr>
        <w:t>效益指标方面：</w:t>
      </w:r>
      <w:r>
        <w:rPr>
          <w:rStyle w:val="16"/>
          <w:rFonts w:hint="eastAsia"/>
        </w:rPr>
        <w:t>抽检结果公开率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14:paraId="1EF37D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Theme="majorEastAsia"/>
          <w:color w:val="auto"/>
          <w:lang w:eastAsia="zh-CN"/>
        </w:rPr>
      </w:pPr>
      <w:r>
        <w:rPr>
          <w:rStyle w:val="16"/>
        </w:rPr>
        <w:t>满意度指标方面：</w:t>
      </w:r>
      <w:r>
        <w:rPr>
          <w:rStyle w:val="16"/>
          <w:rFonts w:hint="eastAsia"/>
        </w:rPr>
        <w:t>受检企业满意度</w:t>
      </w:r>
      <w:r>
        <w:rPr>
          <w:rStyle w:val="16"/>
          <w:rFonts w:hint="eastAsia"/>
          <w:lang w:eastAsia="zh-CN"/>
        </w:rPr>
        <w:t>（</w:t>
      </w:r>
      <w:r>
        <w:rPr>
          <w:rStyle w:val="16"/>
          <w:rFonts w:hint="eastAsia"/>
        </w:rPr>
        <w:t>%</w:t>
      </w:r>
      <w:r>
        <w:rPr>
          <w:rStyle w:val="16"/>
          <w:rFonts w:hint="eastAsia"/>
          <w:lang w:eastAsia="zh-CN"/>
        </w:rPr>
        <w:t>）</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95%</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14:paraId="679E2222">
      <w:pPr>
        <w:spacing w:line="600" w:lineRule="exact"/>
        <w:ind w:firstLine="640" w:firstLineChars="200"/>
        <w:rPr>
          <w:rStyle w:val="16"/>
        </w:rPr>
      </w:pPr>
      <w:r>
        <w:rPr>
          <w:rFonts w:eastAsia="黑体"/>
          <w:sz w:val="32"/>
          <w:szCs w:val="32"/>
        </w:rPr>
        <w:t>五、主要经验及做法、存在的问题及原因分析</w:t>
      </w:r>
    </w:p>
    <w:p w14:paraId="58BFD049">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6A7EBB8D">
      <w:pPr>
        <w:spacing w:line="600" w:lineRule="exact"/>
        <w:ind w:firstLine="640" w:firstLineChars="200"/>
        <w:outlineLvl w:val="0"/>
        <w:rPr>
          <w:rFonts w:hint="eastAsia" w:ascii="Times New Roman" w:hAnsi="Times New Roman" w:cs="Times New Roman"/>
          <w:sz w:val="32"/>
          <w:szCs w:val="32"/>
        </w:rPr>
      </w:pPr>
      <w:r>
        <w:rPr>
          <w:rFonts w:hint="eastAsia"/>
          <w:sz w:val="32"/>
          <w:szCs w:val="32"/>
        </w:rPr>
        <w:t>通过本项目的实施，进一步了解新疆地区重点产品企业的质量状况</w:t>
      </w:r>
      <w:r>
        <w:rPr>
          <w:rFonts w:hint="eastAsia"/>
          <w:sz w:val="32"/>
          <w:szCs w:val="32"/>
          <w:lang w:eastAsia="zh-CN"/>
        </w:rPr>
        <w:t>，</w:t>
      </w:r>
      <w:r>
        <w:rPr>
          <w:rFonts w:hint="eastAsia"/>
          <w:sz w:val="32"/>
          <w:szCs w:val="32"/>
        </w:rPr>
        <w:t>为监管部门有的放矢</w:t>
      </w:r>
      <w:r>
        <w:rPr>
          <w:rFonts w:hint="eastAsia"/>
          <w:sz w:val="32"/>
          <w:szCs w:val="32"/>
          <w:lang w:eastAsia="zh-CN"/>
        </w:rPr>
        <w:t>地</w:t>
      </w:r>
      <w:r>
        <w:rPr>
          <w:rFonts w:hint="eastAsia"/>
          <w:sz w:val="32"/>
          <w:szCs w:val="32"/>
        </w:rPr>
        <w:t>监管提供依据，引导消费选购，提振消费信心。对生产企业监督有了较大成效，企业对产品质量</w:t>
      </w:r>
      <w:r>
        <w:rPr>
          <w:rFonts w:hint="eastAsia" w:ascii="Times New Roman" w:hAnsi="Times New Roman" w:cs="Times New Roman"/>
          <w:sz w:val="32"/>
          <w:szCs w:val="32"/>
        </w:rPr>
        <w:t>把控意识逐步增强，对生产工艺及原材料质量把关力度不断加强；有针对性地开展质量帮扶，为生产企业提供技术服务及技术支撑，帮助企业不断提升产品品质及出厂合格率，为今后更好</w:t>
      </w:r>
      <w:r>
        <w:rPr>
          <w:rFonts w:hint="eastAsia" w:cs="Times New Roman"/>
          <w:sz w:val="32"/>
          <w:szCs w:val="32"/>
          <w:lang w:eastAsia="zh-CN"/>
        </w:rPr>
        <w:t>地</w:t>
      </w:r>
      <w:r>
        <w:rPr>
          <w:rFonts w:hint="eastAsia" w:ascii="Times New Roman" w:hAnsi="Times New Roman" w:cs="Times New Roman"/>
          <w:sz w:val="32"/>
          <w:szCs w:val="32"/>
        </w:rPr>
        <w:t>对全疆</w:t>
      </w:r>
      <w:r>
        <w:rPr>
          <w:rFonts w:hint="eastAsia" w:ascii="Times New Roman" w:hAnsi="Times New Roman" w:cs="Times New Roman"/>
          <w:sz w:val="32"/>
          <w:szCs w:val="32"/>
          <w:lang w:val="en-US" w:eastAsia="zh-CN"/>
        </w:rPr>
        <w:t>产品质量</w:t>
      </w:r>
      <w:r>
        <w:rPr>
          <w:rFonts w:hint="eastAsia" w:ascii="Times New Roman" w:hAnsi="Times New Roman" w:cs="Times New Roman"/>
          <w:sz w:val="32"/>
          <w:szCs w:val="32"/>
        </w:rPr>
        <w:t>有效监管提供了有效的数据支持。在资金使用方面完善管理制度、强化项目实施过程的管理和监督，严格执行专款专用，确保项目能保质保量</w:t>
      </w:r>
      <w:r>
        <w:rPr>
          <w:rFonts w:hint="eastAsia" w:cs="Times New Roman"/>
          <w:sz w:val="32"/>
          <w:szCs w:val="32"/>
          <w:lang w:eastAsia="zh-CN"/>
        </w:rPr>
        <w:t>地</w:t>
      </w:r>
      <w:r>
        <w:rPr>
          <w:rFonts w:hint="eastAsia" w:ascii="Times New Roman" w:hAnsi="Times New Roman" w:cs="Times New Roman"/>
          <w:sz w:val="32"/>
          <w:szCs w:val="32"/>
        </w:rPr>
        <w:t>顺利进行。</w:t>
      </w:r>
    </w:p>
    <w:p w14:paraId="4E1ABA64">
      <w:pPr>
        <w:spacing w:line="600" w:lineRule="exact"/>
        <w:ind w:firstLine="640" w:firstLineChars="200"/>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A2CF9C7">
      <w:pPr>
        <w:pStyle w:val="10"/>
        <w:spacing w:before="0" w:after="0" w:line="60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D9D813D">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7AD3C6A8">
      <w:pPr>
        <w:pStyle w:val="10"/>
        <w:numPr>
          <w:ilvl w:val="0"/>
          <w:numId w:val="7"/>
        </w:numPr>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p>
    <w:p w14:paraId="0C6942BA">
      <w:pPr>
        <w:pStyle w:val="10"/>
        <w:spacing w:before="0" w:after="0" w:line="600" w:lineRule="exact"/>
        <w:ind w:firstLine="640" w:firstLineChars="200"/>
        <w:jc w:val="left"/>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无</w:t>
      </w:r>
    </w:p>
    <w:p w14:paraId="50D8488C">
      <w:pPr>
        <w:numPr>
          <w:ilvl w:val="0"/>
          <w:numId w:val="7"/>
        </w:numPr>
        <w:spacing w:line="600" w:lineRule="exact"/>
        <w:ind w:firstLine="640" w:firstLineChars="200"/>
        <w:rPr>
          <w:sz w:val="32"/>
          <w:szCs w:val="32"/>
        </w:rPr>
      </w:pPr>
      <w:r>
        <w:rPr>
          <w:sz w:val="32"/>
          <w:szCs w:val="32"/>
        </w:rPr>
        <w:t>原因分析</w:t>
      </w:r>
    </w:p>
    <w:p w14:paraId="5F880C45">
      <w:pPr>
        <w:pStyle w:val="10"/>
        <w:spacing w:before="0" w:after="0" w:line="600" w:lineRule="exact"/>
        <w:ind w:firstLine="640" w:firstLineChars="200"/>
        <w:jc w:val="left"/>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无</w:t>
      </w:r>
    </w:p>
    <w:p w14:paraId="3A34C779">
      <w:pPr>
        <w:numPr>
          <w:ilvl w:val="0"/>
          <w:numId w:val="8"/>
        </w:numPr>
        <w:spacing w:line="600" w:lineRule="exact"/>
        <w:ind w:firstLine="640" w:firstLineChars="200"/>
        <w:rPr>
          <w:rFonts w:eastAsia="黑体"/>
          <w:sz w:val="32"/>
          <w:szCs w:val="32"/>
        </w:rPr>
      </w:pPr>
      <w:r>
        <w:rPr>
          <w:rFonts w:eastAsia="黑体"/>
          <w:sz w:val="32"/>
          <w:szCs w:val="32"/>
        </w:rPr>
        <w:t>有关建议</w:t>
      </w:r>
    </w:p>
    <w:p w14:paraId="3B9B5347">
      <w:pPr>
        <w:pStyle w:val="10"/>
        <w:spacing w:before="0" w:after="0" w:line="600" w:lineRule="exact"/>
        <w:ind w:firstLine="640" w:firstLineChars="200"/>
        <w:jc w:val="left"/>
        <w:rPr>
          <w:rFonts w:hint="eastAsia" w:ascii="Times New Roman" w:hAnsi="Times New Roman" w:eastAsia="仿宋_GB2312" w:cs="Times New Roman"/>
          <w:b w:val="0"/>
          <w:bCs w:val="0"/>
          <w:kern w:val="2"/>
        </w:rPr>
      </w:pPr>
      <w:r>
        <w:rPr>
          <w:rFonts w:hint="eastAsia" w:ascii="Times New Roman" w:hAnsi="Times New Roman" w:eastAsia="仿宋_GB2312" w:cs="Times New Roman"/>
          <w:b w:val="0"/>
          <w:bCs w:val="0"/>
          <w:kern w:val="2"/>
        </w:rPr>
        <w:t>建议加强对</w:t>
      </w:r>
      <w:r>
        <w:rPr>
          <w:rFonts w:hint="eastAsia" w:ascii="Times New Roman" w:hAnsi="Times New Roman" w:eastAsia="仿宋_GB2312" w:cs="Times New Roman"/>
          <w:b w:val="0"/>
          <w:bCs w:val="0"/>
          <w:kern w:val="2"/>
          <w:lang w:val="en-US" w:eastAsia="zh-CN"/>
        </w:rPr>
        <w:t>相关产品</w:t>
      </w:r>
      <w:r>
        <w:rPr>
          <w:rFonts w:hint="eastAsia" w:ascii="Times New Roman" w:hAnsi="Times New Roman" w:eastAsia="仿宋_GB2312" w:cs="Times New Roman"/>
          <w:b w:val="0"/>
          <w:bCs w:val="0"/>
          <w:kern w:val="2"/>
        </w:rPr>
        <w:t>生产环节的监管，对连续出现质量问题的生产企业加强监督管理，督促企业纠正错误，强化商品质量意识，重视公众和社会利益。加强</w:t>
      </w:r>
      <w:r>
        <w:rPr>
          <w:rFonts w:hint="eastAsia" w:ascii="Times New Roman" w:hAnsi="Times New Roman" w:eastAsia="仿宋_GB2312" w:cs="Times New Roman"/>
          <w:b w:val="0"/>
          <w:bCs w:val="0"/>
          <w:kern w:val="2"/>
          <w:lang w:val="en-US" w:eastAsia="zh-CN"/>
        </w:rPr>
        <w:t>危险化学品</w:t>
      </w:r>
      <w:r>
        <w:rPr>
          <w:rFonts w:hint="eastAsia" w:ascii="Times New Roman" w:hAnsi="Times New Roman" w:eastAsia="仿宋_GB2312" w:cs="Times New Roman"/>
          <w:b w:val="0"/>
          <w:bCs w:val="0"/>
          <w:kern w:val="2"/>
        </w:rPr>
        <w:t>企业的生产的关键环节、出厂检验的监管，尤其对生产许可证取证企业的证后监管。</w:t>
      </w:r>
    </w:p>
    <w:p w14:paraId="79546428">
      <w:pPr>
        <w:pStyle w:val="10"/>
        <w:spacing w:before="0" w:after="0" w:line="600" w:lineRule="exact"/>
        <w:ind w:firstLine="640" w:firstLineChars="200"/>
        <w:jc w:val="left"/>
        <w:rPr>
          <w:rFonts w:hint="eastAsia" w:ascii="Times New Roman" w:hAnsi="Times New Roman" w:eastAsia="仿宋_GB2312" w:cs="Times New Roman"/>
          <w:b w:val="0"/>
          <w:bCs w:val="0"/>
          <w:kern w:val="2"/>
        </w:rPr>
      </w:pPr>
      <w:r>
        <w:rPr>
          <w:rFonts w:hint="eastAsia" w:ascii="Times New Roman" w:hAnsi="Times New Roman" w:eastAsia="仿宋_GB2312" w:cs="Times New Roman"/>
          <w:b w:val="0"/>
          <w:bCs w:val="0"/>
          <w:kern w:val="2"/>
          <w:lang w:val="en-US" w:eastAsia="zh-CN"/>
        </w:rPr>
        <w:t>建议</w:t>
      </w:r>
      <w:r>
        <w:rPr>
          <w:rFonts w:hint="eastAsia" w:ascii="Times New Roman" w:hAnsi="Times New Roman" w:eastAsia="仿宋_GB2312" w:cs="Times New Roman"/>
          <w:b w:val="0"/>
          <w:bCs w:val="0"/>
          <w:kern w:val="2"/>
        </w:rPr>
        <w:t>改进绩效监控组织、管理、实施方式</w:t>
      </w:r>
      <w:r>
        <w:rPr>
          <w:rFonts w:hint="eastAsia" w:ascii="Times New Roman" w:hAnsi="Times New Roman" w:eastAsia="仿宋_GB2312" w:cs="Times New Roman"/>
          <w:b w:val="0"/>
          <w:bCs w:val="0"/>
          <w:kern w:val="2"/>
          <w:lang w:eastAsia="zh-CN"/>
        </w:rPr>
        <w:t>等</w:t>
      </w:r>
      <w:r>
        <w:rPr>
          <w:rFonts w:hint="eastAsia" w:ascii="Times New Roman" w:hAnsi="Times New Roman" w:eastAsia="仿宋_GB2312" w:cs="Times New Roman"/>
          <w:b w:val="0"/>
          <w:bCs w:val="0"/>
          <w:kern w:val="2"/>
        </w:rPr>
        <w:t>思路，进一步细化项目绩效年度监控计划。</w:t>
      </w:r>
    </w:p>
    <w:p w14:paraId="09C3B539">
      <w:pPr>
        <w:numPr>
          <w:ilvl w:val="0"/>
          <w:numId w:val="8"/>
        </w:numPr>
        <w:spacing w:line="600" w:lineRule="exact"/>
        <w:ind w:firstLine="640" w:firstLineChars="200"/>
        <w:rPr>
          <w:rFonts w:eastAsia="黑体"/>
          <w:sz w:val="32"/>
          <w:szCs w:val="32"/>
        </w:rPr>
      </w:pPr>
      <w:r>
        <w:rPr>
          <w:rFonts w:eastAsia="黑体"/>
          <w:sz w:val="32"/>
          <w:szCs w:val="32"/>
        </w:rPr>
        <w:t>其他需要说</w:t>
      </w:r>
      <w:bookmarkStart w:id="6" w:name="page8"/>
      <w:bookmarkEnd w:id="6"/>
      <w:r>
        <w:rPr>
          <w:rFonts w:eastAsia="黑体"/>
          <w:sz w:val="32"/>
          <w:szCs w:val="32"/>
        </w:rPr>
        <w:t>明的问题</w:t>
      </w:r>
    </w:p>
    <w:p w14:paraId="6AD5E2B5">
      <w:pPr>
        <w:pStyle w:val="11"/>
        <w:ind w:left="6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4D651446">
      <w:pPr>
        <w:spacing w:line="360" w:lineRule="auto"/>
      </w:pPr>
    </w:p>
    <w:p w14:paraId="726079B8">
      <w:pPr>
        <w:spacing w:line="360" w:lineRule="auto"/>
      </w:pPr>
    </w:p>
    <w:p w14:paraId="4FEBB8C1">
      <w:pPr>
        <w:spacing w:line="360" w:lineRule="auto"/>
      </w:pPr>
    </w:p>
    <w:p w14:paraId="2C2F56FB">
      <w:pPr>
        <w:spacing w:line="360" w:lineRule="auto"/>
      </w:pPr>
    </w:p>
    <w:p w14:paraId="335BF472">
      <w:pPr>
        <w:spacing w:line="360" w:lineRule="auto"/>
      </w:pPr>
    </w:p>
    <w:p w14:paraId="4C5A0D11">
      <w:pPr>
        <w:spacing w:line="360" w:lineRule="auto"/>
      </w:pPr>
    </w:p>
    <w:p w14:paraId="5EE2DD9E">
      <w:pPr>
        <w:spacing w:line="360" w:lineRule="auto"/>
      </w:pPr>
    </w:p>
    <w:p w14:paraId="4EC64499">
      <w:pPr>
        <w:spacing w:line="360" w:lineRule="auto"/>
      </w:pPr>
    </w:p>
    <w:p w14:paraId="2B6C7845">
      <w:pPr>
        <w:spacing w:line="360" w:lineRule="auto"/>
      </w:pPr>
    </w:p>
    <w:p w14:paraId="5722E66A">
      <w:pPr>
        <w:spacing w:line="360" w:lineRule="auto"/>
        <w:rPr>
          <w:rFonts w:hint="eastAsia"/>
        </w:rPr>
      </w:pPr>
    </w:p>
    <w:p w14:paraId="1AC9C3FD">
      <w:pPr>
        <w:pStyle w:val="6"/>
        <w:spacing w:before="0" w:after="0" w:line="240" w:lineRule="auto"/>
        <w:jc w:val="center"/>
        <w:rPr>
          <w:rFonts w:ascii="宋体" w:hAnsi="宋体" w:eastAsia="宋体" w:cs="宋体"/>
          <w:bCs w:val="0"/>
          <w:color w:val="000000"/>
          <w:sz w:val="36"/>
          <w:szCs w:val="28"/>
        </w:rPr>
        <w:sectPr>
          <w:pgSz w:w="11906" w:h="16838"/>
          <w:pgMar w:top="1928" w:right="1531" w:bottom="1701" w:left="1531" w:header="737" w:footer="851" w:gutter="0"/>
          <w:cols w:space="720" w:num="1"/>
          <w:docGrid w:type="lines" w:linePitch="408" w:charSpace="0"/>
        </w:sectPr>
      </w:pPr>
    </w:p>
    <w:p w14:paraId="39532985">
      <w:pPr>
        <w:jc w:val="center"/>
        <w:rPr>
          <w:rFonts w:ascii="宋体" w:hAnsi="宋体" w:eastAsia="宋体"/>
          <w:b/>
          <w:bCs/>
          <w:sz w:val="36"/>
          <w:szCs w:val="32"/>
        </w:rPr>
      </w:pPr>
      <w:r>
        <w:rPr>
          <w:rFonts w:hint="eastAsia" w:ascii="宋体" w:hAnsi="宋体" w:eastAsia="宋体"/>
          <w:b/>
          <w:bCs/>
          <w:sz w:val="36"/>
          <w:szCs w:val="32"/>
        </w:rPr>
        <w:t>项目支出绩效评价指标体系框架（参考）</w:t>
      </w:r>
    </w:p>
    <w:p w14:paraId="0F6EAC98">
      <w:pPr>
        <w:pStyle w:val="6"/>
        <w:spacing w:before="0" w:after="0" w:line="240" w:lineRule="auto"/>
        <w:jc w:val="center"/>
        <w:rPr>
          <w:bCs w:val="0"/>
          <w:color w:val="000000"/>
        </w:rPr>
      </w:pPr>
    </w:p>
    <w:tbl>
      <w:tblPr>
        <w:tblStyle w:val="12"/>
        <w:tblW w:w="132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5"/>
        <w:gridCol w:w="1010"/>
        <w:gridCol w:w="1188"/>
        <w:gridCol w:w="2351"/>
        <w:gridCol w:w="5915"/>
        <w:gridCol w:w="1134"/>
        <w:gridCol w:w="891"/>
      </w:tblGrid>
      <w:tr w14:paraId="4E16E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6" w:hRule="atLeast"/>
          <w:tblHeader/>
          <w:jc w:val="center"/>
        </w:trPr>
        <w:tc>
          <w:tcPr>
            <w:tcW w:w="725" w:type="dxa"/>
            <w:shd w:val="clear" w:color="auto" w:fill="FFFFFF"/>
            <w:vAlign w:val="center"/>
          </w:tcPr>
          <w:p w14:paraId="6D5597D1">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1010" w:type="dxa"/>
            <w:shd w:val="clear" w:color="auto" w:fill="FFFFFF"/>
            <w:vAlign w:val="center"/>
          </w:tcPr>
          <w:p w14:paraId="5F22C1D6">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1188" w:type="dxa"/>
            <w:shd w:val="clear" w:color="auto" w:fill="FFFFFF"/>
            <w:vAlign w:val="center"/>
          </w:tcPr>
          <w:p w14:paraId="08B680AC">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1" w:type="dxa"/>
            <w:shd w:val="clear" w:color="auto" w:fill="FFFFFF"/>
            <w:vAlign w:val="center"/>
          </w:tcPr>
          <w:p w14:paraId="19505E05">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915" w:type="dxa"/>
            <w:shd w:val="clear" w:color="auto" w:fill="FFFFFF"/>
            <w:vAlign w:val="center"/>
          </w:tcPr>
          <w:p w14:paraId="69589D18">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134" w:type="dxa"/>
            <w:shd w:val="clear" w:color="auto" w:fill="FFFFFF"/>
            <w:vAlign w:val="center"/>
          </w:tcPr>
          <w:p w14:paraId="3C67F68D">
            <w:pPr>
              <w:widowControl/>
              <w:spacing w:line="0" w:lineRule="atLeast"/>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权重</w:t>
            </w:r>
          </w:p>
        </w:tc>
        <w:tc>
          <w:tcPr>
            <w:tcW w:w="891" w:type="dxa"/>
            <w:shd w:val="clear" w:color="auto" w:fill="FFFFFF"/>
            <w:vAlign w:val="center"/>
          </w:tcPr>
          <w:p w14:paraId="2F5F9C2E">
            <w:pPr>
              <w:widowControl/>
              <w:spacing w:line="0" w:lineRule="atLeast"/>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得分</w:t>
            </w:r>
          </w:p>
        </w:tc>
      </w:tr>
      <w:tr w14:paraId="254B2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0" w:hRule="atLeast"/>
          <w:jc w:val="center"/>
        </w:trPr>
        <w:tc>
          <w:tcPr>
            <w:tcW w:w="725" w:type="dxa"/>
            <w:vMerge w:val="restart"/>
            <w:shd w:val="clear" w:color="auto" w:fill="FFFFFF"/>
            <w:vAlign w:val="center"/>
          </w:tcPr>
          <w:p w14:paraId="480C8E46">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0284DCA">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6533F94">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010" w:type="dxa"/>
            <w:vMerge w:val="restart"/>
            <w:shd w:val="clear" w:color="auto" w:fill="FFFFFF"/>
            <w:vAlign w:val="center"/>
          </w:tcPr>
          <w:p w14:paraId="7F105CD6">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1188" w:type="dxa"/>
            <w:shd w:val="clear" w:color="auto" w:fill="FFFFFF"/>
            <w:vAlign w:val="center"/>
          </w:tcPr>
          <w:p w14:paraId="7842B1C3">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1C8E3C78">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1" w:type="dxa"/>
            <w:shd w:val="clear" w:color="auto" w:fill="FFFFFF"/>
            <w:vAlign w:val="center"/>
          </w:tcPr>
          <w:p w14:paraId="47772916">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915" w:type="dxa"/>
            <w:shd w:val="clear" w:color="auto" w:fill="FFFFFF"/>
            <w:vAlign w:val="center"/>
          </w:tcPr>
          <w:p w14:paraId="3980F9F0">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879AD08">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3DAB4A58">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46C9A9BA">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4CA2B297">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4B62722E">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1134" w:type="dxa"/>
            <w:shd w:val="clear" w:color="auto" w:fill="FFFFFF"/>
            <w:vAlign w:val="center"/>
          </w:tcPr>
          <w:p w14:paraId="33046B15">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auto" w:fill="FFFFFF"/>
            <w:vAlign w:val="center"/>
          </w:tcPr>
          <w:p w14:paraId="31D1FC53">
            <w:pPr>
              <w:widowControl/>
              <w:spacing w:line="0" w:lineRule="atLeast"/>
              <w:jc w:val="center"/>
              <w:rPr>
                <w:rFonts w:hint="eastAsia" w:ascii="宋体" w:hAnsi="宋体" w:eastAsia="宋体" w:cs="宋体"/>
                <w:color w:val="000000"/>
                <w:kern w:val="0"/>
                <w:sz w:val="22"/>
                <w:szCs w:val="22"/>
              </w:rPr>
            </w:pPr>
          </w:p>
        </w:tc>
      </w:tr>
      <w:tr w14:paraId="32952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6" w:hRule="atLeast"/>
          <w:jc w:val="center"/>
        </w:trPr>
        <w:tc>
          <w:tcPr>
            <w:tcW w:w="725" w:type="dxa"/>
            <w:vMerge w:val="continue"/>
            <w:shd w:val="clear" w:color="auto" w:fill="FFFFFF"/>
            <w:vAlign w:val="center"/>
          </w:tcPr>
          <w:p w14:paraId="5BBBDD6F">
            <w:pPr>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14:paraId="1E825852">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14:paraId="7C84F9C0">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2E75A159">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1" w:type="dxa"/>
            <w:shd w:val="clear" w:color="auto" w:fill="FFFFFF"/>
            <w:vAlign w:val="center"/>
          </w:tcPr>
          <w:p w14:paraId="22E21994">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915" w:type="dxa"/>
            <w:shd w:val="clear" w:color="auto" w:fill="FFFFFF"/>
            <w:vAlign w:val="center"/>
          </w:tcPr>
          <w:p w14:paraId="609444F2">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202C432">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6FD3C670">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2C695505">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1134" w:type="dxa"/>
            <w:shd w:val="clear" w:color="auto" w:fill="FFFFFF"/>
            <w:vAlign w:val="center"/>
          </w:tcPr>
          <w:p w14:paraId="12C36551">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auto" w:fill="FFFFFF"/>
            <w:vAlign w:val="center"/>
          </w:tcPr>
          <w:p w14:paraId="7CB10384">
            <w:pPr>
              <w:widowControl/>
              <w:spacing w:line="0" w:lineRule="atLeast"/>
              <w:jc w:val="center"/>
              <w:rPr>
                <w:rFonts w:hint="eastAsia" w:ascii="宋体" w:hAnsi="宋体" w:eastAsia="宋体" w:cs="宋体"/>
                <w:color w:val="000000"/>
                <w:kern w:val="0"/>
                <w:sz w:val="22"/>
                <w:szCs w:val="22"/>
              </w:rPr>
            </w:pPr>
          </w:p>
        </w:tc>
      </w:tr>
      <w:tr w14:paraId="07DCB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4" w:hRule="atLeast"/>
          <w:jc w:val="center"/>
        </w:trPr>
        <w:tc>
          <w:tcPr>
            <w:tcW w:w="725" w:type="dxa"/>
            <w:vMerge w:val="continue"/>
            <w:shd w:val="clear" w:color="auto" w:fill="FFFFFF"/>
            <w:vAlign w:val="center"/>
          </w:tcPr>
          <w:p w14:paraId="75983BFD">
            <w:pPr>
              <w:spacing w:line="0" w:lineRule="atLeast"/>
              <w:jc w:val="center"/>
              <w:rPr>
                <w:rFonts w:ascii="宋体" w:hAnsi="宋体" w:eastAsia="宋体" w:cs="宋体"/>
                <w:color w:val="000000"/>
                <w:kern w:val="0"/>
                <w:sz w:val="22"/>
                <w:szCs w:val="22"/>
              </w:rPr>
            </w:pPr>
          </w:p>
        </w:tc>
        <w:tc>
          <w:tcPr>
            <w:tcW w:w="1010" w:type="dxa"/>
            <w:shd w:val="clear" w:color="auto" w:fill="FFFFFF"/>
            <w:vAlign w:val="center"/>
          </w:tcPr>
          <w:p w14:paraId="7E9C63D5">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1188" w:type="dxa"/>
            <w:shd w:val="clear" w:color="auto" w:fill="FFFFFF"/>
            <w:vAlign w:val="center"/>
          </w:tcPr>
          <w:p w14:paraId="6409D9D0">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318031D2">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1" w:type="dxa"/>
            <w:shd w:val="clear" w:color="000000" w:fill="FFFFFF"/>
            <w:vAlign w:val="center"/>
          </w:tcPr>
          <w:p w14:paraId="6FB9E56F">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915" w:type="dxa"/>
            <w:shd w:val="clear" w:color="000000" w:fill="FFFFFF"/>
            <w:vAlign w:val="center"/>
          </w:tcPr>
          <w:p w14:paraId="698E29F1">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D24C4F0">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0D465ED4">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4D6D6DD5">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53EE0EDA">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72D8333B">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134" w:type="dxa"/>
            <w:shd w:val="clear" w:color="000000" w:fill="FFFFFF"/>
            <w:vAlign w:val="center"/>
          </w:tcPr>
          <w:p w14:paraId="2D277D75">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000000" w:fill="FFFFFF"/>
            <w:vAlign w:val="center"/>
          </w:tcPr>
          <w:p w14:paraId="09BC87FF">
            <w:pPr>
              <w:widowControl/>
              <w:spacing w:line="0" w:lineRule="atLeast"/>
              <w:jc w:val="center"/>
              <w:rPr>
                <w:rFonts w:hint="eastAsia" w:ascii="宋体" w:hAnsi="宋体" w:eastAsia="宋体" w:cs="宋体"/>
                <w:color w:val="000000"/>
                <w:kern w:val="0"/>
                <w:sz w:val="22"/>
                <w:szCs w:val="22"/>
              </w:rPr>
            </w:pPr>
          </w:p>
        </w:tc>
      </w:tr>
      <w:tr w14:paraId="4DEAF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2" w:hRule="atLeast"/>
          <w:jc w:val="center"/>
        </w:trPr>
        <w:tc>
          <w:tcPr>
            <w:tcW w:w="725" w:type="dxa"/>
            <w:vMerge w:val="restart"/>
            <w:shd w:val="clear" w:color="auto" w:fill="FFFFFF"/>
            <w:vAlign w:val="center"/>
          </w:tcPr>
          <w:p w14:paraId="63A13116">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1010" w:type="dxa"/>
            <w:shd w:val="clear" w:color="auto" w:fill="FFFFFF"/>
            <w:vAlign w:val="center"/>
          </w:tcPr>
          <w:p w14:paraId="4F4EC3A5">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1188" w:type="dxa"/>
            <w:shd w:val="clear" w:color="auto" w:fill="FFFFFF"/>
            <w:vAlign w:val="center"/>
          </w:tcPr>
          <w:p w14:paraId="51DB2084">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C0442D2">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1" w:type="dxa"/>
            <w:shd w:val="clear" w:color="000000" w:fill="FFFFFF"/>
            <w:vAlign w:val="center"/>
          </w:tcPr>
          <w:p w14:paraId="33E4CBFF">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915" w:type="dxa"/>
            <w:shd w:val="clear" w:color="000000" w:fill="FFFFFF"/>
            <w:vAlign w:val="center"/>
          </w:tcPr>
          <w:p w14:paraId="36733266">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05767B8">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6360842D">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654D6BC8">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6316B873">
            <w:pPr>
              <w:widowControl/>
              <w:spacing w:line="0" w:lineRule="atLeast"/>
              <w:rPr>
                <w:rFonts w:hint="eastAsia" w:ascii="宋体" w:hAnsi="宋体" w:eastAsia="宋体" w:cs="宋体"/>
                <w:color w:val="000000"/>
                <w:kern w:val="0"/>
                <w:sz w:val="22"/>
                <w:szCs w:val="22"/>
                <w:lang w:eastAsia="zh-CN"/>
              </w:rPr>
            </w:pPr>
          </w:p>
        </w:tc>
        <w:tc>
          <w:tcPr>
            <w:tcW w:w="1134" w:type="dxa"/>
            <w:shd w:val="clear" w:color="000000" w:fill="FFFFFF"/>
            <w:vAlign w:val="center"/>
          </w:tcPr>
          <w:p w14:paraId="33E17846">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000000" w:fill="FFFFFF"/>
            <w:vAlign w:val="center"/>
          </w:tcPr>
          <w:p w14:paraId="08C19378">
            <w:pPr>
              <w:widowControl/>
              <w:spacing w:line="0" w:lineRule="atLeast"/>
              <w:jc w:val="center"/>
              <w:rPr>
                <w:rFonts w:hint="eastAsia" w:ascii="宋体" w:hAnsi="宋体" w:eastAsia="宋体" w:cs="宋体"/>
                <w:color w:val="000000"/>
                <w:kern w:val="0"/>
                <w:sz w:val="22"/>
                <w:szCs w:val="22"/>
              </w:rPr>
            </w:pPr>
          </w:p>
        </w:tc>
      </w:tr>
      <w:tr w14:paraId="510E5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27" w:hRule="atLeast"/>
          <w:jc w:val="center"/>
        </w:trPr>
        <w:tc>
          <w:tcPr>
            <w:tcW w:w="725" w:type="dxa"/>
            <w:vMerge w:val="continue"/>
            <w:shd w:val="clear" w:color="auto" w:fill="FFFFFF"/>
            <w:vAlign w:val="center"/>
          </w:tcPr>
          <w:p w14:paraId="642CB3E5">
            <w:pPr>
              <w:spacing w:line="0" w:lineRule="atLeast"/>
              <w:jc w:val="center"/>
              <w:rPr>
                <w:rFonts w:ascii="宋体" w:hAnsi="宋体" w:eastAsia="宋体" w:cs="宋体"/>
                <w:color w:val="000000"/>
                <w:kern w:val="0"/>
                <w:sz w:val="22"/>
                <w:szCs w:val="22"/>
              </w:rPr>
            </w:pPr>
          </w:p>
        </w:tc>
        <w:tc>
          <w:tcPr>
            <w:tcW w:w="1010" w:type="dxa"/>
            <w:vMerge w:val="restart"/>
            <w:shd w:val="clear" w:color="auto" w:fill="FFFFFF"/>
            <w:vAlign w:val="center"/>
          </w:tcPr>
          <w:p w14:paraId="5E8D72A4">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420BF67A">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188" w:type="dxa"/>
            <w:shd w:val="clear" w:color="auto" w:fill="FFFFFF"/>
            <w:vAlign w:val="center"/>
          </w:tcPr>
          <w:p w14:paraId="5D6F749D">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6247B491">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1" w:type="dxa"/>
            <w:shd w:val="clear" w:color="auto" w:fill="FFFFFF"/>
            <w:vAlign w:val="center"/>
          </w:tcPr>
          <w:p w14:paraId="005B845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915" w:type="dxa"/>
            <w:shd w:val="clear" w:color="auto" w:fill="FFFFFF"/>
            <w:vAlign w:val="center"/>
          </w:tcPr>
          <w:p w14:paraId="14E429E9">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9469F32">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27895EEF">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23DB5432">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2BD25F6A">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1134" w:type="dxa"/>
            <w:shd w:val="clear" w:color="auto" w:fill="FFFFFF"/>
            <w:vAlign w:val="center"/>
          </w:tcPr>
          <w:p w14:paraId="2C6DAB0C">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auto" w:fill="FFFFFF"/>
            <w:vAlign w:val="center"/>
          </w:tcPr>
          <w:p w14:paraId="3C025F41">
            <w:pPr>
              <w:widowControl/>
              <w:spacing w:line="0" w:lineRule="atLeast"/>
              <w:jc w:val="center"/>
              <w:rPr>
                <w:rFonts w:hint="eastAsia" w:ascii="宋体" w:hAnsi="宋体" w:eastAsia="宋体" w:cs="宋体"/>
                <w:color w:val="000000"/>
                <w:kern w:val="0"/>
                <w:sz w:val="22"/>
                <w:szCs w:val="22"/>
              </w:rPr>
            </w:pPr>
          </w:p>
        </w:tc>
      </w:tr>
      <w:tr w14:paraId="55AFB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92" w:hRule="atLeast"/>
          <w:jc w:val="center"/>
        </w:trPr>
        <w:tc>
          <w:tcPr>
            <w:tcW w:w="725" w:type="dxa"/>
            <w:vMerge w:val="continue"/>
            <w:shd w:val="clear" w:color="auto" w:fill="FFFFFF"/>
            <w:vAlign w:val="center"/>
          </w:tcPr>
          <w:p w14:paraId="2362A4C7">
            <w:pPr>
              <w:widowControl/>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14:paraId="27BAF11A">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14:paraId="014F2E33">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45F4751">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1" w:type="dxa"/>
            <w:shd w:val="clear" w:color="auto" w:fill="FFFFFF"/>
            <w:vAlign w:val="center"/>
          </w:tcPr>
          <w:p w14:paraId="0FBB7FF8">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915" w:type="dxa"/>
            <w:shd w:val="clear" w:color="auto" w:fill="FFFFFF"/>
            <w:vAlign w:val="center"/>
          </w:tcPr>
          <w:p w14:paraId="6EE2F7C7">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6F77EA5">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352C11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1134" w:type="dxa"/>
            <w:shd w:val="clear" w:color="auto" w:fill="FFFFFF"/>
            <w:vAlign w:val="center"/>
          </w:tcPr>
          <w:p w14:paraId="0CD2F466">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auto" w:fill="FFFFFF"/>
            <w:vAlign w:val="center"/>
          </w:tcPr>
          <w:p w14:paraId="5D02A53B">
            <w:pPr>
              <w:widowControl/>
              <w:spacing w:line="0" w:lineRule="atLeast"/>
              <w:jc w:val="center"/>
              <w:rPr>
                <w:rFonts w:hint="eastAsia" w:ascii="宋体" w:hAnsi="宋体" w:eastAsia="宋体" w:cs="宋体"/>
                <w:color w:val="000000"/>
                <w:kern w:val="0"/>
                <w:sz w:val="22"/>
                <w:szCs w:val="22"/>
              </w:rPr>
            </w:pPr>
          </w:p>
        </w:tc>
      </w:tr>
      <w:tr w14:paraId="4C04F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4" w:hRule="atLeast"/>
          <w:jc w:val="center"/>
        </w:trPr>
        <w:tc>
          <w:tcPr>
            <w:tcW w:w="725" w:type="dxa"/>
            <w:vMerge w:val="restart"/>
            <w:shd w:val="clear" w:color="auto" w:fill="FFFFFF"/>
            <w:vAlign w:val="center"/>
          </w:tcPr>
          <w:p w14:paraId="49E41360">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1010" w:type="dxa"/>
            <w:vMerge w:val="restart"/>
            <w:shd w:val="clear" w:color="auto" w:fill="FFFFFF"/>
            <w:vAlign w:val="center"/>
          </w:tcPr>
          <w:p w14:paraId="33507672">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188" w:type="dxa"/>
            <w:shd w:val="clear" w:color="auto" w:fill="FFFFFF"/>
            <w:vAlign w:val="center"/>
          </w:tcPr>
          <w:p w14:paraId="5FC279C0">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1" w:type="dxa"/>
            <w:shd w:val="clear" w:color="000000" w:fill="FFFFFF"/>
            <w:vAlign w:val="center"/>
          </w:tcPr>
          <w:p w14:paraId="13848E7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915" w:type="dxa"/>
            <w:shd w:val="clear" w:color="000000" w:fill="FFFFFF"/>
            <w:vAlign w:val="center"/>
          </w:tcPr>
          <w:p w14:paraId="52C1025E">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14:paraId="5546CA38">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1A60ABB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134" w:type="dxa"/>
            <w:shd w:val="clear" w:color="000000" w:fill="FFFFFF"/>
            <w:vAlign w:val="center"/>
          </w:tcPr>
          <w:p w14:paraId="3DA42F7F">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14:paraId="635478D0">
            <w:pPr>
              <w:widowControl/>
              <w:spacing w:line="0" w:lineRule="atLeast"/>
              <w:jc w:val="center"/>
              <w:rPr>
                <w:rFonts w:hint="eastAsia" w:ascii="宋体" w:hAnsi="宋体" w:eastAsia="宋体" w:cs="宋体"/>
                <w:color w:val="000000"/>
                <w:kern w:val="0"/>
                <w:sz w:val="22"/>
                <w:szCs w:val="22"/>
              </w:rPr>
            </w:pPr>
          </w:p>
        </w:tc>
      </w:tr>
      <w:tr w14:paraId="296CA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9" w:hRule="atLeast"/>
          <w:jc w:val="center"/>
        </w:trPr>
        <w:tc>
          <w:tcPr>
            <w:tcW w:w="725" w:type="dxa"/>
            <w:vMerge w:val="continue"/>
            <w:shd w:val="clear" w:color="auto" w:fill="FFFFFF"/>
            <w:vAlign w:val="center"/>
          </w:tcPr>
          <w:p w14:paraId="746140E6">
            <w:pPr>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14:paraId="7027568A">
            <w:pPr>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14:paraId="4E42ED9E">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1" w:type="dxa"/>
            <w:shd w:val="clear" w:color="auto" w:fill="FFFFFF"/>
            <w:vAlign w:val="center"/>
          </w:tcPr>
          <w:p w14:paraId="5285665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915" w:type="dxa"/>
            <w:shd w:val="clear" w:color="auto" w:fill="FFFFFF"/>
            <w:vAlign w:val="center"/>
          </w:tcPr>
          <w:p w14:paraId="32304850">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1BBA90B3">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1134" w:type="dxa"/>
            <w:shd w:val="clear" w:color="auto" w:fill="FFFFFF"/>
            <w:vAlign w:val="center"/>
          </w:tcPr>
          <w:p w14:paraId="209AB208">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auto" w:fill="FFFFFF"/>
            <w:vAlign w:val="center"/>
          </w:tcPr>
          <w:p w14:paraId="67BCF249">
            <w:pPr>
              <w:widowControl/>
              <w:spacing w:line="0" w:lineRule="atLeast"/>
              <w:jc w:val="center"/>
              <w:rPr>
                <w:rFonts w:hint="eastAsia" w:ascii="宋体" w:hAnsi="宋体" w:eastAsia="宋体" w:cs="宋体"/>
                <w:color w:val="000000"/>
                <w:kern w:val="0"/>
                <w:sz w:val="22"/>
                <w:szCs w:val="22"/>
              </w:rPr>
            </w:pPr>
          </w:p>
        </w:tc>
      </w:tr>
      <w:tr w14:paraId="715A1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9" w:hRule="atLeast"/>
          <w:jc w:val="center"/>
        </w:trPr>
        <w:tc>
          <w:tcPr>
            <w:tcW w:w="725" w:type="dxa"/>
            <w:vMerge w:val="restart"/>
            <w:shd w:val="clear" w:color="auto" w:fill="FFFFFF"/>
            <w:vAlign w:val="center"/>
          </w:tcPr>
          <w:p w14:paraId="1655D6AF">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0EBE7243">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1010" w:type="dxa"/>
            <w:shd w:val="clear" w:color="auto" w:fill="FFFFFF"/>
            <w:vAlign w:val="center"/>
          </w:tcPr>
          <w:p w14:paraId="6553DBD7">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188" w:type="dxa"/>
            <w:shd w:val="clear" w:color="auto" w:fill="FFFFFF"/>
            <w:vAlign w:val="center"/>
          </w:tcPr>
          <w:p w14:paraId="3053918D">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7B6DF5D7">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1" w:type="dxa"/>
            <w:shd w:val="clear" w:color="000000" w:fill="FFFFFF"/>
            <w:vAlign w:val="center"/>
          </w:tcPr>
          <w:p w14:paraId="3680454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915" w:type="dxa"/>
            <w:shd w:val="clear" w:color="000000" w:fill="FFFFFF"/>
            <w:vAlign w:val="center"/>
          </w:tcPr>
          <w:p w14:paraId="19F1CBD4">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A14BDC4">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01B9878D">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1A4943AE">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64F03E9F">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1134" w:type="dxa"/>
            <w:shd w:val="clear" w:color="000000" w:fill="FFFFFF"/>
            <w:vAlign w:val="center"/>
          </w:tcPr>
          <w:p w14:paraId="05472BDC">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14:paraId="1EB56D25">
            <w:pPr>
              <w:widowControl/>
              <w:spacing w:line="0" w:lineRule="atLeast"/>
              <w:jc w:val="center"/>
              <w:rPr>
                <w:rFonts w:hint="eastAsia" w:ascii="宋体" w:hAnsi="宋体" w:eastAsia="宋体" w:cs="宋体"/>
                <w:color w:val="000000"/>
                <w:kern w:val="0"/>
                <w:sz w:val="22"/>
                <w:szCs w:val="22"/>
              </w:rPr>
            </w:pPr>
          </w:p>
        </w:tc>
      </w:tr>
      <w:tr w14:paraId="40773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3" w:hRule="atLeast"/>
          <w:jc w:val="center"/>
        </w:trPr>
        <w:tc>
          <w:tcPr>
            <w:tcW w:w="725" w:type="dxa"/>
            <w:vMerge w:val="continue"/>
            <w:shd w:val="clear" w:color="auto" w:fill="FFFFFF"/>
            <w:vAlign w:val="center"/>
          </w:tcPr>
          <w:p w14:paraId="662070DD">
            <w:pPr>
              <w:spacing w:line="0" w:lineRule="atLeast"/>
              <w:jc w:val="center"/>
              <w:rPr>
                <w:rFonts w:ascii="宋体" w:hAnsi="宋体" w:eastAsia="宋体" w:cs="宋体"/>
                <w:color w:val="000000"/>
                <w:kern w:val="0"/>
                <w:sz w:val="22"/>
                <w:szCs w:val="22"/>
              </w:rPr>
            </w:pPr>
          </w:p>
        </w:tc>
        <w:tc>
          <w:tcPr>
            <w:tcW w:w="1010" w:type="dxa"/>
            <w:vMerge w:val="restart"/>
            <w:shd w:val="clear" w:color="auto" w:fill="FFFFFF"/>
            <w:vAlign w:val="center"/>
          </w:tcPr>
          <w:p w14:paraId="780C7FE6">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8DA5EF">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188" w:type="dxa"/>
            <w:shd w:val="clear" w:color="auto" w:fill="FFFFFF"/>
            <w:vAlign w:val="center"/>
          </w:tcPr>
          <w:p w14:paraId="3F528E00">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13804D2">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1" w:type="dxa"/>
            <w:shd w:val="clear" w:color="000000" w:fill="FFFFFF"/>
            <w:vAlign w:val="center"/>
          </w:tcPr>
          <w:p w14:paraId="5986CEF3">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915" w:type="dxa"/>
            <w:shd w:val="clear" w:color="000000" w:fill="FFFFFF"/>
            <w:vAlign w:val="center"/>
          </w:tcPr>
          <w:p w14:paraId="6E5C9343">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2C4CD2D">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0AA22C1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1134" w:type="dxa"/>
            <w:shd w:val="clear" w:color="000000" w:fill="FFFFFF"/>
            <w:vAlign w:val="center"/>
          </w:tcPr>
          <w:p w14:paraId="7DDBE52B">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14:paraId="195320B4">
            <w:pPr>
              <w:widowControl/>
              <w:spacing w:line="0" w:lineRule="atLeast"/>
              <w:jc w:val="center"/>
              <w:rPr>
                <w:rFonts w:hint="eastAsia" w:ascii="宋体" w:hAnsi="宋体" w:eastAsia="宋体" w:cs="宋体"/>
                <w:color w:val="000000"/>
                <w:kern w:val="0"/>
                <w:sz w:val="22"/>
                <w:szCs w:val="22"/>
              </w:rPr>
            </w:pPr>
          </w:p>
        </w:tc>
      </w:tr>
      <w:tr w14:paraId="2AF08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5" w:hRule="atLeast"/>
          <w:jc w:val="center"/>
        </w:trPr>
        <w:tc>
          <w:tcPr>
            <w:tcW w:w="725" w:type="dxa"/>
            <w:vMerge w:val="continue"/>
            <w:shd w:val="clear" w:color="auto" w:fill="FFFFFF"/>
            <w:vAlign w:val="center"/>
          </w:tcPr>
          <w:p w14:paraId="566BAEFD">
            <w:pPr>
              <w:widowControl/>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14:paraId="59E99697">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14:paraId="32C5C4AE">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219C026D">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1" w:type="dxa"/>
            <w:shd w:val="clear" w:color="000000" w:fill="FFFFFF"/>
            <w:vAlign w:val="center"/>
          </w:tcPr>
          <w:p w14:paraId="70261788">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915" w:type="dxa"/>
            <w:shd w:val="clear" w:color="000000" w:fill="FFFFFF"/>
            <w:vAlign w:val="center"/>
          </w:tcPr>
          <w:p w14:paraId="33D2989C">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9D285BC">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01CE24FE">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28343EA4">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63D3532D">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1134" w:type="dxa"/>
            <w:shd w:val="clear" w:color="000000" w:fill="FFFFFF"/>
            <w:vAlign w:val="center"/>
          </w:tcPr>
          <w:p w14:paraId="64F64BA3">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14:paraId="06D338B6">
            <w:pPr>
              <w:widowControl/>
              <w:spacing w:line="0" w:lineRule="atLeast"/>
              <w:jc w:val="center"/>
              <w:rPr>
                <w:rFonts w:hint="eastAsia" w:ascii="宋体" w:hAnsi="宋体" w:eastAsia="宋体" w:cs="宋体"/>
                <w:color w:val="000000"/>
                <w:kern w:val="0"/>
                <w:sz w:val="22"/>
                <w:szCs w:val="22"/>
              </w:rPr>
            </w:pPr>
          </w:p>
        </w:tc>
      </w:tr>
      <w:tr w14:paraId="3D536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2" w:hRule="atLeast"/>
          <w:jc w:val="center"/>
        </w:trPr>
        <w:tc>
          <w:tcPr>
            <w:tcW w:w="725" w:type="dxa"/>
            <w:shd w:val="clear" w:color="auto" w:fill="FFFFFF"/>
            <w:vAlign w:val="center"/>
          </w:tcPr>
          <w:p w14:paraId="364F18D0">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1010" w:type="dxa"/>
            <w:shd w:val="clear" w:color="auto" w:fill="FFFFFF"/>
            <w:vAlign w:val="center"/>
          </w:tcPr>
          <w:p w14:paraId="508DA515">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1188" w:type="dxa"/>
            <w:shd w:val="clear" w:color="auto" w:fill="FFFFFF"/>
            <w:vAlign w:val="center"/>
          </w:tcPr>
          <w:p w14:paraId="27900C33">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1" w:type="dxa"/>
            <w:shd w:val="clear" w:color="000000" w:fill="FFFFFF"/>
            <w:vAlign w:val="center"/>
          </w:tcPr>
          <w:p w14:paraId="5983E2F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915" w:type="dxa"/>
            <w:shd w:val="clear" w:color="000000" w:fill="FFFFFF"/>
            <w:vAlign w:val="center"/>
          </w:tcPr>
          <w:p w14:paraId="3263B796">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15332147">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5B109BC3">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134" w:type="dxa"/>
            <w:shd w:val="clear" w:color="000000" w:fill="FFFFFF"/>
            <w:vAlign w:val="center"/>
          </w:tcPr>
          <w:p w14:paraId="60A2D6C8">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14:paraId="0D47153A">
            <w:pPr>
              <w:widowControl/>
              <w:spacing w:line="0" w:lineRule="atLeast"/>
              <w:jc w:val="center"/>
              <w:rPr>
                <w:rFonts w:hint="eastAsia" w:ascii="宋体" w:hAnsi="宋体" w:eastAsia="宋体" w:cs="宋体"/>
                <w:color w:val="000000"/>
                <w:kern w:val="0"/>
                <w:sz w:val="22"/>
                <w:szCs w:val="22"/>
              </w:rPr>
            </w:pPr>
          </w:p>
        </w:tc>
      </w:tr>
      <w:tr w14:paraId="33C40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4" w:hRule="atLeast"/>
          <w:jc w:val="center"/>
        </w:trPr>
        <w:tc>
          <w:tcPr>
            <w:tcW w:w="725" w:type="dxa"/>
            <w:vMerge w:val="restart"/>
            <w:shd w:val="clear" w:color="auto" w:fill="FFFFFF"/>
            <w:vAlign w:val="center"/>
          </w:tcPr>
          <w:p w14:paraId="5A8FA1FB">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1010" w:type="dxa"/>
            <w:shd w:val="clear" w:color="auto" w:fill="FFFFFF"/>
            <w:vAlign w:val="center"/>
          </w:tcPr>
          <w:p w14:paraId="6F4A9BC3">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1188" w:type="dxa"/>
            <w:shd w:val="clear" w:color="auto" w:fill="FFFFFF"/>
            <w:vAlign w:val="center"/>
          </w:tcPr>
          <w:p w14:paraId="005733B6">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1" w:type="dxa"/>
            <w:shd w:val="clear" w:color="000000" w:fill="FFFFFF"/>
            <w:vAlign w:val="center"/>
          </w:tcPr>
          <w:p w14:paraId="046C6DC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915" w:type="dxa"/>
            <w:shd w:val="clear" w:color="000000" w:fill="FFFFFF"/>
            <w:vAlign w:val="center"/>
          </w:tcPr>
          <w:p w14:paraId="21536EBF">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68F15650">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34" w:type="dxa"/>
            <w:shd w:val="clear" w:color="000000" w:fill="FFFFFF"/>
            <w:vAlign w:val="center"/>
          </w:tcPr>
          <w:p w14:paraId="1709F1DE">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14:paraId="2109B00E">
            <w:pPr>
              <w:widowControl/>
              <w:spacing w:line="0" w:lineRule="atLeast"/>
              <w:jc w:val="center"/>
              <w:rPr>
                <w:rFonts w:hint="eastAsia" w:ascii="宋体" w:hAnsi="宋体" w:eastAsia="宋体" w:cs="宋体"/>
                <w:color w:val="000000"/>
                <w:kern w:val="0"/>
                <w:sz w:val="22"/>
                <w:szCs w:val="22"/>
              </w:rPr>
            </w:pPr>
          </w:p>
        </w:tc>
      </w:tr>
      <w:tr w14:paraId="3D625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94" w:hRule="atLeast"/>
          <w:jc w:val="center"/>
        </w:trPr>
        <w:tc>
          <w:tcPr>
            <w:tcW w:w="725" w:type="dxa"/>
            <w:vMerge w:val="continue"/>
            <w:shd w:val="clear" w:color="auto" w:fill="FFFFFF"/>
            <w:vAlign w:val="center"/>
          </w:tcPr>
          <w:p w14:paraId="05326207">
            <w:pPr>
              <w:spacing w:line="0" w:lineRule="atLeast"/>
              <w:jc w:val="center"/>
              <w:rPr>
                <w:rFonts w:ascii="宋体" w:hAnsi="宋体" w:eastAsia="宋体" w:cs="宋体"/>
                <w:color w:val="000000"/>
                <w:kern w:val="0"/>
                <w:sz w:val="22"/>
                <w:szCs w:val="22"/>
              </w:rPr>
            </w:pPr>
          </w:p>
        </w:tc>
        <w:tc>
          <w:tcPr>
            <w:tcW w:w="1010" w:type="dxa"/>
            <w:shd w:val="clear" w:color="auto" w:fill="FFFFFF"/>
            <w:vAlign w:val="center"/>
          </w:tcPr>
          <w:p w14:paraId="73132558">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1188" w:type="dxa"/>
            <w:shd w:val="clear" w:color="auto" w:fill="FFFFFF"/>
            <w:vAlign w:val="center"/>
          </w:tcPr>
          <w:p w14:paraId="425B9152">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1" w:type="dxa"/>
            <w:shd w:val="clear" w:color="000000" w:fill="FFFFFF"/>
            <w:vAlign w:val="center"/>
          </w:tcPr>
          <w:p w14:paraId="6CCEA740">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915" w:type="dxa"/>
            <w:shd w:val="clear" w:color="000000" w:fill="FFFFFF"/>
            <w:vAlign w:val="center"/>
          </w:tcPr>
          <w:p w14:paraId="641249A2">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7340CC3F">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1134" w:type="dxa"/>
            <w:shd w:val="clear" w:color="000000" w:fill="FFFFFF"/>
            <w:vAlign w:val="center"/>
          </w:tcPr>
          <w:p w14:paraId="16E14AB8">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14:paraId="7B9FF702">
            <w:pPr>
              <w:widowControl/>
              <w:spacing w:line="0" w:lineRule="atLeast"/>
              <w:jc w:val="center"/>
              <w:rPr>
                <w:rFonts w:hint="eastAsia" w:ascii="宋体" w:hAnsi="宋体" w:eastAsia="宋体" w:cs="宋体"/>
                <w:color w:val="000000"/>
                <w:kern w:val="0"/>
                <w:sz w:val="22"/>
                <w:szCs w:val="22"/>
              </w:rPr>
            </w:pPr>
          </w:p>
        </w:tc>
      </w:tr>
      <w:tr w14:paraId="70FCB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9" w:hRule="atLeast"/>
          <w:jc w:val="center"/>
        </w:trPr>
        <w:tc>
          <w:tcPr>
            <w:tcW w:w="725" w:type="dxa"/>
            <w:vMerge w:val="continue"/>
            <w:shd w:val="clear" w:color="auto" w:fill="FFFFFF"/>
            <w:vAlign w:val="center"/>
          </w:tcPr>
          <w:p w14:paraId="7B07DAF0">
            <w:pPr>
              <w:widowControl/>
              <w:spacing w:line="0" w:lineRule="atLeast"/>
              <w:jc w:val="center"/>
              <w:rPr>
                <w:rFonts w:ascii="宋体" w:hAnsi="宋体" w:eastAsia="宋体" w:cs="宋体"/>
                <w:color w:val="000000"/>
                <w:kern w:val="0"/>
                <w:sz w:val="22"/>
                <w:szCs w:val="22"/>
              </w:rPr>
            </w:pPr>
          </w:p>
        </w:tc>
        <w:tc>
          <w:tcPr>
            <w:tcW w:w="1010" w:type="dxa"/>
            <w:shd w:val="clear" w:color="auto" w:fill="FFFFFF"/>
            <w:vAlign w:val="center"/>
          </w:tcPr>
          <w:p w14:paraId="0C8A44CB">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1188" w:type="dxa"/>
            <w:shd w:val="clear" w:color="auto" w:fill="FFFFFF"/>
            <w:vAlign w:val="center"/>
          </w:tcPr>
          <w:p w14:paraId="5ED3BDDF">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1" w:type="dxa"/>
            <w:shd w:val="clear" w:color="000000" w:fill="FFFFFF"/>
            <w:vAlign w:val="center"/>
          </w:tcPr>
          <w:p w14:paraId="71D3A28D">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915" w:type="dxa"/>
            <w:shd w:val="clear" w:color="000000" w:fill="FFFFFF"/>
            <w:vAlign w:val="center"/>
          </w:tcPr>
          <w:p w14:paraId="1F06FF25">
            <w:pPr>
              <w:widowControl/>
              <w:spacing w:line="0" w:lineRule="atLeast"/>
              <w:rPr>
                <w:rFonts w:hint="eastAsia" w:ascii="宋体" w:hAnsi="宋体" w:eastAsia="宋体" w:cs="宋体"/>
                <w:color w:val="000000"/>
                <w:kern w:val="0"/>
                <w:sz w:val="22"/>
                <w:szCs w:val="22"/>
                <w:lang w:eastAsia="zh-CN"/>
              </w:rPr>
            </w:pPr>
          </w:p>
          <w:p w14:paraId="78B42475">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6F51C151">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3376AED7">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1134" w:type="dxa"/>
            <w:shd w:val="clear" w:color="000000" w:fill="FFFFFF"/>
            <w:vAlign w:val="center"/>
          </w:tcPr>
          <w:p w14:paraId="601D0AC9">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14:paraId="64F07512">
            <w:pPr>
              <w:widowControl/>
              <w:spacing w:line="0" w:lineRule="atLeast"/>
              <w:jc w:val="center"/>
              <w:rPr>
                <w:rFonts w:hint="eastAsia" w:ascii="宋体" w:hAnsi="宋体" w:eastAsia="宋体" w:cs="宋体"/>
                <w:color w:val="000000"/>
                <w:kern w:val="0"/>
                <w:sz w:val="22"/>
                <w:szCs w:val="22"/>
              </w:rPr>
            </w:pPr>
          </w:p>
        </w:tc>
      </w:tr>
      <w:tr w14:paraId="0FB53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1" w:hRule="atLeast"/>
          <w:jc w:val="center"/>
        </w:trPr>
        <w:tc>
          <w:tcPr>
            <w:tcW w:w="725" w:type="dxa"/>
            <w:vMerge w:val="restart"/>
            <w:shd w:val="clear" w:color="auto" w:fill="FFFFFF"/>
            <w:vAlign w:val="center"/>
          </w:tcPr>
          <w:p w14:paraId="1DADC907">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1010" w:type="dxa"/>
            <w:vMerge w:val="restart"/>
            <w:shd w:val="clear" w:color="auto" w:fill="FFFFFF"/>
            <w:vAlign w:val="center"/>
          </w:tcPr>
          <w:p w14:paraId="41E2FBD4">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1188" w:type="dxa"/>
            <w:shd w:val="clear" w:color="auto" w:fill="FFFFFF"/>
            <w:vAlign w:val="center"/>
          </w:tcPr>
          <w:p w14:paraId="488A6FAA">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1" w:type="dxa"/>
            <w:shd w:val="clear" w:color="auto" w:fill="FFFFFF"/>
            <w:vAlign w:val="center"/>
          </w:tcPr>
          <w:p w14:paraId="0A2CE379">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915" w:type="dxa"/>
            <w:shd w:val="clear" w:color="auto" w:fill="FFFFFF"/>
            <w:vAlign w:val="center"/>
          </w:tcPr>
          <w:p w14:paraId="53F695E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134" w:type="dxa"/>
            <w:shd w:val="clear" w:color="auto" w:fill="FFFFFF"/>
            <w:vAlign w:val="center"/>
          </w:tcPr>
          <w:p w14:paraId="76E05932">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auto" w:fill="FFFFFF"/>
            <w:vAlign w:val="center"/>
          </w:tcPr>
          <w:p w14:paraId="39873EAC">
            <w:pPr>
              <w:widowControl/>
              <w:spacing w:line="0" w:lineRule="atLeast"/>
              <w:jc w:val="center"/>
              <w:rPr>
                <w:rFonts w:hint="eastAsia" w:ascii="宋体" w:hAnsi="宋体" w:eastAsia="宋体" w:cs="宋体"/>
                <w:color w:val="000000"/>
                <w:kern w:val="0"/>
                <w:sz w:val="22"/>
                <w:szCs w:val="22"/>
              </w:rPr>
            </w:pPr>
          </w:p>
        </w:tc>
      </w:tr>
      <w:tr w14:paraId="65EF1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8" w:hRule="atLeast"/>
          <w:jc w:val="center"/>
        </w:trPr>
        <w:tc>
          <w:tcPr>
            <w:tcW w:w="725" w:type="dxa"/>
            <w:vMerge w:val="continue"/>
            <w:shd w:val="clear" w:color="auto" w:fill="FFFFFF"/>
            <w:vAlign w:val="center"/>
          </w:tcPr>
          <w:p w14:paraId="09150028">
            <w:pPr>
              <w:widowControl/>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14:paraId="39C8E413">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14:paraId="7E894415">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1" w:type="dxa"/>
            <w:shd w:val="clear" w:color="000000" w:fill="FFFFFF"/>
            <w:vAlign w:val="center"/>
          </w:tcPr>
          <w:p w14:paraId="1798B974">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915" w:type="dxa"/>
            <w:shd w:val="clear" w:color="000000" w:fill="FFFFFF"/>
            <w:vAlign w:val="center"/>
          </w:tcPr>
          <w:p w14:paraId="17C7E0AD">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134" w:type="dxa"/>
            <w:shd w:val="clear" w:color="000000" w:fill="FFFFFF"/>
            <w:vAlign w:val="center"/>
          </w:tcPr>
          <w:p w14:paraId="22A48D66">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14:paraId="18F58102">
            <w:pPr>
              <w:widowControl/>
              <w:spacing w:line="0" w:lineRule="atLeast"/>
              <w:jc w:val="center"/>
              <w:rPr>
                <w:rFonts w:hint="eastAsia" w:ascii="宋体" w:hAnsi="宋体" w:eastAsia="宋体" w:cs="宋体"/>
                <w:color w:val="000000"/>
                <w:kern w:val="0"/>
                <w:sz w:val="22"/>
                <w:szCs w:val="22"/>
              </w:rPr>
            </w:pPr>
          </w:p>
        </w:tc>
      </w:tr>
    </w:tbl>
    <w:p w14:paraId="1C7A2C7D">
      <w:pPr>
        <w:widowControl/>
        <w:jc w:val="left"/>
        <w:rPr>
          <w:rFonts w:hint="eastAsia"/>
        </w:rPr>
        <w:sectPr>
          <w:pgSz w:w="16838" w:h="11906" w:orient="landscape"/>
          <w:pgMar w:top="1531" w:right="1701" w:bottom="1531" w:left="1928" w:header="737" w:footer="851" w:gutter="0"/>
          <w:cols w:space="720" w:num="1"/>
          <w:docGrid w:type="lines" w:linePitch="408" w:charSpace="0"/>
        </w:sectPr>
      </w:pPr>
      <w:bookmarkStart w:id="7" w:name="_GoBack"/>
      <w:bookmarkEnd w:id="7"/>
    </w:p>
    <w:p w14:paraId="3A8724F2"/>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3952A770"/>
    <w:multiLevelType w:val="singleLevel"/>
    <w:tmpl w:val="3952A770"/>
    <w:lvl w:ilvl="0" w:tentative="0">
      <w:start w:val="1"/>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5"/>
  </w:num>
  <w:num w:numId="4">
    <w:abstractNumId w:val="3"/>
  </w:num>
  <w:num w:numId="5">
    <w:abstractNumId w:val="7"/>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4MzUzNGJiODkyZDFhMmQ5MjgxYmUwYzA3OTkzYzMifQ=="/>
  </w:docVars>
  <w:rsids>
    <w:rsidRoot w:val="00000000"/>
    <w:rsid w:val="35A31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qFormat/>
    <w:uiPriority w:val="9"/>
    <w:pPr>
      <w:keepNext/>
      <w:keepLines/>
      <w:spacing w:before="340" w:after="330" w:line="578" w:lineRule="auto"/>
      <w:outlineLvl w:val="0"/>
    </w:pPr>
    <w:rPr>
      <w:b/>
      <w:bCs/>
      <w:kern w:val="44"/>
      <w:sz w:val="44"/>
      <w:szCs w:val="44"/>
    </w:rPr>
  </w:style>
  <w:style w:type="paragraph" w:styleId="6">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after="0"/>
      <w:ind w:firstLine="200" w:firstLineChars="200"/>
    </w:pPr>
    <w:rPr>
      <w:rFonts w:eastAsia="宋体"/>
      <w:sz w:val="21"/>
    </w:rPr>
  </w:style>
  <w:style w:type="paragraph" w:styleId="3">
    <w:name w:val="Body Text"/>
    <w:basedOn w:val="1"/>
    <w:next w:val="4"/>
    <w:semiHidden/>
    <w:unhideWhenUsed/>
    <w:qFormat/>
    <w:uiPriority w:val="99"/>
    <w:pPr>
      <w:spacing w:after="120"/>
    </w:pPr>
  </w:style>
  <w:style w:type="paragraph" w:customStyle="1" w:styleId="4">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Body Text Indent"/>
    <w:basedOn w:val="1"/>
    <w:semiHidden/>
    <w:unhideWhenUsed/>
    <w:qFormat/>
    <w:uiPriority w:val="99"/>
    <w:pPr>
      <w:spacing w:after="120"/>
      <w:ind w:left="420" w:leftChars="200"/>
    </w:p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2"/>
    <w:basedOn w:val="7"/>
    <w:qFormat/>
    <w:uiPriority w:val="0"/>
    <w:pPr>
      <w:ind w:firstLine="420" w:firstLineChars="200"/>
    </w:pPr>
    <w:rPr>
      <w:rFonts w:ascii="Calibri" w:hAnsi="Calibri" w:eastAsia="宋体"/>
      <w:sz w:val="21"/>
    </w:rPr>
  </w:style>
  <w:style w:type="character" w:styleId="14">
    <w:name w:val="Hyperlink"/>
    <w:basedOn w:val="13"/>
    <w:unhideWhenUsed/>
    <w:qFormat/>
    <w:uiPriority w:val="99"/>
    <w:rPr>
      <w:color w:val="0026E5" w:themeColor="hyperlink"/>
      <w:u w:val="single"/>
      <w14:textFill>
        <w14:solidFill>
          <w14:schemeClr w14:val="hlink"/>
        </w14:solidFill>
      </w14:textFill>
    </w:rPr>
  </w:style>
  <w:style w:type="paragraph" w:customStyle="1" w:styleId="15">
    <w:name w:val="TOC 标题1"/>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character" w:customStyle="1" w:styleId="16">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2024-08-12T10:30:00Z</dcterms:created>
  <dc:creator>Administrator</dc:creator>
  <cp:lastModifiedBy>桔子</cp:lastModifiedBy>
  <dcterms:modified xsi:type="dcterms:W3CDTF">2024-08-12T10:32:09Z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918ADAD2FA1544409E0E1108E7DC57D7_12</vt:lpwstr>
  </property>
</Properties>
</file>