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24331">
      <w:pPr>
        <w:spacing w:line="540" w:lineRule="exact"/>
        <w:jc w:val="left"/>
        <w:rPr>
          <w:rFonts w:hint="eastAsia" w:ascii="黑体" w:hAnsi="黑体" w:eastAsia="黑体" w:cs="黑体"/>
          <w:bCs/>
          <w:kern w:val="0"/>
          <w:sz w:val="32"/>
          <w:szCs w:val="32"/>
        </w:rPr>
      </w:pPr>
      <w:r>
        <w:rPr>
          <w:rFonts w:hint="eastAsia" w:ascii="黑体" w:hAnsi="黑体" w:eastAsia="黑体" w:cs="黑体"/>
          <w:bCs/>
          <w:kern w:val="0"/>
          <w:sz w:val="32"/>
          <w:szCs w:val="32"/>
        </w:rPr>
        <w:t>附件2：</w:t>
      </w:r>
    </w:p>
    <w:p w14:paraId="2ED89CA6">
      <w:pPr>
        <w:spacing w:line="540" w:lineRule="exact"/>
        <w:rPr>
          <w:rFonts w:eastAsia="华文中宋"/>
          <w:b/>
          <w:kern w:val="0"/>
          <w:sz w:val="72"/>
          <w:szCs w:val="72"/>
        </w:rPr>
      </w:pPr>
    </w:p>
    <w:p w14:paraId="46FE4AB8">
      <w:pPr>
        <w:spacing w:line="540" w:lineRule="exact"/>
        <w:jc w:val="center"/>
        <w:rPr>
          <w:rFonts w:eastAsia="华文中宋"/>
          <w:b/>
          <w:kern w:val="0"/>
          <w:sz w:val="52"/>
          <w:szCs w:val="52"/>
        </w:rPr>
      </w:pPr>
    </w:p>
    <w:p w14:paraId="24855A73">
      <w:pPr>
        <w:spacing w:line="540" w:lineRule="exact"/>
        <w:jc w:val="center"/>
        <w:rPr>
          <w:rFonts w:eastAsia="华文中宋"/>
          <w:b/>
          <w:kern w:val="0"/>
          <w:sz w:val="52"/>
          <w:szCs w:val="52"/>
        </w:rPr>
      </w:pPr>
    </w:p>
    <w:p w14:paraId="2AEBACF2">
      <w:pPr>
        <w:spacing w:line="540" w:lineRule="exact"/>
        <w:jc w:val="center"/>
        <w:rPr>
          <w:rFonts w:eastAsia="方正小标宋_GBK"/>
          <w:kern w:val="0"/>
          <w:sz w:val="48"/>
          <w:szCs w:val="48"/>
        </w:rPr>
      </w:pPr>
      <w:r>
        <w:rPr>
          <w:rFonts w:hint="eastAsia" w:eastAsia="方正小标宋_GBK"/>
          <w:kern w:val="0"/>
          <w:sz w:val="48"/>
          <w:szCs w:val="48"/>
        </w:rPr>
        <w:t>特种设备管理专项经费（非财政）项目</w:t>
      </w:r>
      <w:r>
        <w:rPr>
          <w:rFonts w:eastAsia="方正小标宋_GBK"/>
          <w:kern w:val="0"/>
          <w:sz w:val="48"/>
          <w:szCs w:val="48"/>
        </w:rPr>
        <w:t>资金项目支出绩效评价</w:t>
      </w:r>
    </w:p>
    <w:p w14:paraId="2E56781D">
      <w:pPr>
        <w:spacing w:line="540" w:lineRule="exact"/>
        <w:jc w:val="center"/>
        <w:rPr>
          <w:rFonts w:eastAsia="方正小标宋_GBK"/>
          <w:kern w:val="0"/>
          <w:sz w:val="48"/>
          <w:szCs w:val="48"/>
        </w:rPr>
      </w:pPr>
      <w:r>
        <w:rPr>
          <w:rFonts w:eastAsia="方正小标宋_GBK"/>
          <w:kern w:val="0"/>
          <w:sz w:val="48"/>
          <w:szCs w:val="48"/>
        </w:rPr>
        <w:t>报告</w:t>
      </w:r>
    </w:p>
    <w:p w14:paraId="464AACDA">
      <w:pPr>
        <w:spacing w:line="540" w:lineRule="exact"/>
        <w:jc w:val="center"/>
        <w:rPr>
          <w:rFonts w:eastAsia="华文中宋"/>
          <w:b/>
          <w:kern w:val="0"/>
          <w:sz w:val="52"/>
          <w:szCs w:val="52"/>
        </w:rPr>
      </w:pPr>
    </w:p>
    <w:p w14:paraId="39D60980">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3</w:t>
      </w:r>
      <w:r>
        <w:rPr>
          <w:rFonts w:eastAsia="仿宋_GB2312"/>
          <w:kern w:val="0"/>
          <w:sz w:val="36"/>
          <w:szCs w:val="36"/>
        </w:rPr>
        <w:t>年度）</w:t>
      </w:r>
    </w:p>
    <w:p w14:paraId="63375953">
      <w:pPr>
        <w:spacing w:line="540" w:lineRule="exact"/>
        <w:jc w:val="center"/>
        <w:rPr>
          <w:rFonts w:eastAsia="仿宋_GB2312"/>
          <w:kern w:val="0"/>
          <w:sz w:val="30"/>
          <w:szCs w:val="30"/>
        </w:rPr>
      </w:pPr>
    </w:p>
    <w:p w14:paraId="5D6ABF95">
      <w:pPr>
        <w:spacing w:line="540" w:lineRule="exact"/>
        <w:jc w:val="center"/>
        <w:rPr>
          <w:rFonts w:eastAsia="仿宋_GB2312"/>
          <w:kern w:val="0"/>
          <w:sz w:val="30"/>
          <w:szCs w:val="30"/>
        </w:rPr>
      </w:pPr>
    </w:p>
    <w:p w14:paraId="6344AFB0">
      <w:pPr>
        <w:spacing w:line="540" w:lineRule="exact"/>
        <w:jc w:val="center"/>
        <w:rPr>
          <w:rFonts w:eastAsia="仿宋_GB2312"/>
          <w:kern w:val="0"/>
          <w:sz w:val="30"/>
          <w:szCs w:val="30"/>
        </w:rPr>
      </w:pPr>
    </w:p>
    <w:p w14:paraId="5D14D6BE">
      <w:pPr>
        <w:spacing w:line="540" w:lineRule="exact"/>
        <w:jc w:val="center"/>
        <w:rPr>
          <w:rFonts w:eastAsia="仿宋_GB2312"/>
          <w:kern w:val="0"/>
          <w:sz w:val="30"/>
          <w:szCs w:val="30"/>
        </w:rPr>
      </w:pPr>
    </w:p>
    <w:p w14:paraId="037F0EC5">
      <w:pPr>
        <w:spacing w:line="540" w:lineRule="exact"/>
        <w:rPr>
          <w:rFonts w:eastAsia="仿宋_GB2312"/>
          <w:kern w:val="0"/>
          <w:sz w:val="30"/>
          <w:szCs w:val="30"/>
        </w:rPr>
      </w:pPr>
    </w:p>
    <w:p w14:paraId="3C664394">
      <w:pPr>
        <w:spacing w:line="700" w:lineRule="exact"/>
        <w:ind w:firstLine="1440" w:firstLineChars="400"/>
        <w:jc w:val="left"/>
        <w:rPr>
          <w:rFonts w:eastAsia="仿宋_GB2312"/>
          <w:kern w:val="0"/>
          <w:sz w:val="36"/>
          <w:szCs w:val="36"/>
        </w:rPr>
      </w:pPr>
      <w:r>
        <w:rPr>
          <w:rFonts w:eastAsia="仿宋_GB2312"/>
          <w:kern w:val="0"/>
          <w:sz w:val="36"/>
          <w:szCs w:val="36"/>
        </w:rPr>
        <w:t>项目名称：</w:t>
      </w:r>
      <w:bookmarkStart w:id="0" w:name="_Hlk127657187"/>
      <w:r>
        <w:rPr>
          <w:rFonts w:hint="eastAsia" w:eastAsia="仿宋_GB2312"/>
          <w:kern w:val="0"/>
          <w:sz w:val="36"/>
          <w:szCs w:val="36"/>
        </w:rPr>
        <w:t>特种设备管理专项经费（非财政）</w:t>
      </w:r>
      <w:bookmarkEnd w:id="0"/>
    </w:p>
    <w:p w14:paraId="3A3B5E75">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新疆维吾尔自治区特种设备检验研究院</w:t>
      </w:r>
    </w:p>
    <w:p w14:paraId="12A3723E">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新疆维吾尔自治区市场监管局</w:t>
      </w:r>
    </w:p>
    <w:p w14:paraId="23626FCB">
      <w:pPr>
        <w:spacing w:line="700" w:lineRule="exact"/>
        <w:ind w:firstLine="1440" w:firstLineChars="400"/>
        <w:jc w:val="left"/>
        <w:rPr>
          <w:rFonts w:eastAsia="仿宋_GB2312"/>
          <w:kern w:val="0"/>
          <w:sz w:val="36"/>
          <w:szCs w:val="36"/>
        </w:rPr>
      </w:pPr>
    </w:p>
    <w:p w14:paraId="12678C3A">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苗锐</w:t>
      </w:r>
    </w:p>
    <w:p w14:paraId="297B3981">
      <w:pPr>
        <w:spacing w:line="700" w:lineRule="exact"/>
        <w:ind w:firstLine="1440" w:firstLineChars="400"/>
        <w:jc w:val="left"/>
        <w:rPr>
          <w:rFonts w:eastAsia="仿宋_GB2312"/>
          <w:kern w:val="0"/>
          <w:sz w:val="36"/>
          <w:szCs w:val="36"/>
        </w:rPr>
      </w:pPr>
      <w:r>
        <w:rPr>
          <w:rFonts w:eastAsia="仿宋_GB2312"/>
          <w:kern w:val="0"/>
          <w:sz w:val="36"/>
          <w:szCs w:val="36"/>
        </w:rPr>
        <w:t>填报时间：202</w:t>
      </w:r>
      <w:r>
        <w:rPr>
          <w:rFonts w:hint="eastAsia" w:eastAsia="仿宋_GB2312"/>
          <w:kern w:val="0"/>
          <w:sz w:val="36"/>
          <w:szCs w:val="36"/>
        </w:rPr>
        <w:t>4</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月1</w:t>
      </w:r>
      <w:r>
        <w:rPr>
          <w:rFonts w:hint="eastAsia" w:eastAsia="仿宋_GB2312"/>
          <w:kern w:val="0"/>
          <w:sz w:val="36"/>
          <w:szCs w:val="36"/>
        </w:rPr>
        <w:t>1</w:t>
      </w:r>
      <w:r>
        <w:rPr>
          <w:rFonts w:eastAsia="仿宋_GB2312"/>
          <w:kern w:val="0"/>
          <w:sz w:val="36"/>
          <w:szCs w:val="36"/>
        </w:rPr>
        <w:t>日</w:t>
      </w:r>
    </w:p>
    <w:p w14:paraId="7759D8AF">
      <w:pPr>
        <w:spacing w:line="600" w:lineRule="exact"/>
        <w:rPr>
          <w:rFonts w:eastAsia="黑体"/>
          <w:bCs/>
          <w:sz w:val="32"/>
          <w:szCs w:val="32"/>
        </w:rPr>
      </w:pPr>
    </w:p>
    <w:p w14:paraId="4CDAB513">
      <w:pPr>
        <w:spacing w:line="600" w:lineRule="exact"/>
        <w:rPr>
          <w:rFonts w:eastAsia="黑体"/>
          <w:bCs/>
          <w:sz w:val="32"/>
          <w:szCs w:val="32"/>
        </w:rPr>
      </w:pPr>
      <w:r>
        <w:rPr>
          <w:rFonts w:eastAsia="黑体"/>
          <w:bCs/>
          <w:sz w:val="32"/>
          <w:szCs w:val="32"/>
        </w:rPr>
        <w:t>一、基本情况</w:t>
      </w:r>
    </w:p>
    <w:p w14:paraId="7D616B59">
      <w:pPr>
        <w:spacing w:line="600" w:lineRule="exact"/>
        <w:ind w:firstLine="641"/>
        <w:rPr>
          <w:rFonts w:eastAsia="楷体_GB2312"/>
          <w:b/>
          <w:bCs/>
          <w:sz w:val="32"/>
          <w:szCs w:val="32"/>
        </w:rPr>
      </w:pPr>
      <w:r>
        <w:rPr>
          <w:rFonts w:eastAsia="楷体_GB2312"/>
          <w:b/>
          <w:bCs/>
          <w:sz w:val="32"/>
          <w:szCs w:val="32"/>
        </w:rPr>
        <w:t>（一）项目概况</w:t>
      </w:r>
    </w:p>
    <w:p w14:paraId="1D60202F">
      <w:pPr>
        <w:spacing w:line="600" w:lineRule="exact"/>
        <w:ind w:firstLine="641"/>
        <w:rPr>
          <w:rFonts w:eastAsia="仿宋_GB2312"/>
          <w:b/>
          <w:bCs/>
          <w:sz w:val="32"/>
          <w:szCs w:val="32"/>
        </w:rPr>
      </w:pPr>
      <w:r>
        <w:rPr>
          <w:rFonts w:eastAsia="仿宋_GB2312"/>
          <w:b/>
          <w:bCs/>
          <w:sz w:val="32"/>
          <w:szCs w:val="32"/>
        </w:rPr>
        <w:t>1、项目背景</w:t>
      </w:r>
    </w:p>
    <w:p w14:paraId="0BBF5F74">
      <w:pPr>
        <w:spacing w:line="540" w:lineRule="exact"/>
        <w:ind w:firstLine="627" w:firstLineChars="200"/>
        <w:rPr>
          <w:rStyle w:val="22"/>
          <w:rFonts w:eastAsia="黑体"/>
          <w:bCs w:val="0"/>
          <w:spacing w:val="-4"/>
          <w:sz w:val="32"/>
          <w:szCs w:val="32"/>
        </w:rPr>
      </w:pPr>
      <w:r>
        <w:rPr>
          <w:rStyle w:val="22"/>
          <w:rFonts w:hint="eastAsia" w:eastAsia="黑体"/>
          <w:bCs w:val="0"/>
          <w:spacing w:val="-4"/>
          <w:sz w:val="32"/>
          <w:szCs w:val="32"/>
        </w:rPr>
        <w:t>根据《中华人民共和国特种设备安全法》第十四条、第十五条、第二十七条、第四十条、第四十三条</w:t>
      </w:r>
      <w:r>
        <w:rPr>
          <w:rStyle w:val="22"/>
          <w:rFonts w:hint="eastAsia" w:eastAsia="黑体"/>
          <w:bCs w:val="0"/>
          <w:spacing w:val="-4"/>
          <w:sz w:val="32"/>
          <w:szCs w:val="32"/>
          <w:lang w:eastAsia="zh-CN"/>
        </w:rPr>
        <w:t>－－</w:t>
      </w:r>
      <w:r>
        <w:rPr>
          <w:rStyle w:val="22"/>
          <w:rFonts w:hint="eastAsia" w:eastAsia="黑体"/>
          <w:bCs w:val="0"/>
          <w:spacing w:val="-4"/>
          <w:sz w:val="32"/>
          <w:szCs w:val="32"/>
        </w:rPr>
        <w:t>第五十六条；《特种设备安全监察条例》第六条、第四十二条</w:t>
      </w:r>
      <w:r>
        <w:rPr>
          <w:rStyle w:val="22"/>
          <w:rFonts w:hint="eastAsia" w:eastAsia="黑体"/>
          <w:bCs w:val="0"/>
          <w:spacing w:val="-4"/>
          <w:sz w:val="32"/>
          <w:szCs w:val="32"/>
          <w:lang w:eastAsia="zh-CN"/>
        </w:rPr>
        <w:t>－－</w:t>
      </w:r>
      <w:r>
        <w:rPr>
          <w:rStyle w:val="22"/>
          <w:rFonts w:hint="eastAsia" w:eastAsia="黑体"/>
          <w:bCs w:val="0"/>
          <w:spacing w:val="-4"/>
          <w:sz w:val="32"/>
          <w:szCs w:val="32"/>
        </w:rPr>
        <w:t>第五十条的要求</w:t>
      </w:r>
      <w:r>
        <w:rPr>
          <w:rStyle w:val="22"/>
          <w:rFonts w:hint="eastAsia" w:eastAsia="黑体"/>
          <w:bCs w:val="0"/>
          <w:spacing w:val="-4"/>
          <w:sz w:val="32"/>
          <w:szCs w:val="32"/>
          <w:lang w:eastAsia="zh-CN"/>
        </w:rPr>
        <w:t>，</w:t>
      </w:r>
      <w:r>
        <w:rPr>
          <w:rStyle w:val="22"/>
          <w:rFonts w:hint="eastAsia" w:eastAsia="黑体"/>
          <w:bCs w:val="0"/>
          <w:spacing w:val="-4"/>
          <w:sz w:val="32"/>
          <w:szCs w:val="32"/>
        </w:rPr>
        <w:t>按照自治区党委、人民政府和</w:t>
      </w:r>
      <w:r>
        <w:rPr>
          <w:rStyle w:val="22"/>
          <w:rFonts w:hint="eastAsia" w:eastAsia="黑体"/>
          <w:bCs w:val="0"/>
          <w:spacing w:val="-4"/>
          <w:sz w:val="32"/>
          <w:szCs w:val="32"/>
          <w:lang w:eastAsia="zh-CN"/>
        </w:rPr>
        <w:t>国家市场监督管理总局</w:t>
      </w:r>
      <w:r>
        <w:rPr>
          <w:rStyle w:val="22"/>
          <w:rFonts w:hint="eastAsia" w:eastAsia="黑体"/>
          <w:bCs w:val="0"/>
          <w:spacing w:val="-4"/>
          <w:sz w:val="32"/>
          <w:szCs w:val="32"/>
        </w:rPr>
        <w:t>统一部署，紧紧围绕社会稳定和长治久安总目标，为了加强特种设备安全工作，预防特种设备事故，维护特种设备的正常运行，保障人身和财产安全</w:t>
      </w:r>
    </w:p>
    <w:p w14:paraId="47BD9758">
      <w:pPr>
        <w:pStyle w:val="2"/>
        <w:numPr>
          <w:ilvl w:val="0"/>
          <w:numId w:val="1"/>
        </w:numPr>
        <w:spacing w:before="0" w:after="0" w:line="60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17997217">
      <w:pPr>
        <w:spacing w:line="600" w:lineRule="exact"/>
        <w:ind w:firstLine="627" w:firstLineChars="200"/>
        <w:rPr>
          <w:rStyle w:val="22"/>
          <w:rFonts w:eastAsia="黑体"/>
          <w:bCs w:val="0"/>
          <w:spacing w:val="-4"/>
          <w:sz w:val="32"/>
          <w:szCs w:val="32"/>
        </w:rPr>
      </w:pPr>
      <w:r>
        <w:rPr>
          <w:rStyle w:val="22"/>
          <w:rFonts w:hint="eastAsia" w:eastAsia="黑体"/>
          <w:bCs w:val="0"/>
          <w:spacing w:val="-4"/>
          <w:sz w:val="32"/>
          <w:szCs w:val="32"/>
        </w:rPr>
        <w:t>2023年完成特种设备检验数量并出具检验报告58075台，共计146人发放绩效，西山基础建设项目按照施工进度付款2677.64万元，项目年初预算15369万元</w:t>
      </w:r>
      <w:r>
        <w:rPr>
          <w:rStyle w:val="22"/>
          <w:rFonts w:hint="eastAsia" w:eastAsia="黑体"/>
          <w:bCs w:val="0"/>
          <w:spacing w:val="-4"/>
          <w:sz w:val="32"/>
          <w:szCs w:val="32"/>
          <w:lang w:eastAsia="zh-CN"/>
        </w:rPr>
        <w:t>，</w:t>
      </w:r>
      <w:r>
        <w:rPr>
          <w:rStyle w:val="22"/>
          <w:rFonts w:hint="eastAsia" w:eastAsia="黑体"/>
          <w:bCs w:val="0"/>
          <w:spacing w:val="-4"/>
          <w:sz w:val="32"/>
          <w:szCs w:val="32"/>
        </w:rPr>
        <w:t>实际完成15323.99万元</w:t>
      </w:r>
      <w:r>
        <w:rPr>
          <w:rStyle w:val="22"/>
          <w:rFonts w:hint="eastAsia" w:eastAsia="黑体"/>
          <w:bCs w:val="0"/>
          <w:spacing w:val="-4"/>
          <w:sz w:val="32"/>
          <w:szCs w:val="32"/>
          <w:lang w:eastAsia="zh-CN"/>
        </w:rPr>
        <w:t>，</w:t>
      </w:r>
      <w:r>
        <w:rPr>
          <w:rStyle w:val="22"/>
          <w:rFonts w:hint="eastAsia" w:eastAsia="黑体"/>
          <w:bCs w:val="0"/>
          <w:spacing w:val="-4"/>
          <w:sz w:val="32"/>
          <w:szCs w:val="32"/>
        </w:rPr>
        <w:t>执行率99.7%，有效提升检验检测技术服务能力，推进科技创新和信息化建设工作，为了更好</w:t>
      </w:r>
      <w:r>
        <w:rPr>
          <w:rStyle w:val="22"/>
          <w:rFonts w:hint="eastAsia" w:eastAsia="黑体"/>
          <w:bCs w:val="0"/>
          <w:spacing w:val="-4"/>
          <w:sz w:val="32"/>
          <w:szCs w:val="32"/>
          <w:lang w:eastAsia="zh-CN"/>
        </w:rPr>
        <w:t>维护</w:t>
      </w:r>
      <w:r>
        <w:rPr>
          <w:rStyle w:val="22"/>
          <w:rFonts w:hint="eastAsia" w:eastAsia="黑体"/>
          <w:bCs w:val="0"/>
          <w:spacing w:val="-4"/>
          <w:sz w:val="32"/>
          <w:szCs w:val="32"/>
        </w:rPr>
        <w:t>节能减排以及配合好环境保护，为推动新疆经济社会平稳健康发展提供良好的政务和服务环境</w:t>
      </w:r>
    </w:p>
    <w:p w14:paraId="4492FECA">
      <w:pPr>
        <w:spacing w:line="60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061AD7AD">
      <w:pPr>
        <w:spacing w:line="600" w:lineRule="exact"/>
        <w:ind w:firstLine="640" w:firstLineChars="200"/>
        <w:rPr>
          <w:rFonts w:eastAsia="仿宋_GB2312"/>
          <w:sz w:val="32"/>
          <w:szCs w:val="32"/>
        </w:rPr>
      </w:pPr>
      <w:r>
        <w:rPr>
          <w:rFonts w:hint="eastAsia" w:eastAsia="仿宋_GB2312"/>
          <w:sz w:val="32"/>
          <w:szCs w:val="32"/>
        </w:rPr>
        <w:t>本项目总投资15369万元，其中：财政本级资金0万元，单位自有资金15369万元。项目实际支出15323.99万元，支出率为99.7%。</w:t>
      </w:r>
    </w:p>
    <w:p w14:paraId="3C972C6B">
      <w:pPr>
        <w:spacing w:line="600" w:lineRule="exact"/>
        <w:ind w:firstLine="643" w:firstLineChars="200"/>
        <w:rPr>
          <w:rFonts w:eastAsia="仿宋_GB2312"/>
          <w:b/>
          <w:bCs/>
          <w:sz w:val="32"/>
          <w:szCs w:val="32"/>
        </w:rPr>
      </w:pPr>
      <w:r>
        <w:rPr>
          <w:rFonts w:eastAsia="仿宋_GB2312"/>
          <w:b/>
          <w:bCs/>
          <w:sz w:val="32"/>
          <w:szCs w:val="32"/>
        </w:rPr>
        <w:t>3、资金投入和使用情况</w:t>
      </w:r>
    </w:p>
    <w:p w14:paraId="0E8FD5DF">
      <w:pPr>
        <w:spacing w:line="600" w:lineRule="exact"/>
        <w:ind w:firstLine="640" w:firstLineChars="200"/>
        <w:rPr>
          <w:rFonts w:eastAsia="仿宋_GB2312"/>
          <w:sz w:val="20"/>
          <w:szCs w:val="20"/>
        </w:rPr>
      </w:pPr>
      <w:r>
        <w:rPr>
          <w:rFonts w:eastAsia="仿宋_GB2312"/>
          <w:sz w:val="32"/>
          <w:szCs w:val="32"/>
        </w:rPr>
        <w:t>（1）资金安排</w:t>
      </w:r>
    </w:p>
    <w:p w14:paraId="3F0C8D0D">
      <w:pPr>
        <w:spacing w:line="600" w:lineRule="exact"/>
        <w:ind w:firstLine="640" w:firstLineChars="200"/>
        <w:rPr>
          <w:rFonts w:eastAsia="仿宋_GB2312"/>
          <w:sz w:val="32"/>
          <w:szCs w:val="32"/>
        </w:rPr>
      </w:pPr>
      <w:r>
        <w:rPr>
          <w:rFonts w:eastAsia="仿宋_GB2312"/>
          <w:sz w:val="32"/>
          <w:szCs w:val="32"/>
        </w:rPr>
        <w:t>项目总投资</w:t>
      </w:r>
      <w:r>
        <w:rPr>
          <w:rFonts w:hint="eastAsia" w:eastAsia="仿宋_GB2312"/>
          <w:sz w:val="32"/>
          <w:szCs w:val="32"/>
        </w:rPr>
        <w:t>15369</w:t>
      </w:r>
      <w:r>
        <w:rPr>
          <w:rFonts w:eastAsia="仿宋_GB2312"/>
          <w:sz w:val="32"/>
          <w:szCs w:val="32"/>
        </w:rPr>
        <w:t>万元，按照单位财务制度等相关规定，资金支出符合</w:t>
      </w:r>
      <w:r>
        <w:rPr>
          <w:rFonts w:hint="eastAsia" w:eastAsia="仿宋_GB2312"/>
          <w:sz w:val="32"/>
          <w:szCs w:val="32"/>
        </w:rPr>
        <w:t>特种设备管理专项经费（非财政）</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rPr>
        <w:t>特种设备管理专项经费（非财政）</w:t>
      </w:r>
      <w:r>
        <w:rPr>
          <w:rFonts w:eastAsia="仿宋_GB2312"/>
          <w:sz w:val="32"/>
          <w:szCs w:val="32"/>
        </w:rPr>
        <w:t>资金的拨付程序，认真审核项目实施各阶段的相关材料和手续，根据项目实施进展情况拨付资金。</w:t>
      </w:r>
    </w:p>
    <w:p w14:paraId="5F8BF8AC">
      <w:pPr>
        <w:spacing w:line="600" w:lineRule="exact"/>
        <w:ind w:firstLine="640" w:firstLineChars="200"/>
        <w:rPr>
          <w:rFonts w:eastAsia="仿宋_GB2312"/>
          <w:sz w:val="32"/>
          <w:szCs w:val="32"/>
        </w:rPr>
      </w:pPr>
      <w:r>
        <w:rPr>
          <w:rFonts w:eastAsia="仿宋_GB2312"/>
          <w:sz w:val="32"/>
          <w:szCs w:val="32"/>
        </w:rPr>
        <w:t>（2）预算资金来源及使用情况</w:t>
      </w:r>
      <w:bookmarkStart w:id="1" w:name="page10"/>
      <w:bookmarkEnd w:id="1"/>
    </w:p>
    <w:p w14:paraId="17CFCD3B">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rPr>
        <w:t>其他资金15369</w:t>
      </w:r>
      <w:r>
        <w:rPr>
          <w:rFonts w:ascii="Times New Roman" w:hAnsi="Times New Roman" w:eastAsia="仿宋_GB2312"/>
          <w:b w:val="0"/>
          <w:bCs w:val="0"/>
          <w:kern w:val="2"/>
        </w:rPr>
        <w:t>万元，项目资金到位</w:t>
      </w:r>
      <w:r>
        <w:rPr>
          <w:rFonts w:hint="eastAsia" w:ascii="Times New Roman" w:hAnsi="Times New Roman" w:eastAsia="仿宋_GB2312"/>
          <w:b w:val="0"/>
          <w:bCs w:val="0"/>
          <w:kern w:val="2"/>
        </w:rPr>
        <w:t>15369</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全年执行15323.99万元，预算执行率为</w:t>
      </w:r>
      <w:r>
        <w:rPr>
          <w:rFonts w:ascii="Times New Roman" w:hAnsi="Times New Roman" w:eastAsia="仿宋_GB2312"/>
          <w:b w:val="0"/>
          <w:bCs w:val="0"/>
          <w:kern w:val="2"/>
        </w:rPr>
        <w:t>9</w:t>
      </w:r>
      <w:r>
        <w:rPr>
          <w:rFonts w:hint="eastAsia" w:ascii="Times New Roman" w:hAnsi="Times New Roman" w:eastAsia="仿宋_GB2312"/>
          <w:b w:val="0"/>
          <w:bCs w:val="0"/>
          <w:kern w:val="2"/>
        </w:rPr>
        <w:t>9.7</w:t>
      </w:r>
      <w:r>
        <w:rPr>
          <w:rFonts w:ascii="Times New Roman" w:hAnsi="Times New Roman" w:eastAsia="仿宋_GB2312"/>
          <w:b w:val="0"/>
          <w:bCs w:val="0"/>
          <w:kern w:val="2"/>
        </w:rPr>
        <w:t>%</w:t>
      </w:r>
      <w:r>
        <w:rPr>
          <w:rFonts w:hint="eastAsia" w:ascii="Times New Roman" w:hAnsi="Times New Roman" w:eastAsia="仿宋_GB2312"/>
          <w:b w:val="0"/>
          <w:bCs w:val="0"/>
          <w:kern w:val="2"/>
          <w:lang w:eastAsia="zh-CN"/>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14:paraId="1A0115BF">
      <w:pPr>
        <w:spacing w:line="600" w:lineRule="exact"/>
        <w:ind w:firstLine="643" w:firstLineChars="200"/>
        <w:rPr>
          <w:rFonts w:eastAsia="楷体_GB2312"/>
          <w:b/>
          <w:bCs/>
          <w:sz w:val="32"/>
          <w:szCs w:val="32"/>
        </w:rPr>
      </w:pPr>
      <w:r>
        <w:rPr>
          <w:rFonts w:eastAsia="楷体_GB2312"/>
          <w:b/>
          <w:bCs/>
          <w:sz w:val="32"/>
          <w:szCs w:val="32"/>
        </w:rPr>
        <w:t>（二）项目绩效目标</w:t>
      </w:r>
    </w:p>
    <w:p w14:paraId="36ABF48A">
      <w:pPr>
        <w:spacing w:line="600" w:lineRule="exact"/>
        <w:ind w:firstLine="640" w:firstLineChars="200"/>
        <w:rPr>
          <w:rFonts w:eastAsia="仿宋_GB2312"/>
          <w:sz w:val="32"/>
          <w:szCs w:val="32"/>
        </w:rPr>
      </w:pPr>
      <w:r>
        <w:rPr>
          <w:rFonts w:eastAsia="仿宋_GB2312"/>
          <w:sz w:val="32"/>
          <w:szCs w:val="32"/>
        </w:rPr>
        <w:t>1、总体目标</w:t>
      </w:r>
    </w:p>
    <w:p w14:paraId="6BA1388E">
      <w:pPr>
        <w:spacing w:line="600" w:lineRule="exact"/>
        <w:ind w:firstLine="627" w:firstLineChars="200"/>
        <w:rPr>
          <w:rStyle w:val="22"/>
          <w:rFonts w:eastAsia="黑体"/>
          <w:bCs w:val="0"/>
          <w:spacing w:val="-4"/>
          <w:sz w:val="32"/>
          <w:szCs w:val="32"/>
        </w:rPr>
      </w:pPr>
      <w:r>
        <w:rPr>
          <w:rStyle w:val="22"/>
          <w:rFonts w:hint="eastAsia" w:eastAsia="黑体"/>
          <w:bCs w:val="0"/>
          <w:spacing w:val="-4"/>
          <w:sz w:val="32"/>
          <w:szCs w:val="32"/>
        </w:rPr>
        <w:t>有效提升检验检测技术服务能力，推进科技创新和信息化建设工作，为了更好</w:t>
      </w:r>
      <w:r>
        <w:rPr>
          <w:rStyle w:val="22"/>
          <w:rFonts w:hint="eastAsia" w:eastAsia="黑体"/>
          <w:bCs w:val="0"/>
          <w:spacing w:val="-4"/>
          <w:sz w:val="32"/>
          <w:szCs w:val="32"/>
          <w:lang w:eastAsia="zh-CN"/>
        </w:rPr>
        <w:t>维护</w:t>
      </w:r>
      <w:r>
        <w:rPr>
          <w:rStyle w:val="22"/>
          <w:rFonts w:hint="eastAsia" w:eastAsia="黑体"/>
          <w:bCs w:val="0"/>
          <w:spacing w:val="-4"/>
          <w:sz w:val="32"/>
          <w:szCs w:val="32"/>
        </w:rPr>
        <w:t>节能减排以及配合好环境保护，为推动新疆经济社会平稳健康发展提供良好的政务和服务环境</w:t>
      </w:r>
    </w:p>
    <w:p w14:paraId="7DD115CA">
      <w:pPr>
        <w:spacing w:line="600" w:lineRule="exact"/>
        <w:ind w:firstLine="640" w:firstLineChars="200"/>
        <w:rPr>
          <w:rFonts w:eastAsia="仿宋_GB2312"/>
          <w:sz w:val="32"/>
          <w:szCs w:val="32"/>
        </w:rPr>
      </w:pPr>
      <w:r>
        <w:rPr>
          <w:rFonts w:eastAsia="仿宋_GB2312"/>
          <w:sz w:val="32"/>
          <w:szCs w:val="32"/>
        </w:rPr>
        <w:t>2、阶段性目标</w:t>
      </w:r>
    </w:p>
    <w:p w14:paraId="593DE768">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36E378E4">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w:t>
      </w:r>
      <w:r>
        <w:rPr>
          <w:rFonts w:hint="eastAsia" w:eastAsia="仿宋_GB2312"/>
          <w:sz w:val="32"/>
          <w:szCs w:val="32"/>
          <w:lang w:eastAsia="zh-CN"/>
        </w:rPr>
        <w:t>效率</w:t>
      </w:r>
      <w:r>
        <w:rPr>
          <w:rFonts w:eastAsia="仿宋_GB2312"/>
          <w:sz w:val="32"/>
          <w:szCs w:val="32"/>
        </w:rPr>
        <w:t>。</w:t>
      </w:r>
    </w:p>
    <w:p w14:paraId="4FA1A32F">
      <w:pPr>
        <w:spacing w:line="600" w:lineRule="exact"/>
        <w:ind w:firstLine="640" w:firstLineChars="200"/>
        <w:rPr>
          <w:rFonts w:eastAsia="黑体"/>
          <w:sz w:val="32"/>
          <w:szCs w:val="32"/>
        </w:rPr>
      </w:pPr>
      <w:r>
        <w:rPr>
          <w:rFonts w:eastAsia="黑体"/>
          <w:sz w:val="32"/>
          <w:szCs w:val="32"/>
        </w:rPr>
        <w:t>二、绩效评价工作开展情况</w:t>
      </w:r>
    </w:p>
    <w:p w14:paraId="06FE328C">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14:paraId="60E5CA9F">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6A9B2494">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5CD73468">
      <w:pPr>
        <w:numPr>
          <w:ilvl w:val="0"/>
          <w:numId w:val="2"/>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3ECA9262">
      <w:pPr>
        <w:spacing w:line="600" w:lineRule="exact"/>
        <w:ind w:firstLine="640" w:firstLineChars="200"/>
        <w:rPr>
          <w:rFonts w:eastAsia="仿宋_GB2312"/>
          <w:sz w:val="32"/>
          <w:szCs w:val="32"/>
        </w:rPr>
      </w:pPr>
      <w:r>
        <w:rPr>
          <w:rFonts w:eastAsia="仿宋_GB2312"/>
          <w:sz w:val="32"/>
          <w:szCs w:val="32"/>
        </w:rPr>
        <w:t>（2）项目绩效管</w:t>
      </w:r>
      <w:r>
        <w:rPr>
          <w:rFonts w:hint="eastAsia" w:eastAsia="仿宋_GB2312"/>
          <w:sz w:val="32"/>
          <w:szCs w:val="32"/>
          <w:lang w:eastAsia="zh-CN"/>
        </w:rPr>
        <w:t>理为</w:t>
      </w:r>
      <w:r>
        <w:rPr>
          <w:rFonts w:eastAsia="仿宋_GB2312"/>
          <w:sz w:val="32"/>
          <w:szCs w:val="32"/>
        </w:rPr>
        <w:t>财政支出运行提供及时、有效的信息。综合来看，通过开展有效的财政支出绩效评价管理，达到改进预算管理、控制节约成本，提高预算资金使用效益的目的。</w:t>
      </w:r>
    </w:p>
    <w:p w14:paraId="7C5E90BD">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52E3AC61">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特种设备管理专项经费（非财政）项目所包含的全部项目建设内容。</w:t>
      </w:r>
    </w:p>
    <w:p w14:paraId="0358D9B0">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02A3DD41">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特种设备管理专项经费（非财政）项目的决策、过程、产出、效益等。</w:t>
      </w:r>
    </w:p>
    <w:p w14:paraId="636BAF73">
      <w:pPr>
        <w:spacing w:line="600" w:lineRule="exact"/>
        <w:ind w:firstLine="643" w:firstLineChars="200"/>
      </w:pPr>
      <w:r>
        <w:rPr>
          <w:rFonts w:eastAsia="楷体_GB2312"/>
          <w:b/>
          <w:bCs/>
          <w:sz w:val="32"/>
          <w:szCs w:val="32"/>
        </w:rPr>
        <w:t>（二）绩效评价原则、评价指标体系（详情见表1）、评价方法、评价标准。</w:t>
      </w:r>
    </w:p>
    <w:p w14:paraId="3536A865">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0CE6FE77">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14BCD18E">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w:t>
      </w:r>
      <w:r>
        <w:rPr>
          <w:rFonts w:hint="eastAsia" w:ascii="Times New Roman" w:hAnsi="Times New Roman" w:eastAsia="仿宋_GB2312"/>
          <w:b w:val="0"/>
          <w:bCs w:val="0"/>
          <w:lang w:eastAsia="zh-CN"/>
        </w:rPr>
        <w:t>地</w:t>
      </w:r>
      <w:r>
        <w:rPr>
          <w:rFonts w:ascii="Times New Roman" w:hAnsi="Times New Roman" w:eastAsia="仿宋_GB2312"/>
          <w:b w:val="0"/>
          <w:bCs w:val="0"/>
        </w:rPr>
        <w:t>反映。</w:t>
      </w:r>
    </w:p>
    <w:p w14:paraId="2AC00283">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232D31D6">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17DD94D8">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2AA3DB7E">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6B282D03">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7F53CDC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4D0AA868">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CEB7885">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607B5EE1">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确定各个指标相对于项目总体绩效的权重分值。在绩效评价指标体系中，项目决策权重为5分，项目过程权重为5分，项目产出权重为50分，项目效益权重为40分。</w:t>
      </w:r>
    </w:p>
    <w:p w14:paraId="77F3D266">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5FDB8C23">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049C08F0">
      <w:pPr>
        <w:pStyle w:val="2"/>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100分（含90分）对应的评分结果级别为优，80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90分（含80分）对应的评分结果级别为良，60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80分（含60分）对应的评分结果级别为中，60分以下对应的评分结果级别为差。</w:t>
      </w:r>
    </w:p>
    <w:p w14:paraId="710F9A14">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7E96E89F">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7E672999">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56B3CCF0">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ACA04D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43290E17">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190E5B9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56DCF537">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75B829C0">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3526A4BC">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14:paraId="268A8F0C">
      <w:pPr>
        <w:pStyle w:val="2"/>
        <w:numPr>
          <w:ilvl w:val="0"/>
          <w:numId w:val="3"/>
        </w:numPr>
        <w:spacing w:before="0" w:after="0" w:line="600" w:lineRule="exact"/>
        <w:ind w:firstLine="711" w:firstLineChars="200"/>
        <w:jc w:val="both"/>
        <w:rPr>
          <w:rFonts w:hint="eastAsia" w:ascii="楷体" w:hAnsi="楷体" w:eastAsia="楷体" w:cs="楷体"/>
          <w:color w:val="000000"/>
          <w:spacing w:val="17"/>
        </w:rPr>
      </w:pPr>
      <w:r>
        <w:rPr>
          <w:rFonts w:hint="eastAsia" w:ascii="楷体" w:hAnsi="楷体" w:eastAsia="楷体" w:cs="楷体"/>
          <w:color w:val="000000"/>
          <w:spacing w:val="17"/>
        </w:rPr>
        <w:t>绩效评价工作过程</w:t>
      </w:r>
    </w:p>
    <w:p w14:paraId="2C9E9587">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5ADB3189">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26083847">
      <w:pPr>
        <w:numPr>
          <w:ilvl w:val="0"/>
          <w:numId w:val="4"/>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2463B7AA">
      <w:pPr>
        <w:numPr>
          <w:ilvl w:val="0"/>
          <w:numId w:val="5"/>
        </w:numPr>
        <w:spacing w:line="600" w:lineRule="exact"/>
        <w:ind w:firstLine="640" w:firstLineChars="200"/>
        <w:rPr>
          <w:rFonts w:eastAsia="黑体"/>
          <w:sz w:val="32"/>
          <w:szCs w:val="32"/>
        </w:rPr>
      </w:pPr>
      <w:r>
        <w:rPr>
          <w:rFonts w:eastAsia="黑体"/>
          <w:sz w:val="32"/>
          <w:szCs w:val="32"/>
        </w:rPr>
        <w:t>综合评价情况及评价结论（附相关评分表）</w:t>
      </w:r>
    </w:p>
    <w:p w14:paraId="2089AD42">
      <w:pPr>
        <w:pStyle w:val="2"/>
        <w:widowControl w:val="0"/>
        <w:spacing w:before="0" w:after="0" w:line="60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Fonts w:hint="eastAsia" w:ascii="Times New Roman" w:hAnsi="Times New Roman" w:eastAsia="仿宋_GB2312"/>
          <w:b w:val="0"/>
          <w:bCs w:val="0"/>
        </w:rPr>
        <w:t>特种设备管理专项经费（非财政）</w:t>
      </w:r>
      <w:r>
        <w:rPr>
          <w:rFonts w:ascii="Times New Roman" w:hAnsi="Times New Roman" w:eastAsia="仿宋_GB2312"/>
          <w:b w:val="0"/>
          <w:bCs w:val="0"/>
        </w:rPr>
        <w:t xml:space="preserve">项目进行客观评价，最终评分结果：总得分为 </w:t>
      </w:r>
      <w:r>
        <w:rPr>
          <w:rFonts w:hint="eastAsia" w:ascii="Times New Roman" w:hAnsi="Times New Roman" w:eastAsia="仿宋_GB2312"/>
          <w:b w:val="0"/>
          <w:bCs w:val="0"/>
        </w:rPr>
        <w:t>93.2</w:t>
      </w:r>
      <w:r>
        <w:rPr>
          <w:rFonts w:ascii="Times New Roman" w:hAnsi="Times New Roman" w:eastAsia="仿宋_GB2312"/>
          <w:b w:val="0"/>
          <w:bCs w:val="0"/>
        </w:rPr>
        <w:t>分，属于“优”。其中，项目决策类指标权重为</w:t>
      </w:r>
      <w:r>
        <w:rPr>
          <w:rFonts w:hint="eastAsia" w:ascii="Times New Roman" w:hAnsi="Times New Roman" w:eastAsia="仿宋_GB2312"/>
          <w:b w:val="0"/>
          <w:bCs w:val="0"/>
        </w:rPr>
        <w:t>20</w:t>
      </w:r>
      <w:r>
        <w:rPr>
          <w:rFonts w:ascii="Times New Roman" w:hAnsi="Times New Roman" w:eastAsia="仿宋_GB2312"/>
          <w:b w:val="0"/>
          <w:bCs w:val="0"/>
        </w:rPr>
        <w:t xml:space="preserve">分，得分为 </w:t>
      </w:r>
      <w:r>
        <w:rPr>
          <w:rFonts w:hint="eastAsia" w:ascii="Times New Roman" w:hAnsi="Times New Roman" w:eastAsia="仿宋_GB2312"/>
          <w:b w:val="0"/>
          <w:bCs w:val="0"/>
        </w:rPr>
        <w:t>17</w:t>
      </w:r>
      <w:r>
        <w:rPr>
          <w:rFonts w:ascii="Times New Roman" w:hAnsi="Times New Roman" w:eastAsia="仿宋_GB2312"/>
          <w:b w:val="0"/>
          <w:bCs w:val="0"/>
        </w:rPr>
        <w:t>分，得分率为 100%。项目过程类指标权重为</w:t>
      </w:r>
      <w:r>
        <w:rPr>
          <w:rFonts w:hint="eastAsia" w:ascii="Times New Roman" w:hAnsi="Times New Roman" w:eastAsia="仿宋_GB2312"/>
          <w:b w:val="0"/>
          <w:bCs w:val="0"/>
        </w:rPr>
        <w:t>20</w:t>
      </w:r>
      <w:r>
        <w:rPr>
          <w:rFonts w:ascii="Times New Roman" w:hAnsi="Times New Roman" w:eastAsia="仿宋_GB2312"/>
          <w:b w:val="0"/>
          <w:bCs w:val="0"/>
        </w:rPr>
        <w:t>分，得分为1</w:t>
      </w:r>
      <w:r>
        <w:rPr>
          <w:rFonts w:hint="eastAsia" w:ascii="Times New Roman" w:hAnsi="Times New Roman" w:eastAsia="仿宋_GB2312"/>
          <w:b w:val="0"/>
          <w:bCs w:val="0"/>
        </w:rPr>
        <w:t>9.2</w:t>
      </w:r>
      <w:r>
        <w:rPr>
          <w:rFonts w:ascii="Times New Roman" w:hAnsi="Times New Roman" w:eastAsia="仿宋_GB2312"/>
          <w:b w:val="0"/>
          <w:bCs w:val="0"/>
        </w:rPr>
        <w:t>分，得分率为 90%。项目产出类指标权重为</w:t>
      </w:r>
      <w:r>
        <w:rPr>
          <w:rFonts w:hint="eastAsia" w:ascii="Times New Roman" w:hAnsi="Times New Roman" w:eastAsia="仿宋_GB2312"/>
          <w:b w:val="0"/>
          <w:bCs w:val="0"/>
        </w:rPr>
        <w:t>40</w:t>
      </w:r>
      <w:r>
        <w:rPr>
          <w:rFonts w:ascii="Times New Roman" w:hAnsi="Times New Roman" w:eastAsia="仿宋_GB2312"/>
          <w:b w:val="0"/>
          <w:bCs w:val="0"/>
        </w:rPr>
        <w:t>分，得分为3</w:t>
      </w:r>
      <w:r>
        <w:rPr>
          <w:rFonts w:hint="eastAsia" w:ascii="Times New Roman" w:hAnsi="Times New Roman" w:eastAsia="仿宋_GB2312"/>
          <w:b w:val="0"/>
          <w:bCs w:val="0"/>
        </w:rPr>
        <w:t>7</w:t>
      </w:r>
      <w:r>
        <w:rPr>
          <w:rFonts w:ascii="Times New Roman" w:hAnsi="Times New Roman" w:eastAsia="仿宋_GB2312"/>
          <w:b w:val="0"/>
          <w:bCs w:val="0"/>
        </w:rPr>
        <w:t>分，得分率为 90%。项目效益类指标权重为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20</w:t>
      </w:r>
      <w:r>
        <w:rPr>
          <w:rFonts w:ascii="Times New Roman" w:hAnsi="Times New Roman" w:eastAsia="仿宋_GB2312"/>
          <w:b w:val="0"/>
          <w:bCs w:val="0"/>
        </w:rPr>
        <w:t>分，得分率为95%。</w:t>
      </w:r>
    </w:p>
    <w:p w14:paraId="5CC86ECD">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14:paraId="104FA6A9"/>
    <w:p w14:paraId="5AB9625B"/>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5BB95C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14FF2968">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14:paraId="1BE44749">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14:paraId="1F8F8075">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14:paraId="5F3FC02D">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14:paraId="2BBC569D">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14:paraId="73539DD3">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14:paraId="69DA8ADB">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14:paraId="000DE049">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14:paraId="2F61F323">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14:paraId="4C5A5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11AEF53">
            <w:pPr>
              <w:widowControl/>
              <w:spacing w:line="0" w:lineRule="atLeast"/>
              <w:jc w:val="center"/>
              <w:rPr>
                <w:color w:val="000000"/>
                <w:kern w:val="0"/>
                <w:sz w:val="22"/>
                <w:szCs w:val="22"/>
              </w:rPr>
            </w:pPr>
            <w:r>
              <w:rPr>
                <w:color w:val="000000"/>
                <w:kern w:val="0"/>
                <w:sz w:val="22"/>
                <w:szCs w:val="22"/>
              </w:rPr>
              <w:t>决策　</w:t>
            </w:r>
          </w:p>
          <w:p w14:paraId="315C326C">
            <w:pPr>
              <w:widowControl/>
              <w:spacing w:line="0" w:lineRule="atLeast"/>
              <w:jc w:val="center"/>
              <w:rPr>
                <w:color w:val="000000"/>
                <w:kern w:val="0"/>
                <w:sz w:val="22"/>
                <w:szCs w:val="22"/>
              </w:rPr>
            </w:pPr>
            <w:r>
              <w:rPr>
                <w:color w:val="000000"/>
                <w:kern w:val="0"/>
                <w:sz w:val="22"/>
                <w:szCs w:val="22"/>
              </w:rPr>
              <w:t>　</w:t>
            </w:r>
          </w:p>
          <w:p w14:paraId="39072909">
            <w:pPr>
              <w:spacing w:line="0" w:lineRule="atLeast"/>
              <w:jc w:val="center"/>
              <w:rPr>
                <w:color w:val="000000"/>
                <w:kern w:val="0"/>
                <w:sz w:val="22"/>
                <w:szCs w:val="22"/>
              </w:rPr>
            </w:pPr>
            <w:r>
              <w:rPr>
                <w:color w:val="000000"/>
                <w:kern w:val="0"/>
                <w:sz w:val="22"/>
                <w:szCs w:val="22"/>
              </w:rPr>
              <w:t>　</w:t>
            </w:r>
          </w:p>
          <w:p w14:paraId="62BE02E7">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2E824072">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55EF17CD">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14:paraId="5070EAC3">
            <w:pPr>
              <w:widowControl/>
              <w:spacing w:line="0" w:lineRule="atLeast"/>
              <w:jc w:val="center"/>
              <w:rPr>
                <w:color w:val="000000"/>
                <w:kern w:val="0"/>
                <w:sz w:val="22"/>
                <w:szCs w:val="22"/>
              </w:rPr>
            </w:pPr>
            <w:r>
              <w:rPr>
                <w:color w:val="000000"/>
                <w:kern w:val="0"/>
                <w:sz w:val="22"/>
                <w:szCs w:val="22"/>
              </w:rPr>
              <w:t>立项依据</w:t>
            </w:r>
          </w:p>
          <w:p w14:paraId="16EB2C22">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14:paraId="5708E067">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0A95B746">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14:paraId="2CA4A277">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14:paraId="42F98540">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14:paraId="7979AFCE">
            <w:pPr>
              <w:widowControl/>
              <w:spacing w:line="0" w:lineRule="atLeast"/>
              <w:jc w:val="center"/>
              <w:rPr>
                <w:color w:val="000000"/>
                <w:kern w:val="0"/>
                <w:sz w:val="22"/>
                <w:szCs w:val="22"/>
              </w:rPr>
            </w:pPr>
            <w:r>
              <w:rPr>
                <w:b/>
                <w:bCs/>
                <w:color w:val="000000"/>
                <w:kern w:val="0"/>
                <w:sz w:val="22"/>
                <w:szCs w:val="22"/>
              </w:rPr>
              <w:t>3</w:t>
            </w:r>
          </w:p>
        </w:tc>
      </w:tr>
      <w:tr w14:paraId="24F62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1C4FEC3">
            <w:pPr>
              <w:spacing w:line="0" w:lineRule="atLeast"/>
              <w:jc w:val="center"/>
              <w:rPr>
                <w:color w:val="000000"/>
                <w:kern w:val="0"/>
                <w:sz w:val="22"/>
                <w:szCs w:val="22"/>
              </w:rPr>
            </w:pPr>
          </w:p>
        </w:tc>
        <w:tc>
          <w:tcPr>
            <w:tcW w:w="990" w:type="dxa"/>
            <w:vMerge w:val="continue"/>
            <w:shd w:val="clear" w:color="auto" w:fill="FFFFFF"/>
            <w:vAlign w:val="center"/>
          </w:tcPr>
          <w:p w14:paraId="3D6E4C51">
            <w:pPr>
              <w:widowControl/>
              <w:spacing w:line="0" w:lineRule="atLeast"/>
              <w:jc w:val="center"/>
              <w:rPr>
                <w:color w:val="000000"/>
                <w:kern w:val="0"/>
                <w:sz w:val="22"/>
                <w:szCs w:val="22"/>
              </w:rPr>
            </w:pPr>
          </w:p>
        </w:tc>
        <w:tc>
          <w:tcPr>
            <w:tcW w:w="1283" w:type="dxa"/>
            <w:vMerge w:val="continue"/>
            <w:shd w:val="clear" w:color="auto" w:fill="FFFFFF"/>
            <w:vAlign w:val="center"/>
          </w:tcPr>
          <w:p w14:paraId="4B729239">
            <w:pPr>
              <w:widowControl/>
              <w:spacing w:line="0" w:lineRule="atLeast"/>
              <w:jc w:val="center"/>
              <w:rPr>
                <w:color w:val="000000"/>
                <w:kern w:val="0"/>
                <w:sz w:val="22"/>
                <w:szCs w:val="22"/>
              </w:rPr>
            </w:pPr>
          </w:p>
        </w:tc>
        <w:tc>
          <w:tcPr>
            <w:tcW w:w="1707" w:type="dxa"/>
            <w:shd w:val="clear" w:color="auto" w:fill="FFFFFF"/>
            <w:vAlign w:val="center"/>
          </w:tcPr>
          <w:p w14:paraId="05606389">
            <w:pPr>
              <w:widowControl/>
              <w:spacing w:line="0" w:lineRule="atLeast"/>
              <w:jc w:val="center"/>
              <w:rPr>
                <w:color w:val="000000"/>
                <w:kern w:val="0"/>
                <w:sz w:val="22"/>
                <w:szCs w:val="22"/>
              </w:rPr>
            </w:pPr>
            <w:r>
              <w:rPr>
                <w:color w:val="000000"/>
                <w:kern w:val="0"/>
                <w:sz w:val="22"/>
                <w:szCs w:val="22"/>
              </w:rPr>
              <w:t>立项程序</w:t>
            </w:r>
          </w:p>
          <w:p w14:paraId="5DD7358A">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14:paraId="242DE6DF">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0FFEB688">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14:paraId="39AD37C1">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tcPr>
          <w:p w14:paraId="4540B15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14:paraId="5DE13D36">
            <w:pPr>
              <w:widowControl/>
              <w:spacing w:line="0" w:lineRule="atLeast"/>
              <w:jc w:val="center"/>
              <w:rPr>
                <w:color w:val="000000"/>
                <w:kern w:val="0"/>
                <w:sz w:val="22"/>
                <w:szCs w:val="22"/>
              </w:rPr>
            </w:pPr>
            <w:r>
              <w:rPr>
                <w:b/>
                <w:bCs/>
                <w:color w:val="000000"/>
                <w:kern w:val="0"/>
                <w:sz w:val="22"/>
                <w:szCs w:val="22"/>
              </w:rPr>
              <w:t>3</w:t>
            </w:r>
          </w:p>
        </w:tc>
      </w:tr>
      <w:tr w14:paraId="6E712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24A7632">
            <w:pPr>
              <w:spacing w:line="0" w:lineRule="atLeast"/>
              <w:jc w:val="center"/>
              <w:rPr>
                <w:color w:val="000000"/>
                <w:kern w:val="0"/>
                <w:sz w:val="22"/>
                <w:szCs w:val="22"/>
              </w:rPr>
            </w:pPr>
          </w:p>
        </w:tc>
        <w:tc>
          <w:tcPr>
            <w:tcW w:w="990" w:type="dxa"/>
            <w:vMerge w:val="continue"/>
            <w:shd w:val="clear" w:color="auto" w:fill="FFFFFF"/>
            <w:vAlign w:val="center"/>
          </w:tcPr>
          <w:p w14:paraId="4DA50526">
            <w:pPr>
              <w:widowControl/>
              <w:spacing w:line="0" w:lineRule="atLeast"/>
              <w:jc w:val="center"/>
              <w:rPr>
                <w:color w:val="000000"/>
                <w:kern w:val="0"/>
                <w:sz w:val="22"/>
                <w:szCs w:val="22"/>
              </w:rPr>
            </w:pPr>
          </w:p>
        </w:tc>
        <w:tc>
          <w:tcPr>
            <w:tcW w:w="1283" w:type="dxa"/>
            <w:vMerge w:val="restart"/>
            <w:shd w:val="clear" w:color="auto" w:fill="FFFFFF"/>
            <w:vAlign w:val="center"/>
          </w:tcPr>
          <w:p w14:paraId="4EC36A5B">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14:paraId="39D3FFF3">
            <w:pPr>
              <w:widowControl/>
              <w:spacing w:line="0" w:lineRule="atLeast"/>
              <w:jc w:val="center"/>
              <w:rPr>
                <w:color w:val="000000"/>
                <w:kern w:val="0"/>
                <w:sz w:val="22"/>
                <w:szCs w:val="22"/>
              </w:rPr>
            </w:pPr>
            <w:r>
              <w:rPr>
                <w:color w:val="000000"/>
                <w:kern w:val="0"/>
                <w:sz w:val="22"/>
                <w:szCs w:val="22"/>
              </w:rPr>
              <w:t>绩效目标</w:t>
            </w:r>
          </w:p>
          <w:p w14:paraId="150ECD6B">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14:paraId="73EB47ED">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243348EF">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14:paraId="5E81B9C9">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tcPr>
          <w:p w14:paraId="31C1405E">
            <w:pPr>
              <w:widowControl/>
              <w:spacing w:line="0" w:lineRule="atLeast"/>
              <w:jc w:val="center"/>
              <w:rPr>
                <w:color w:val="000000"/>
                <w:kern w:val="0"/>
                <w:sz w:val="22"/>
                <w:szCs w:val="22"/>
              </w:rPr>
            </w:pPr>
            <w:r>
              <w:rPr>
                <w:rFonts w:hint="eastAsia"/>
                <w:color w:val="000000"/>
                <w:kern w:val="0"/>
                <w:sz w:val="22"/>
                <w:szCs w:val="22"/>
              </w:rPr>
              <w:t>75</w:t>
            </w:r>
            <w:r>
              <w:rPr>
                <w:color w:val="000000"/>
                <w:kern w:val="0"/>
                <w:sz w:val="22"/>
                <w:szCs w:val="22"/>
              </w:rPr>
              <w:t>%</w:t>
            </w:r>
          </w:p>
        </w:tc>
        <w:tc>
          <w:tcPr>
            <w:tcW w:w="960" w:type="dxa"/>
            <w:shd w:val="clear" w:color="000000" w:fill="FFFFFF"/>
            <w:vAlign w:val="center"/>
          </w:tcPr>
          <w:p w14:paraId="5DCF22A6">
            <w:pPr>
              <w:widowControl/>
              <w:spacing w:line="0" w:lineRule="atLeast"/>
              <w:jc w:val="center"/>
              <w:rPr>
                <w:color w:val="000000"/>
                <w:kern w:val="0"/>
                <w:sz w:val="22"/>
                <w:szCs w:val="22"/>
              </w:rPr>
            </w:pPr>
            <w:r>
              <w:rPr>
                <w:rFonts w:hint="eastAsia"/>
                <w:b/>
                <w:bCs/>
                <w:color w:val="000000"/>
                <w:kern w:val="0"/>
                <w:sz w:val="22"/>
                <w:szCs w:val="22"/>
              </w:rPr>
              <w:t>3</w:t>
            </w:r>
          </w:p>
        </w:tc>
      </w:tr>
      <w:tr w14:paraId="324E3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5BC62FC">
            <w:pPr>
              <w:widowControl/>
              <w:spacing w:line="0" w:lineRule="atLeast"/>
              <w:jc w:val="center"/>
              <w:rPr>
                <w:color w:val="000000"/>
                <w:kern w:val="0"/>
                <w:sz w:val="22"/>
                <w:szCs w:val="22"/>
              </w:rPr>
            </w:pPr>
          </w:p>
        </w:tc>
        <w:tc>
          <w:tcPr>
            <w:tcW w:w="990" w:type="dxa"/>
            <w:vMerge w:val="continue"/>
            <w:shd w:val="clear" w:color="auto" w:fill="FFFFFF"/>
            <w:vAlign w:val="center"/>
          </w:tcPr>
          <w:p w14:paraId="272E0F87">
            <w:pPr>
              <w:widowControl/>
              <w:spacing w:line="0" w:lineRule="atLeast"/>
              <w:jc w:val="center"/>
              <w:rPr>
                <w:color w:val="000000"/>
                <w:kern w:val="0"/>
                <w:sz w:val="22"/>
                <w:szCs w:val="22"/>
              </w:rPr>
            </w:pPr>
          </w:p>
        </w:tc>
        <w:tc>
          <w:tcPr>
            <w:tcW w:w="1283" w:type="dxa"/>
            <w:vMerge w:val="continue"/>
            <w:shd w:val="clear" w:color="auto" w:fill="FFFFFF"/>
            <w:vAlign w:val="center"/>
          </w:tcPr>
          <w:p w14:paraId="2D166771">
            <w:pPr>
              <w:widowControl/>
              <w:spacing w:line="0" w:lineRule="atLeast"/>
              <w:jc w:val="center"/>
              <w:rPr>
                <w:color w:val="000000"/>
                <w:kern w:val="0"/>
                <w:sz w:val="22"/>
                <w:szCs w:val="22"/>
              </w:rPr>
            </w:pPr>
          </w:p>
        </w:tc>
        <w:tc>
          <w:tcPr>
            <w:tcW w:w="1707" w:type="dxa"/>
            <w:shd w:val="clear" w:color="auto" w:fill="FFFFFF"/>
            <w:vAlign w:val="center"/>
          </w:tcPr>
          <w:p w14:paraId="4F8B12C5">
            <w:pPr>
              <w:widowControl/>
              <w:spacing w:line="0" w:lineRule="atLeast"/>
              <w:jc w:val="center"/>
              <w:rPr>
                <w:color w:val="000000"/>
                <w:kern w:val="0"/>
                <w:sz w:val="22"/>
                <w:szCs w:val="22"/>
              </w:rPr>
            </w:pPr>
            <w:r>
              <w:rPr>
                <w:color w:val="000000"/>
                <w:kern w:val="0"/>
                <w:sz w:val="22"/>
                <w:szCs w:val="22"/>
              </w:rPr>
              <w:t>绩效指标</w:t>
            </w:r>
          </w:p>
          <w:p w14:paraId="255BFCAA">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14:paraId="54F8CB37">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14:paraId="6798E56E">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14:paraId="6FA68EBD">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tcPr>
          <w:p w14:paraId="63BEEA6F">
            <w:pPr>
              <w:widowControl/>
              <w:spacing w:line="0" w:lineRule="atLeast"/>
              <w:jc w:val="center"/>
              <w:rPr>
                <w:color w:val="000000"/>
                <w:kern w:val="0"/>
                <w:sz w:val="22"/>
                <w:szCs w:val="22"/>
              </w:rPr>
            </w:pPr>
            <w:r>
              <w:rPr>
                <w:rFonts w:hint="eastAsia"/>
                <w:color w:val="000000"/>
                <w:kern w:val="0"/>
                <w:sz w:val="22"/>
                <w:szCs w:val="22"/>
              </w:rPr>
              <w:t>66.67</w:t>
            </w:r>
            <w:r>
              <w:rPr>
                <w:color w:val="000000"/>
                <w:kern w:val="0"/>
                <w:sz w:val="22"/>
                <w:szCs w:val="22"/>
              </w:rPr>
              <w:t>%</w:t>
            </w:r>
          </w:p>
        </w:tc>
        <w:tc>
          <w:tcPr>
            <w:tcW w:w="960" w:type="dxa"/>
            <w:shd w:val="clear" w:color="000000" w:fill="FFFFFF"/>
            <w:vAlign w:val="center"/>
          </w:tcPr>
          <w:p w14:paraId="2E34953E">
            <w:pPr>
              <w:widowControl/>
              <w:spacing w:line="0" w:lineRule="atLeast"/>
              <w:jc w:val="center"/>
              <w:rPr>
                <w:color w:val="000000"/>
                <w:kern w:val="0"/>
                <w:sz w:val="22"/>
                <w:szCs w:val="22"/>
              </w:rPr>
            </w:pPr>
            <w:r>
              <w:rPr>
                <w:rFonts w:hint="eastAsia"/>
                <w:b/>
                <w:bCs/>
                <w:color w:val="000000"/>
                <w:kern w:val="0"/>
                <w:sz w:val="22"/>
                <w:szCs w:val="22"/>
              </w:rPr>
              <w:t>2</w:t>
            </w:r>
          </w:p>
        </w:tc>
      </w:tr>
      <w:tr w14:paraId="49043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E3E042C">
            <w:pPr>
              <w:spacing w:line="0" w:lineRule="atLeast"/>
              <w:jc w:val="center"/>
              <w:rPr>
                <w:color w:val="000000"/>
                <w:kern w:val="0"/>
                <w:sz w:val="22"/>
                <w:szCs w:val="22"/>
              </w:rPr>
            </w:pPr>
          </w:p>
        </w:tc>
        <w:tc>
          <w:tcPr>
            <w:tcW w:w="990" w:type="dxa"/>
            <w:vMerge w:val="continue"/>
            <w:shd w:val="clear" w:color="auto" w:fill="FFFFFF"/>
            <w:vAlign w:val="center"/>
          </w:tcPr>
          <w:p w14:paraId="2C3300E0">
            <w:pPr>
              <w:spacing w:line="0" w:lineRule="atLeast"/>
              <w:jc w:val="center"/>
              <w:rPr>
                <w:color w:val="000000"/>
                <w:kern w:val="0"/>
                <w:sz w:val="22"/>
                <w:szCs w:val="22"/>
              </w:rPr>
            </w:pPr>
          </w:p>
        </w:tc>
        <w:tc>
          <w:tcPr>
            <w:tcW w:w="1283" w:type="dxa"/>
            <w:vMerge w:val="restart"/>
            <w:shd w:val="clear" w:color="auto" w:fill="FFFFFF"/>
            <w:vAlign w:val="center"/>
          </w:tcPr>
          <w:p w14:paraId="3BB552A3">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14:paraId="36301912">
            <w:pPr>
              <w:widowControl/>
              <w:spacing w:line="0" w:lineRule="atLeast"/>
              <w:jc w:val="center"/>
              <w:rPr>
                <w:color w:val="000000"/>
                <w:kern w:val="0"/>
                <w:sz w:val="22"/>
                <w:szCs w:val="22"/>
              </w:rPr>
            </w:pPr>
            <w:r>
              <w:rPr>
                <w:color w:val="000000"/>
                <w:kern w:val="0"/>
                <w:sz w:val="22"/>
                <w:szCs w:val="22"/>
              </w:rPr>
              <w:t>预算编制</w:t>
            </w:r>
          </w:p>
          <w:p w14:paraId="6E3EA9EB">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14:paraId="7509892A">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09E00693">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14:paraId="7268E1AF">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tcPr>
          <w:p w14:paraId="3CA6DDD3">
            <w:pPr>
              <w:widowControl/>
              <w:spacing w:line="0" w:lineRule="atLeast"/>
              <w:jc w:val="center"/>
              <w:rPr>
                <w:color w:val="000000"/>
                <w:kern w:val="0"/>
                <w:sz w:val="22"/>
                <w:szCs w:val="22"/>
              </w:rPr>
            </w:pPr>
            <w:r>
              <w:rPr>
                <w:rFonts w:hint="eastAsia"/>
                <w:color w:val="000000"/>
                <w:kern w:val="0"/>
                <w:sz w:val="22"/>
                <w:szCs w:val="22"/>
              </w:rPr>
              <w:t>75</w:t>
            </w:r>
            <w:r>
              <w:rPr>
                <w:color w:val="000000"/>
                <w:kern w:val="0"/>
                <w:sz w:val="22"/>
                <w:szCs w:val="22"/>
              </w:rPr>
              <w:t>%</w:t>
            </w:r>
          </w:p>
        </w:tc>
        <w:tc>
          <w:tcPr>
            <w:tcW w:w="960" w:type="dxa"/>
            <w:shd w:val="clear" w:color="auto" w:fill="FFFFFF"/>
            <w:vAlign w:val="center"/>
          </w:tcPr>
          <w:p w14:paraId="6898CD2E">
            <w:pPr>
              <w:widowControl/>
              <w:spacing w:line="0" w:lineRule="atLeast"/>
              <w:jc w:val="center"/>
              <w:rPr>
                <w:color w:val="000000"/>
                <w:kern w:val="0"/>
                <w:sz w:val="22"/>
                <w:szCs w:val="22"/>
              </w:rPr>
            </w:pPr>
            <w:r>
              <w:rPr>
                <w:rFonts w:hint="eastAsia"/>
                <w:b/>
                <w:bCs/>
                <w:color w:val="000000"/>
                <w:kern w:val="0"/>
                <w:sz w:val="22"/>
                <w:szCs w:val="22"/>
              </w:rPr>
              <w:t>3</w:t>
            </w:r>
          </w:p>
        </w:tc>
      </w:tr>
      <w:tr w14:paraId="3F0FD3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28905BF">
            <w:pPr>
              <w:widowControl/>
              <w:spacing w:line="0" w:lineRule="atLeast"/>
              <w:jc w:val="center"/>
              <w:rPr>
                <w:color w:val="000000"/>
                <w:kern w:val="0"/>
                <w:sz w:val="22"/>
                <w:szCs w:val="22"/>
              </w:rPr>
            </w:pPr>
          </w:p>
        </w:tc>
        <w:tc>
          <w:tcPr>
            <w:tcW w:w="990" w:type="dxa"/>
            <w:vMerge w:val="continue"/>
            <w:shd w:val="clear" w:color="auto" w:fill="FFFFFF"/>
            <w:vAlign w:val="center"/>
          </w:tcPr>
          <w:p w14:paraId="1DAE52B2">
            <w:pPr>
              <w:widowControl/>
              <w:spacing w:line="0" w:lineRule="atLeast"/>
              <w:jc w:val="center"/>
              <w:rPr>
                <w:color w:val="000000"/>
                <w:kern w:val="0"/>
                <w:sz w:val="22"/>
                <w:szCs w:val="22"/>
              </w:rPr>
            </w:pPr>
          </w:p>
        </w:tc>
        <w:tc>
          <w:tcPr>
            <w:tcW w:w="1283" w:type="dxa"/>
            <w:vMerge w:val="continue"/>
            <w:shd w:val="clear" w:color="auto" w:fill="FFFFFF"/>
            <w:vAlign w:val="center"/>
          </w:tcPr>
          <w:p w14:paraId="43A73621">
            <w:pPr>
              <w:widowControl/>
              <w:spacing w:line="0" w:lineRule="atLeast"/>
              <w:jc w:val="center"/>
              <w:rPr>
                <w:color w:val="000000"/>
                <w:kern w:val="0"/>
                <w:sz w:val="22"/>
                <w:szCs w:val="22"/>
              </w:rPr>
            </w:pPr>
          </w:p>
        </w:tc>
        <w:tc>
          <w:tcPr>
            <w:tcW w:w="1707" w:type="dxa"/>
            <w:shd w:val="clear" w:color="auto" w:fill="FFFFFF"/>
            <w:vAlign w:val="center"/>
          </w:tcPr>
          <w:p w14:paraId="00D46410">
            <w:pPr>
              <w:widowControl/>
              <w:spacing w:line="0" w:lineRule="atLeast"/>
              <w:jc w:val="center"/>
              <w:rPr>
                <w:color w:val="000000"/>
                <w:kern w:val="0"/>
                <w:sz w:val="22"/>
                <w:szCs w:val="22"/>
              </w:rPr>
            </w:pPr>
            <w:r>
              <w:rPr>
                <w:color w:val="000000"/>
                <w:kern w:val="0"/>
                <w:sz w:val="22"/>
                <w:szCs w:val="22"/>
              </w:rPr>
              <w:t>资金分配</w:t>
            </w:r>
          </w:p>
          <w:p w14:paraId="6F0F65A5">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14:paraId="3CBB4EBF">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78C8D8AA">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14:paraId="4C2CE572">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tcPr>
          <w:p w14:paraId="716B31A2">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14:paraId="385C1148">
            <w:pPr>
              <w:widowControl/>
              <w:spacing w:line="0" w:lineRule="atLeast"/>
              <w:jc w:val="center"/>
              <w:rPr>
                <w:color w:val="000000"/>
                <w:kern w:val="0"/>
                <w:sz w:val="22"/>
                <w:szCs w:val="22"/>
              </w:rPr>
            </w:pPr>
            <w:r>
              <w:rPr>
                <w:b/>
                <w:bCs/>
                <w:color w:val="000000"/>
                <w:kern w:val="0"/>
                <w:sz w:val="22"/>
                <w:szCs w:val="22"/>
              </w:rPr>
              <w:t>3</w:t>
            </w:r>
          </w:p>
        </w:tc>
      </w:tr>
      <w:tr w14:paraId="5779FA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D3913A7">
            <w:pPr>
              <w:spacing w:line="0" w:lineRule="atLeast"/>
              <w:jc w:val="center"/>
              <w:rPr>
                <w:color w:val="000000"/>
                <w:kern w:val="0"/>
                <w:sz w:val="22"/>
                <w:szCs w:val="22"/>
              </w:rPr>
            </w:pPr>
            <w:r>
              <w:rPr>
                <w:color w:val="000000"/>
                <w:kern w:val="0"/>
                <w:sz w:val="22"/>
                <w:szCs w:val="22"/>
              </w:rPr>
              <w:t>过程</w:t>
            </w:r>
          </w:p>
          <w:p w14:paraId="71B3CC26">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19ABCFE2">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6F52D12A">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572F1DB6">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14:paraId="4593A6DC">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4C75144C">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4298814C">
            <w:pPr>
              <w:widowControl/>
              <w:spacing w:line="0" w:lineRule="atLeast"/>
              <w:jc w:val="center"/>
              <w:rPr>
                <w:color w:val="000000"/>
                <w:kern w:val="0"/>
                <w:sz w:val="22"/>
                <w:szCs w:val="22"/>
              </w:rPr>
            </w:pPr>
            <w:r>
              <w:rPr>
                <w:color w:val="000000"/>
                <w:kern w:val="0"/>
                <w:sz w:val="22"/>
                <w:szCs w:val="22"/>
              </w:rPr>
              <w:t>91.13%</w:t>
            </w:r>
          </w:p>
        </w:tc>
        <w:tc>
          <w:tcPr>
            <w:tcW w:w="1215" w:type="dxa"/>
            <w:shd w:val="clear" w:color="000000" w:fill="FFFFFF"/>
            <w:vAlign w:val="center"/>
          </w:tcPr>
          <w:p w14:paraId="6FA52AB5">
            <w:pPr>
              <w:widowControl/>
              <w:spacing w:line="0" w:lineRule="atLeast"/>
              <w:jc w:val="center"/>
              <w:rPr>
                <w:color w:val="000000"/>
                <w:kern w:val="0"/>
                <w:sz w:val="22"/>
                <w:szCs w:val="22"/>
              </w:rPr>
            </w:pPr>
            <w:r>
              <w:rPr>
                <w:rFonts w:hint="eastAsia"/>
                <w:color w:val="000000"/>
                <w:kern w:val="0"/>
                <w:sz w:val="22"/>
                <w:szCs w:val="22"/>
              </w:rPr>
              <w:t>90</w:t>
            </w:r>
            <w:r>
              <w:rPr>
                <w:color w:val="000000"/>
                <w:kern w:val="0"/>
                <w:sz w:val="22"/>
                <w:szCs w:val="22"/>
              </w:rPr>
              <w:t>%</w:t>
            </w:r>
          </w:p>
        </w:tc>
        <w:tc>
          <w:tcPr>
            <w:tcW w:w="960" w:type="dxa"/>
            <w:shd w:val="clear" w:color="000000" w:fill="FFFFFF"/>
            <w:vAlign w:val="center"/>
          </w:tcPr>
          <w:p w14:paraId="2E644363">
            <w:pPr>
              <w:widowControl/>
              <w:spacing w:line="0" w:lineRule="atLeast"/>
              <w:jc w:val="center"/>
              <w:rPr>
                <w:color w:val="000000"/>
                <w:kern w:val="0"/>
                <w:sz w:val="22"/>
                <w:szCs w:val="22"/>
              </w:rPr>
            </w:pPr>
            <w:r>
              <w:rPr>
                <w:b/>
                <w:bCs/>
                <w:color w:val="000000"/>
                <w:kern w:val="0"/>
                <w:sz w:val="22"/>
                <w:szCs w:val="22"/>
              </w:rPr>
              <w:t>3.6</w:t>
            </w:r>
          </w:p>
        </w:tc>
      </w:tr>
      <w:tr w14:paraId="168D6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D8C73B7">
            <w:pPr>
              <w:spacing w:line="0" w:lineRule="atLeast"/>
              <w:jc w:val="center"/>
              <w:rPr>
                <w:color w:val="000000"/>
                <w:kern w:val="0"/>
                <w:sz w:val="22"/>
                <w:szCs w:val="22"/>
              </w:rPr>
            </w:pPr>
          </w:p>
        </w:tc>
        <w:tc>
          <w:tcPr>
            <w:tcW w:w="990" w:type="dxa"/>
            <w:vMerge w:val="continue"/>
            <w:shd w:val="clear" w:color="auto" w:fill="FFFFFF"/>
            <w:vAlign w:val="center"/>
          </w:tcPr>
          <w:p w14:paraId="1040248D">
            <w:pPr>
              <w:spacing w:line="0" w:lineRule="atLeast"/>
              <w:jc w:val="center"/>
              <w:rPr>
                <w:color w:val="000000"/>
                <w:kern w:val="0"/>
                <w:sz w:val="22"/>
                <w:szCs w:val="22"/>
              </w:rPr>
            </w:pPr>
          </w:p>
        </w:tc>
        <w:tc>
          <w:tcPr>
            <w:tcW w:w="1283" w:type="dxa"/>
            <w:vMerge w:val="continue"/>
            <w:shd w:val="clear" w:color="auto" w:fill="FFFFFF"/>
            <w:vAlign w:val="center"/>
          </w:tcPr>
          <w:p w14:paraId="07C6EC73">
            <w:pPr>
              <w:spacing w:line="0" w:lineRule="atLeast"/>
              <w:jc w:val="center"/>
              <w:rPr>
                <w:color w:val="000000"/>
                <w:kern w:val="0"/>
                <w:sz w:val="22"/>
                <w:szCs w:val="22"/>
              </w:rPr>
            </w:pPr>
          </w:p>
        </w:tc>
        <w:tc>
          <w:tcPr>
            <w:tcW w:w="1707" w:type="dxa"/>
            <w:shd w:val="clear" w:color="auto" w:fill="FFFFFF"/>
            <w:vAlign w:val="center"/>
          </w:tcPr>
          <w:p w14:paraId="7569A63B">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14:paraId="711B16F3">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374C494F">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14:paraId="04A53E3C">
            <w:pPr>
              <w:widowControl/>
              <w:spacing w:line="0" w:lineRule="atLeast"/>
              <w:jc w:val="center"/>
              <w:rPr>
                <w:color w:val="000000"/>
                <w:kern w:val="0"/>
                <w:sz w:val="22"/>
                <w:szCs w:val="22"/>
              </w:rPr>
            </w:pPr>
            <w:r>
              <w:rPr>
                <w:color w:val="000000"/>
                <w:kern w:val="0"/>
                <w:sz w:val="22"/>
                <w:szCs w:val="22"/>
              </w:rPr>
              <w:t>91.13%</w:t>
            </w:r>
          </w:p>
        </w:tc>
        <w:tc>
          <w:tcPr>
            <w:tcW w:w="1215" w:type="dxa"/>
            <w:shd w:val="clear" w:color="auto" w:fill="FFFFFF"/>
          </w:tcPr>
          <w:p w14:paraId="525131CD">
            <w:pPr>
              <w:widowControl/>
              <w:spacing w:line="0" w:lineRule="atLeast"/>
              <w:jc w:val="center"/>
              <w:rPr>
                <w:color w:val="000000"/>
                <w:kern w:val="0"/>
                <w:sz w:val="22"/>
                <w:szCs w:val="22"/>
              </w:rPr>
            </w:pPr>
            <w:r>
              <w:rPr>
                <w:rFonts w:hint="eastAsia"/>
              </w:rPr>
              <w:t>90</w:t>
            </w:r>
            <w:r>
              <w:t>%</w:t>
            </w:r>
          </w:p>
        </w:tc>
        <w:tc>
          <w:tcPr>
            <w:tcW w:w="960" w:type="dxa"/>
            <w:shd w:val="clear" w:color="auto" w:fill="FFFFFF"/>
            <w:vAlign w:val="center"/>
          </w:tcPr>
          <w:p w14:paraId="0FF0738C">
            <w:pPr>
              <w:widowControl/>
              <w:spacing w:line="0" w:lineRule="atLeast"/>
              <w:jc w:val="center"/>
              <w:rPr>
                <w:color w:val="000000"/>
                <w:kern w:val="0"/>
                <w:sz w:val="22"/>
                <w:szCs w:val="22"/>
              </w:rPr>
            </w:pPr>
            <w:r>
              <w:rPr>
                <w:b/>
                <w:bCs/>
                <w:color w:val="000000"/>
                <w:kern w:val="0"/>
                <w:sz w:val="22"/>
                <w:szCs w:val="22"/>
              </w:rPr>
              <w:t>3.6</w:t>
            </w:r>
          </w:p>
        </w:tc>
      </w:tr>
      <w:tr w14:paraId="3818B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AE1212A">
            <w:pPr>
              <w:spacing w:line="0" w:lineRule="atLeast"/>
              <w:jc w:val="center"/>
              <w:rPr>
                <w:color w:val="000000"/>
                <w:kern w:val="0"/>
                <w:sz w:val="22"/>
                <w:szCs w:val="22"/>
              </w:rPr>
            </w:pPr>
          </w:p>
        </w:tc>
        <w:tc>
          <w:tcPr>
            <w:tcW w:w="990" w:type="dxa"/>
            <w:vMerge w:val="continue"/>
            <w:shd w:val="clear" w:color="auto" w:fill="FFFFFF"/>
            <w:vAlign w:val="center"/>
          </w:tcPr>
          <w:p w14:paraId="39C22EE9">
            <w:pPr>
              <w:widowControl/>
              <w:spacing w:line="0" w:lineRule="atLeast"/>
              <w:jc w:val="center"/>
              <w:rPr>
                <w:color w:val="000000"/>
                <w:kern w:val="0"/>
                <w:sz w:val="22"/>
                <w:szCs w:val="22"/>
              </w:rPr>
            </w:pPr>
          </w:p>
        </w:tc>
        <w:tc>
          <w:tcPr>
            <w:tcW w:w="1283" w:type="dxa"/>
            <w:shd w:val="clear" w:color="auto" w:fill="FFFFFF"/>
            <w:vAlign w:val="center"/>
          </w:tcPr>
          <w:p w14:paraId="698E74A3">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191D82CF">
            <w:pPr>
              <w:widowControl/>
              <w:spacing w:line="0" w:lineRule="atLeast"/>
              <w:jc w:val="center"/>
              <w:rPr>
                <w:color w:val="000000"/>
                <w:kern w:val="0"/>
                <w:sz w:val="22"/>
                <w:szCs w:val="22"/>
              </w:rPr>
            </w:pPr>
            <w:r>
              <w:rPr>
                <w:color w:val="000000"/>
                <w:kern w:val="0"/>
                <w:sz w:val="22"/>
                <w:szCs w:val="22"/>
              </w:rPr>
              <w:t>资金使用</w:t>
            </w:r>
          </w:p>
          <w:p w14:paraId="1C3000C4">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14:paraId="789A1034">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496C9326">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14:paraId="6556072C">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tcPr>
          <w:p w14:paraId="305E122E">
            <w:pPr>
              <w:widowControl/>
              <w:spacing w:line="0" w:lineRule="atLeast"/>
              <w:jc w:val="center"/>
              <w:rPr>
                <w:color w:val="000000"/>
                <w:kern w:val="0"/>
                <w:sz w:val="22"/>
                <w:szCs w:val="22"/>
              </w:rPr>
            </w:pPr>
            <w:r>
              <w:t>100%</w:t>
            </w:r>
          </w:p>
        </w:tc>
        <w:tc>
          <w:tcPr>
            <w:tcW w:w="960" w:type="dxa"/>
            <w:shd w:val="clear" w:color="000000" w:fill="FFFFFF"/>
            <w:vAlign w:val="center"/>
          </w:tcPr>
          <w:p w14:paraId="23EC3778">
            <w:pPr>
              <w:widowControl/>
              <w:spacing w:line="0" w:lineRule="atLeast"/>
              <w:jc w:val="center"/>
              <w:rPr>
                <w:color w:val="000000"/>
                <w:kern w:val="0"/>
                <w:sz w:val="22"/>
                <w:szCs w:val="22"/>
              </w:rPr>
            </w:pPr>
            <w:r>
              <w:rPr>
                <w:b/>
                <w:bCs/>
                <w:color w:val="000000"/>
                <w:kern w:val="0"/>
                <w:sz w:val="22"/>
                <w:szCs w:val="22"/>
              </w:rPr>
              <w:t>4</w:t>
            </w:r>
          </w:p>
        </w:tc>
      </w:tr>
      <w:tr w14:paraId="7769E8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7664D83">
            <w:pPr>
              <w:spacing w:line="0" w:lineRule="atLeast"/>
              <w:jc w:val="center"/>
              <w:rPr>
                <w:color w:val="000000"/>
                <w:kern w:val="0"/>
                <w:sz w:val="22"/>
                <w:szCs w:val="22"/>
              </w:rPr>
            </w:pPr>
          </w:p>
        </w:tc>
        <w:tc>
          <w:tcPr>
            <w:tcW w:w="990" w:type="dxa"/>
            <w:vMerge w:val="continue"/>
            <w:shd w:val="clear" w:color="auto" w:fill="FFFFFF"/>
            <w:vAlign w:val="center"/>
          </w:tcPr>
          <w:p w14:paraId="1AB86020">
            <w:pPr>
              <w:spacing w:line="0" w:lineRule="atLeast"/>
              <w:jc w:val="center"/>
              <w:rPr>
                <w:color w:val="000000"/>
                <w:kern w:val="0"/>
                <w:sz w:val="22"/>
                <w:szCs w:val="22"/>
              </w:rPr>
            </w:pPr>
          </w:p>
        </w:tc>
        <w:tc>
          <w:tcPr>
            <w:tcW w:w="1283" w:type="dxa"/>
            <w:vMerge w:val="restart"/>
            <w:shd w:val="clear" w:color="auto" w:fill="FFFFFF"/>
            <w:vAlign w:val="center"/>
          </w:tcPr>
          <w:p w14:paraId="2E4C74AE">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14:paraId="462514DF">
            <w:pPr>
              <w:widowControl/>
              <w:spacing w:line="0" w:lineRule="atLeast"/>
              <w:jc w:val="center"/>
              <w:rPr>
                <w:color w:val="000000"/>
                <w:kern w:val="0"/>
                <w:sz w:val="22"/>
                <w:szCs w:val="22"/>
              </w:rPr>
            </w:pPr>
            <w:r>
              <w:rPr>
                <w:color w:val="000000"/>
                <w:kern w:val="0"/>
                <w:sz w:val="22"/>
                <w:szCs w:val="22"/>
              </w:rPr>
              <w:t>管理制度</w:t>
            </w:r>
          </w:p>
          <w:p w14:paraId="179E8ACD">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14:paraId="383FA18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7C23B331">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14:paraId="009E5D22">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tcPr>
          <w:p w14:paraId="56679E6B">
            <w:pPr>
              <w:widowControl/>
              <w:spacing w:line="0" w:lineRule="atLeast"/>
              <w:jc w:val="center"/>
              <w:rPr>
                <w:color w:val="000000"/>
                <w:kern w:val="0"/>
                <w:sz w:val="22"/>
                <w:szCs w:val="22"/>
              </w:rPr>
            </w:pPr>
            <w:r>
              <w:t>100%</w:t>
            </w:r>
          </w:p>
        </w:tc>
        <w:tc>
          <w:tcPr>
            <w:tcW w:w="960" w:type="dxa"/>
            <w:shd w:val="clear" w:color="000000" w:fill="FFFFFF"/>
            <w:vAlign w:val="center"/>
          </w:tcPr>
          <w:p w14:paraId="60354A22">
            <w:pPr>
              <w:widowControl/>
              <w:spacing w:line="0" w:lineRule="atLeast"/>
              <w:jc w:val="center"/>
              <w:rPr>
                <w:color w:val="000000"/>
                <w:kern w:val="0"/>
                <w:sz w:val="22"/>
                <w:szCs w:val="22"/>
              </w:rPr>
            </w:pPr>
            <w:r>
              <w:rPr>
                <w:b/>
                <w:bCs/>
                <w:color w:val="000000"/>
                <w:kern w:val="0"/>
                <w:sz w:val="22"/>
                <w:szCs w:val="22"/>
              </w:rPr>
              <w:t>4</w:t>
            </w:r>
          </w:p>
        </w:tc>
      </w:tr>
      <w:tr w14:paraId="06007D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514A9E9">
            <w:pPr>
              <w:widowControl/>
              <w:spacing w:line="0" w:lineRule="atLeast"/>
              <w:jc w:val="center"/>
              <w:rPr>
                <w:color w:val="000000"/>
                <w:kern w:val="0"/>
                <w:sz w:val="22"/>
                <w:szCs w:val="22"/>
              </w:rPr>
            </w:pPr>
          </w:p>
        </w:tc>
        <w:tc>
          <w:tcPr>
            <w:tcW w:w="990" w:type="dxa"/>
            <w:vMerge w:val="continue"/>
            <w:shd w:val="clear" w:color="auto" w:fill="FFFFFF"/>
            <w:vAlign w:val="center"/>
          </w:tcPr>
          <w:p w14:paraId="74C7145A">
            <w:pPr>
              <w:widowControl/>
              <w:spacing w:line="0" w:lineRule="atLeast"/>
              <w:jc w:val="center"/>
              <w:rPr>
                <w:color w:val="000000"/>
                <w:kern w:val="0"/>
                <w:sz w:val="22"/>
                <w:szCs w:val="22"/>
              </w:rPr>
            </w:pPr>
          </w:p>
        </w:tc>
        <w:tc>
          <w:tcPr>
            <w:tcW w:w="1283" w:type="dxa"/>
            <w:vMerge w:val="continue"/>
            <w:shd w:val="clear" w:color="auto" w:fill="FFFFFF"/>
            <w:vAlign w:val="center"/>
          </w:tcPr>
          <w:p w14:paraId="1464B031">
            <w:pPr>
              <w:widowControl/>
              <w:spacing w:line="0" w:lineRule="atLeast"/>
              <w:jc w:val="center"/>
              <w:rPr>
                <w:color w:val="000000"/>
                <w:kern w:val="0"/>
                <w:sz w:val="22"/>
                <w:szCs w:val="22"/>
              </w:rPr>
            </w:pPr>
          </w:p>
        </w:tc>
        <w:tc>
          <w:tcPr>
            <w:tcW w:w="1707" w:type="dxa"/>
            <w:shd w:val="clear" w:color="auto" w:fill="FFFFFF"/>
            <w:vAlign w:val="center"/>
          </w:tcPr>
          <w:p w14:paraId="75C80610">
            <w:pPr>
              <w:widowControl/>
              <w:spacing w:line="0" w:lineRule="atLeast"/>
              <w:jc w:val="center"/>
              <w:rPr>
                <w:color w:val="000000"/>
                <w:kern w:val="0"/>
                <w:sz w:val="22"/>
                <w:szCs w:val="22"/>
              </w:rPr>
            </w:pPr>
            <w:r>
              <w:rPr>
                <w:color w:val="000000"/>
                <w:kern w:val="0"/>
                <w:sz w:val="22"/>
                <w:szCs w:val="22"/>
              </w:rPr>
              <w:t>制度执行</w:t>
            </w:r>
          </w:p>
          <w:p w14:paraId="159D91D8">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14:paraId="58F0D306">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29DC78EE">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14:paraId="0A17FD95">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tcPr>
          <w:p w14:paraId="5567FCAB">
            <w:pPr>
              <w:widowControl/>
              <w:spacing w:line="0" w:lineRule="atLeast"/>
              <w:jc w:val="center"/>
              <w:rPr>
                <w:color w:val="000000"/>
                <w:kern w:val="0"/>
                <w:sz w:val="22"/>
                <w:szCs w:val="22"/>
              </w:rPr>
            </w:pPr>
            <w:r>
              <w:t>100%</w:t>
            </w:r>
          </w:p>
        </w:tc>
        <w:tc>
          <w:tcPr>
            <w:tcW w:w="960" w:type="dxa"/>
            <w:shd w:val="clear" w:color="000000" w:fill="FFFFFF"/>
            <w:vAlign w:val="center"/>
          </w:tcPr>
          <w:p w14:paraId="1155072A">
            <w:pPr>
              <w:widowControl/>
              <w:spacing w:line="0" w:lineRule="atLeast"/>
              <w:jc w:val="center"/>
              <w:rPr>
                <w:color w:val="000000"/>
                <w:kern w:val="0"/>
                <w:sz w:val="22"/>
                <w:szCs w:val="22"/>
              </w:rPr>
            </w:pPr>
            <w:r>
              <w:rPr>
                <w:b/>
                <w:bCs/>
                <w:color w:val="000000"/>
                <w:kern w:val="0"/>
                <w:sz w:val="22"/>
                <w:szCs w:val="22"/>
              </w:rPr>
              <w:t>4</w:t>
            </w:r>
          </w:p>
        </w:tc>
      </w:tr>
      <w:tr w14:paraId="76C16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BED7746">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14:paraId="40058CA6">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14:paraId="2FF19C70">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14:paraId="630B5040">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14:paraId="44127FBE">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14BB635C">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73DF70E6">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14:paraId="5DFB1566">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0470CEFD">
            <w:pPr>
              <w:widowControl/>
              <w:spacing w:line="0" w:lineRule="atLeast"/>
              <w:jc w:val="center"/>
              <w:rPr>
                <w:color w:val="000000"/>
                <w:kern w:val="0"/>
                <w:sz w:val="22"/>
                <w:szCs w:val="22"/>
              </w:rPr>
            </w:pPr>
            <w:r>
              <w:rPr>
                <w:b/>
                <w:bCs/>
                <w:color w:val="000000"/>
                <w:kern w:val="0"/>
                <w:sz w:val="22"/>
                <w:szCs w:val="22"/>
              </w:rPr>
              <w:t>9</w:t>
            </w:r>
          </w:p>
        </w:tc>
      </w:tr>
      <w:tr w14:paraId="7CD168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48EA47D">
            <w:pPr>
              <w:widowControl/>
              <w:spacing w:line="0" w:lineRule="atLeast"/>
              <w:jc w:val="center"/>
              <w:rPr>
                <w:color w:val="000000"/>
                <w:kern w:val="0"/>
                <w:sz w:val="22"/>
                <w:szCs w:val="22"/>
              </w:rPr>
            </w:pPr>
          </w:p>
        </w:tc>
        <w:tc>
          <w:tcPr>
            <w:tcW w:w="990" w:type="dxa"/>
            <w:vMerge w:val="continue"/>
            <w:shd w:val="clear" w:color="auto" w:fill="FFFFFF"/>
            <w:vAlign w:val="center"/>
          </w:tcPr>
          <w:p w14:paraId="1F495529">
            <w:pPr>
              <w:widowControl/>
              <w:spacing w:line="0" w:lineRule="atLeast"/>
              <w:jc w:val="center"/>
              <w:rPr>
                <w:color w:val="000000"/>
                <w:kern w:val="0"/>
                <w:sz w:val="22"/>
                <w:szCs w:val="22"/>
              </w:rPr>
            </w:pPr>
          </w:p>
        </w:tc>
        <w:tc>
          <w:tcPr>
            <w:tcW w:w="1283" w:type="dxa"/>
            <w:shd w:val="clear" w:color="auto" w:fill="FFFFFF"/>
            <w:vAlign w:val="center"/>
          </w:tcPr>
          <w:p w14:paraId="5B54C236">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14:paraId="5DAB73EC">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14:paraId="158B0A91">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14:paraId="12210A63">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189823CD">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tcPr>
          <w:p w14:paraId="1FA22CEB">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2BA1E4C0">
            <w:pPr>
              <w:widowControl/>
              <w:spacing w:line="0" w:lineRule="atLeast"/>
              <w:jc w:val="center"/>
              <w:rPr>
                <w:color w:val="000000"/>
                <w:kern w:val="0"/>
                <w:sz w:val="22"/>
                <w:szCs w:val="22"/>
              </w:rPr>
            </w:pPr>
            <w:r>
              <w:rPr>
                <w:b/>
                <w:bCs/>
                <w:color w:val="000000"/>
                <w:kern w:val="0"/>
                <w:sz w:val="22"/>
                <w:szCs w:val="22"/>
              </w:rPr>
              <w:t>9</w:t>
            </w:r>
          </w:p>
        </w:tc>
      </w:tr>
      <w:tr w14:paraId="1C98B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8946D51">
            <w:pPr>
              <w:spacing w:line="0" w:lineRule="atLeast"/>
              <w:jc w:val="center"/>
              <w:rPr>
                <w:color w:val="000000"/>
                <w:kern w:val="0"/>
                <w:sz w:val="22"/>
                <w:szCs w:val="22"/>
              </w:rPr>
            </w:pPr>
          </w:p>
        </w:tc>
        <w:tc>
          <w:tcPr>
            <w:tcW w:w="990" w:type="dxa"/>
            <w:vMerge w:val="continue"/>
            <w:shd w:val="clear" w:color="auto" w:fill="FFFFFF"/>
            <w:vAlign w:val="center"/>
          </w:tcPr>
          <w:p w14:paraId="4132803C">
            <w:pPr>
              <w:spacing w:line="0" w:lineRule="atLeast"/>
              <w:jc w:val="center"/>
              <w:rPr>
                <w:color w:val="000000"/>
                <w:kern w:val="0"/>
                <w:sz w:val="22"/>
                <w:szCs w:val="22"/>
              </w:rPr>
            </w:pPr>
          </w:p>
        </w:tc>
        <w:tc>
          <w:tcPr>
            <w:tcW w:w="1283" w:type="dxa"/>
            <w:shd w:val="clear" w:color="auto" w:fill="FFFFFF"/>
            <w:vAlign w:val="center"/>
          </w:tcPr>
          <w:p w14:paraId="496E6666">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14:paraId="2B5B2069">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14:paraId="61F72F50">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62DF01BA">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14:paraId="20522B77">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tcPr>
          <w:p w14:paraId="0B5A477B">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2174E598">
            <w:pPr>
              <w:widowControl/>
              <w:spacing w:line="0" w:lineRule="atLeast"/>
              <w:jc w:val="center"/>
              <w:rPr>
                <w:color w:val="000000"/>
                <w:kern w:val="0"/>
                <w:sz w:val="22"/>
                <w:szCs w:val="22"/>
              </w:rPr>
            </w:pPr>
            <w:r>
              <w:rPr>
                <w:rFonts w:hint="eastAsia"/>
                <w:b/>
                <w:bCs/>
                <w:color w:val="000000"/>
                <w:kern w:val="0"/>
                <w:sz w:val="22"/>
                <w:szCs w:val="22"/>
              </w:rPr>
              <w:t>10</w:t>
            </w:r>
          </w:p>
        </w:tc>
      </w:tr>
      <w:tr w14:paraId="0BD00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A89401C">
            <w:pPr>
              <w:widowControl/>
              <w:spacing w:line="0" w:lineRule="atLeast"/>
              <w:jc w:val="center"/>
              <w:rPr>
                <w:color w:val="000000"/>
                <w:kern w:val="0"/>
                <w:sz w:val="22"/>
                <w:szCs w:val="22"/>
              </w:rPr>
            </w:pPr>
          </w:p>
        </w:tc>
        <w:tc>
          <w:tcPr>
            <w:tcW w:w="990" w:type="dxa"/>
            <w:vMerge w:val="continue"/>
            <w:shd w:val="clear" w:color="auto" w:fill="FFFFFF"/>
            <w:vAlign w:val="center"/>
          </w:tcPr>
          <w:p w14:paraId="6E6D40EB">
            <w:pPr>
              <w:widowControl/>
              <w:spacing w:line="0" w:lineRule="atLeast"/>
              <w:jc w:val="center"/>
              <w:rPr>
                <w:color w:val="000000"/>
                <w:kern w:val="0"/>
                <w:sz w:val="22"/>
                <w:szCs w:val="22"/>
              </w:rPr>
            </w:pPr>
          </w:p>
        </w:tc>
        <w:tc>
          <w:tcPr>
            <w:tcW w:w="1283" w:type="dxa"/>
            <w:shd w:val="clear" w:color="auto" w:fill="FFFFFF"/>
            <w:vAlign w:val="center"/>
          </w:tcPr>
          <w:p w14:paraId="706073E6">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14:paraId="3F4B3A90">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14:paraId="44127177">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14:paraId="1297C331">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6327E3EC">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tcPr>
          <w:p w14:paraId="0C5FCCA0">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5239BB37">
            <w:pPr>
              <w:widowControl/>
              <w:spacing w:line="0" w:lineRule="atLeast"/>
              <w:jc w:val="center"/>
              <w:rPr>
                <w:color w:val="000000"/>
                <w:kern w:val="0"/>
                <w:sz w:val="22"/>
                <w:szCs w:val="22"/>
              </w:rPr>
            </w:pPr>
            <w:r>
              <w:rPr>
                <w:b/>
                <w:bCs/>
                <w:color w:val="000000"/>
                <w:kern w:val="0"/>
                <w:sz w:val="22"/>
                <w:szCs w:val="22"/>
              </w:rPr>
              <w:t>9</w:t>
            </w:r>
          </w:p>
        </w:tc>
      </w:tr>
      <w:tr w14:paraId="01D90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6211DC8">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14:paraId="7F8054AC">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14:paraId="793D5493">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14:paraId="40E2829D">
            <w:pPr>
              <w:widowControl/>
              <w:spacing w:line="0" w:lineRule="atLeast"/>
              <w:jc w:val="center"/>
              <w:rPr>
                <w:color w:val="000000"/>
                <w:kern w:val="0"/>
                <w:sz w:val="22"/>
                <w:szCs w:val="22"/>
              </w:rPr>
            </w:pPr>
            <w:r>
              <w:rPr>
                <w:color w:val="000000"/>
                <w:kern w:val="0"/>
                <w:sz w:val="22"/>
                <w:szCs w:val="22"/>
              </w:rPr>
              <w:t>实施效益</w:t>
            </w:r>
          </w:p>
          <w:p w14:paraId="4CB99A93">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14:paraId="076BD591">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14:paraId="4EECDF30">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14:paraId="703B0129">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14:paraId="22A88219">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960" w:type="dxa"/>
            <w:shd w:val="clear" w:color="auto" w:fill="FFFFFF"/>
            <w:vAlign w:val="center"/>
          </w:tcPr>
          <w:p w14:paraId="3593CAD4">
            <w:pPr>
              <w:widowControl/>
              <w:spacing w:line="0" w:lineRule="atLeast"/>
              <w:jc w:val="center"/>
              <w:rPr>
                <w:color w:val="000000"/>
                <w:kern w:val="0"/>
                <w:sz w:val="22"/>
                <w:szCs w:val="22"/>
              </w:rPr>
            </w:pPr>
            <w:r>
              <w:rPr>
                <w:rFonts w:hint="eastAsia"/>
                <w:b/>
                <w:bCs/>
                <w:color w:val="000000"/>
                <w:kern w:val="0"/>
                <w:sz w:val="22"/>
                <w:szCs w:val="22"/>
              </w:rPr>
              <w:t>15</w:t>
            </w:r>
          </w:p>
        </w:tc>
      </w:tr>
      <w:tr w14:paraId="49DEC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DFCB7FA">
            <w:pPr>
              <w:widowControl/>
              <w:spacing w:line="0" w:lineRule="atLeast"/>
              <w:jc w:val="center"/>
              <w:rPr>
                <w:color w:val="000000"/>
                <w:kern w:val="0"/>
                <w:sz w:val="22"/>
                <w:szCs w:val="22"/>
              </w:rPr>
            </w:pPr>
          </w:p>
        </w:tc>
        <w:tc>
          <w:tcPr>
            <w:tcW w:w="990" w:type="dxa"/>
            <w:vMerge w:val="continue"/>
            <w:shd w:val="clear" w:color="auto" w:fill="FFFFFF"/>
            <w:vAlign w:val="center"/>
          </w:tcPr>
          <w:p w14:paraId="632AE450">
            <w:pPr>
              <w:widowControl/>
              <w:spacing w:line="0" w:lineRule="atLeast"/>
              <w:jc w:val="center"/>
              <w:rPr>
                <w:color w:val="000000"/>
                <w:kern w:val="0"/>
                <w:sz w:val="22"/>
                <w:szCs w:val="22"/>
              </w:rPr>
            </w:pPr>
          </w:p>
        </w:tc>
        <w:tc>
          <w:tcPr>
            <w:tcW w:w="1283" w:type="dxa"/>
            <w:vMerge w:val="continue"/>
            <w:shd w:val="clear" w:color="auto" w:fill="FFFFFF"/>
            <w:vAlign w:val="center"/>
          </w:tcPr>
          <w:p w14:paraId="7F85B098">
            <w:pPr>
              <w:widowControl/>
              <w:spacing w:line="0" w:lineRule="atLeast"/>
              <w:jc w:val="center"/>
              <w:rPr>
                <w:color w:val="000000"/>
                <w:kern w:val="0"/>
                <w:sz w:val="22"/>
                <w:szCs w:val="22"/>
              </w:rPr>
            </w:pPr>
          </w:p>
        </w:tc>
        <w:tc>
          <w:tcPr>
            <w:tcW w:w="1707" w:type="dxa"/>
            <w:shd w:val="clear" w:color="auto" w:fill="FFFFFF"/>
            <w:vAlign w:val="center"/>
          </w:tcPr>
          <w:p w14:paraId="46D4A7C3">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14:paraId="6734B715">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14:paraId="6C609943">
            <w:pPr>
              <w:widowControl/>
              <w:spacing w:line="0" w:lineRule="atLeast"/>
              <w:jc w:val="center"/>
              <w:rPr>
                <w:color w:val="000000"/>
                <w:kern w:val="0"/>
                <w:sz w:val="22"/>
                <w:szCs w:val="22"/>
              </w:rPr>
            </w:pPr>
            <w:r>
              <w:rPr>
                <w:color w:val="000000"/>
                <w:kern w:val="0"/>
                <w:sz w:val="22"/>
                <w:szCs w:val="22"/>
              </w:rPr>
              <w:t>≥9</w:t>
            </w:r>
            <w:r>
              <w:rPr>
                <w:rFonts w:hint="eastAsia"/>
                <w:color w:val="000000"/>
                <w:kern w:val="0"/>
                <w:sz w:val="22"/>
                <w:szCs w:val="22"/>
              </w:rPr>
              <w:t>5.33</w:t>
            </w:r>
            <w:r>
              <w:rPr>
                <w:color w:val="000000"/>
                <w:kern w:val="0"/>
                <w:sz w:val="22"/>
                <w:szCs w:val="22"/>
              </w:rPr>
              <w:t>%</w:t>
            </w:r>
          </w:p>
        </w:tc>
        <w:tc>
          <w:tcPr>
            <w:tcW w:w="924" w:type="dxa"/>
            <w:shd w:val="clear" w:color="000000" w:fill="FFFFFF"/>
            <w:vAlign w:val="center"/>
          </w:tcPr>
          <w:p w14:paraId="50E48A1D">
            <w:pPr>
              <w:widowControl/>
              <w:spacing w:line="0" w:lineRule="atLeast"/>
              <w:jc w:val="center"/>
              <w:rPr>
                <w:color w:val="000000"/>
                <w:kern w:val="0"/>
                <w:sz w:val="22"/>
                <w:szCs w:val="22"/>
              </w:rPr>
            </w:pPr>
            <w:r>
              <w:rPr>
                <w:color w:val="000000"/>
                <w:kern w:val="0"/>
                <w:sz w:val="22"/>
                <w:szCs w:val="22"/>
              </w:rPr>
              <w:t>9</w:t>
            </w:r>
            <w:r>
              <w:rPr>
                <w:rFonts w:hint="eastAsia"/>
                <w:color w:val="000000"/>
                <w:kern w:val="0"/>
                <w:sz w:val="22"/>
                <w:szCs w:val="22"/>
              </w:rPr>
              <w:t>5.33</w:t>
            </w:r>
            <w:r>
              <w:rPr>
                <w:color w:val="000000"/>
                <w:kern w:val="0"/>
                <w:sz w:val="22"/>
                <w:szCs w:val="22"/>
              </w:rPr>
              <w:t>%</w:t>
            </w:r>
          </w:p>
        </w:tc>
        <w:tc>
          <w:tcPr>
            <w:tcW w:w="1215" w:type="dxa"/>
            <w:shd w:val="clear" w:color="000000" w:fill="FFFFFF"/>
            <w:vAlign w:val="center"/>
          </w:tcPr>
          <w:p w14:paraId="6A934E3A">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14:paraId="302D0327">
            <w:pPr>
              <w:widowControl/>
              <w:spacing w:line="0" w:lineRule="atLeast"/>
              <w:jc w:val="center"/>
              <w:rPr>
                <w:color w:val="000000"/>
                <w:kern w:val="0"/>
                <w:sz w:val="22"/>
                <w:szCs w:val="22"/>
              </w:rPr>
            </w:pPr>
            <w:r>
              <w:rPr>
                <w:b/>
                <w:bCs/>
                <w:color w:val="000000"/>
                <w:kern w:val="0"/>
                <w:sz w:val="22"/>
                <w:szCs w:val="22"/>
              </w:rPr>
              <w:t>5</w:t>
            </w:r>
          </w:p>
        </w:tc>
      </w:tr>
    </w:tbl>
    <w:p w14:paraId="01A730DA">
      <w:pPr>
        <w:spacing w:line="600" w:lineRule="exact"/>
        <w:ind w:firstLine="320" w:firstLineChars="100"/>
        <w:rPr>
          <w:rFonts w:eastAsia="黑体"/>
          <w:sz w:val="32"/>
          <w:szCs w:val="32"/>
        </w:rPr>
      </w:pPr>
      <w:r>
        <w:rPr>
          <w:rFonts w:eastAsia="黑体"/>
          <w:sz w:val="32"/>
          <w:szCs w:val="32"/>
        </w:rPr>
        <w:t>四、绩效评价指标分析</w:t>
      </w:r>
    </w:p>
    <w:p w14:paraId="0609D4D2">
      <w:pPr>
        <w:pStyle w:val="2"/>
        <w:ind w:firstLine="321" w:firstLineChars="100"/>
        <w:jc w:val="both"/>
        <w:rPr>
          <w:rFonts w:ascii="Times New Roman" w:hAnsi="Times New Roman" w:eastAsia="楷体_GB2312"/>
        </w:rPr>
      </w:pPr>
      <w:r>
        <w:rPr>
          <w:rFonts w:ascii="Times New Roman" w:hAnsi="Times New Roman" w:eastAsia="楷体_GB2312"/>
        </w:rPr>
        <w:t>（一）项目决策情况</w:t>
      </w:r>
    </w:p>
    <w:p w14:paraId="4236238E">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31FEC474">
      <w:pPr>
        <w:pStyle w:val="2"/>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14:paraId="15C363C5">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03D736F1">
      <w:pPr>
        <w:pStyle w:val="2"/>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72635BC4">
      <w:pPr>
        <w:spacing w:line="600" w:lineRule="exact"/>
        <w:ind w:firstLine="624" w:firstLineChars="200"/>
        <w:rPr>
          <w:rStyle w:val="22"/>
          <w:rFonts w:eastAsia="仿宋"/>
          <w:b w:val="0"/>
          <w:spacing w:val="-4"/>
          <w:sz w:val="32"/>
          <w:szCs w:val="32"/>
        </w:rPr>
      </w:pPr>
      <w:r>
        <w:rPr>
          <w:rStyle w:val="22"/>
          <w:rFonts w:eastAsia="仿宋"/>
          <w:b w:val="0"/>
          <w:spacing w:val="-4"/>
          <w:sz w:val="32"/>
          <w:szCs w:val="32"/>
        </w:rPr>
        <w:t>数量指标方面：</w:t>
      </w:r>
    </w:p>
    <w:p w14:paraId="045DE6C0">
      <w:pPr>
        <w:rPr>
          <w:rFonts w:hint="eastAsia" w:ascii="仿宋_GB2312" w:hAnsi="仿宋_GB2312" w:eastAsia="仿宋_GB2312" w:cs="仿宋_GB2312"/>
          <w:sz w:val="32"/>
          <w:szCs w:val="32"/>
        </w:rPr>
      </w:pPr>
    </w:p>
    <w:p w14:paraId="0925D69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指标1：完成特种设备检验数量指标，指标值为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=58075台，实际完成=58075台，完成率100%，偏差率0%，偏差原因及改进措施：无。</w:t>
      </w:r>
    </w:p>
    <w:p w14:paraId="7AFB0545">
      <w:pPr>
        <w:rPr>
          <w:rFonts w:hint="eastAsia" w:ascii="仿宋_GB2312" w:hAnsi="仿宋_GB2312" w:eastAsia="仿宋_GB2312" w:cs="仿宋_GB2312"/>
          <w:sz w:val="32"/>
          <w:szCs w:val="32"/>
        </w:rPr>
      </w:pPr>
    </w:p>
    <w:p w14:paraId="0BA6CD3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指标2：出具检验报告数量指标，指标值为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=57075台，实际完成=58075台，完成率100%，偏差率0%，偏差原因及改进措施偏差原因：无。 </w:t>
      </w:r>
    </w:p>
    <w:p w14:paraId="351733BF">
      <w:pPr>
        <w:rPr>
          <w:rFonts w:hint="eastAsia" w:ascii="仿宋_GB2312" w:hAnsi="仿宋_GB2312" w:eastAsia="仿宋_GB2312" w:cs="仿宋_GB2312"/>
          <w:sz w:val="32"/>
          <w:szCs w:val="32"/>
        </w:rPr>
      </w:pPr>
    </w:p>
    <w:p w14:paraId="191B160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指标3：发放核增绩效工资人数指标，指标值为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=152人，实际完成=146人，完成率96.05%，偏差率3.95%，偏差原因及改进措施偏差原因：2023年未有新进人员。改进措施：下一年设置指标前进行评估，合理设置指标。</w:t>
      </w:r>
    </w:p>
    <w:p w14:paraId="186E8FAD">
      <w:pPr>
        <w:rPr>
          <w:rFonts w:hint="eastAsia" w:ascii="仿宋_GB2312" w:hAnsi="仿宋_GB2312" w:eastAsia="仿宋_GB2312" w:cs="仿宋_GB2312"/>
          <w:sz w:val="32"/>
          <w:szCs w:val="32"/>
        </w:rPr>
      </w:pPr>
    </w:p>
    <w:p w14:paraId="3F284DE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指标4：建设工程数量指标，指标值为1个，实际完成1个，完成率100%，偏差率0%，偏差原因及改进措施。</w:t>
      </w:r>
    </w:p>
    <w:p w14:paraId="7A972A5B">
      <w:pPr>
        <w:rPr>
          <w:rFonts w:hint="eastAsia" w:ascii="仿宋_GB2312" w:hAnsi="仿宋_GB2312" w:eastAsia="仿宋_GB2312" w:cs="仿宋_GB2312"/>
          <w:sz w:val="32"/>
          <w:szCs w:val="32"/>
        </w:rPr>
      </w:pPr>
    </w:p>
    <w:p w14:paraId="5B2D7F9A">
      <w:r>
        <w:rPr>
          <w:rFonts w:hint="eastAsia" w:ascii="仿宋_GB2312" w:hAnsi="仿宋_GB2312" w:eastAsia="仿宋_GB2312" w:cs="仿宋_GB2312"/>
          <w:sz w:val="32"/>
          <w:szCs w:val="32"/>
        </w:rPr>
        <w:t>指标5：信息系统开发或应用数量指标，指标值为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=2个，实际完成3个，完成率100%，偏差率0%，偏差原因及改进措施：无。</w:t>
      </w:r>
    </w:p>
    <w:p w14:paraId="7B851BA5"/>
    <w:p w14:paraId="3C828DF1"/>
    <w:p w14:paraId="778C19E9">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质量指标方面：</w:t>
      </w:r>
    </w:p>
    <w:p w14:paraId="04F45383">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指标1：信息系统开发或应用数量指标，指标值为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=2个，实际完成3个，完成率1，偏差率0%，偏差原因及改进措施：无。</w:t>
      </w:r>
    </w:p>
    <w:p w14:paraId="2C348103">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指标2：出具检验报告的准确率指标，指标值为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=95%，实际完成95%，完成率100%，偏差率0%，偏差原因及改进措施：无。</w:t>
      </w:r>
    </w:p>
    <w:p w14:paraId="7546214F">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送检设备检定合格率指标，指标值为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=90%，实际完成90%，完成率100%，偏差率0%，偏差原因及改进措施：无。</w:t>
      </w:r>
    </w:p>
    <w:p w14:paraId="41329F44">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建设工程项目资金进度支付率指标，指标值为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=95%，实际完成95%，完成率100%，偏差率0%，偏差原因及改进措施</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无。</w:t>
      </w:r>
    </w:p>
    <w:p w14:paraId="57D07D6C">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成本指标方面：</w:t>
      </w:r>
    </w:p>
    <w:p w14:paraId="2C582644">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指标1：特种设备检测工作运行成本指标，指标值为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=10771.4万元，实际完成=10771.4万元，完成率100%，偏差率0%，偏差原因及改进措施</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无。</w:t>
      </w:r>
    </w:p>
    <w:p w14:paraId="4CC0BA92">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指标2：发放核增绩效工资人数指标，指标值为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=1851万元，实际完成=1833.75万元，完成率99.06%，偏差率0.94%，偏差原因及改进措施偏差原因：2023年在职员工减少2人，发放绩效数较上年减少。改进措施：下一年设置指标前进行评估，合理设置指标。</w:t>
      </w:r>
    </w:p>
    <w:p w14:paraId="18C251E7">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指标3：信息系统开发或应用成本指标，指标值为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=41.6万元，实际完成=41.6万元，完成率100%，偏差率0%，偏差原因及改进措施：无。</w:t>
      </w:r>
    </w:p>
    <w:p w14:paraId="6C6B7A9E">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指标4</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建设工程项目成本指标，指标值为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=2705万元，实际完成=2677.24万元，完成率98.97%，偏差率0%，偏差原因及改进措施偏差原因：西山基础建设工程按照施工进度付款。改进措施：下一年设置指标前进行评估，合理设置指标。</w:t>
      </w:r>
    </w:p>
    <w:p w14:paraId="724BDDCE"/>
    <w:p w14:paraId="638922F1">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时效指标方面：</w:t>
      </w:r>
    </w:p>
    <w:p w14:paraId="17DEF138">
      <w:pPr>
        <w:pStyle w:val="2"/>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指标1：信息系统验收合格率指标，指标值为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=99%，实际完成100%，完成率100%，偏差率0%，偏差原因及改进措施：无。</w:t>
      </w:r>
    </w:p>
    <w:p w14:paraId="5ED8AA83">
      <w:pPr>
        <w:pStyle w:val="2"/>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电梯检验完成后出具报告完成时间指标，指标值为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=15个工作日，实际完成12个工作日，完成率100%，偏差率0%，偏差原因及改进措施：无。</w:t>
      </w:r>
    </w:p>
    <w:p w14:paraId="39125422">
      <w:pPr>
        <w:pStyle w:val="2"/>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建设工程项目计划开工时长指标，指标值为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=24个月，实际完成=24个月，完成率100%，偏差率0%，偏差原因及改进措施偏差原因：无。</w:t>
      </w:r>
    </w:p>
    <w:p w14:paraId="493D1FF9">
      <w:pPr>
        <w:pStyle w:val="2"/>
        <w:jc w:val="left"/>
        <w:rPr>
          <w:rFonts w:ascii="Times New Roman" w:hAnsi="Times New Roman"/>
        </w:rPr>
      </w:pPr>
      <w:r>
        <w:rPr>
          <w:rFonts w:hint="eastAsia" w:ascii="仿宋_GB2312" w:hAnsi="仿宋_GB2312" w:eastAsia="仿宋_GB2312" w:cs="仿宋_GB2312"/>
          <w:b w:val="0"/>
          <w:bCs w:val="0"/>
          <w:kern w:val="2"/>
        </w:rPr>
        <w:t>信息系统验收后系统故障率指标，指标值为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=5%，实际完成2%，完成率100%，偏差率0%，偏差原因及改进措施：无。</w:t>
      </w:r>
    </w:p>
    <w:p w14:paraId="49006FFE">
      <w:pPr>
        <w:pStyle w:val="2"/>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14:paraId="43C56708">
      <w:pPr>
        <w:pStyle w:val="2"/>
        <w:ind w:firstLine="643" w:firstLineChars="200"/>
        <w:jc w:val="left"/>
        <w:rPr>
          <w:rFonts w:ascii="Times New Roman" w:hAnsi="Times New Roman" w:eastAsia="仿宋_GB2312"/>
        </w:rPr>
      </w:pPr>
      <w:r>
        <w:rPr>
          <w:rStyle w:val="51"/>
          <w:rFonts w:ascii="Times New Roman" w:hAnsi="Times New Roman" w:cs="Times New Roman"/>
          <w:color w:val="auto"/>
        </w:rPr>
        <w:t>经济效益指标方面：</w:t>
      </w:r>
      <w:r>
        <w:rPr>
          <w:rStyle w:val="51"/>
          <w:rFonts w:hint="eastAsia" w:ascii="Times New Roman" w:hAnsi="Times New Roman" w:cs="Times New Roman"/>
          <w:color w:val="auto"/>
        </w:rPr>
        <w:t>无</w:t>
      </w:r>
    </w:p>
    <w:p w14:paraId="070E6880">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社会效益指标方面：</w:t>
      </w:r>
    </w:p>
    <w:p w14:paraId="3DE49EBE">
      <w:pPr>
        <w:spacing w:before="240" w:after="60"/>
        <w:ind w:firstLine="640" w:firstLineChars="200"/>
        <w:jc w:val="left"/>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指标1：专项检测设备利用率指标，指标值为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，实际完成</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，偏差原因是无。</w:t>
      </w:r>
    </w:p>
    <w:p w14:paraId="31871A17">
      <w:pPr>
        <w:pStyle w:val="2"/>
        <w:jc w:val="left"/>
      </w:pPr>
    </w:p>
    <w:p w14:paraId="4ECBB657">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指标2：提升检验检测高技术服务能力指标，指标值为有效提升，实际完成有效提升，完成率</w:t>
      </w:r>
      <w:r>
        <w:rPr>
          <w:rFonts w:ascii="仿宋_GB2312" w:hAnsi="仿宋_GB2312" w:eastAsia="仿宋_GB2312" w:cs="仿宋_GB2312"/>
          <w:b w:val="0"/>
          <w:bCs w:val="0"/>
          <w:kern w:val="2"/>
        </w:rPr>
        <w:t>100%</w:t>
      </w:r>
      <w:r>
        <w:rPr>
          <w:rFonts w:hint="eastAsia" w:ascii="仿宋_GB2312" w:hAnsi="仿宋_GB2312" w:eastAsia="仿宋_GB2312" w:cs="仿宋_GB2312"/>
          <w:b w:val="0"/>
          <w:bCs w:val="0"/>
          <w:kern w:val="2"/>
        </w:rPr>
        <w:t>，偏差原因是无。</w:t>
      </w:r>
    </w:p>
    <w:p w14:paraId="781EF826">
      <w:pPr>
        <w:pStyle w:val="2"/>
      </w:pPr>
    </w:p>
    <w:p w14:paraId="5722D41F">
      <w:pPr>
        <w:pStyle w:val="2"/>
        <w:rPr>
          <w:rFonts w:ascii="Times New Roman" w:hAnsi="Times New Roman"/>
        </w:rPr>
      </w:pPr>
    </w:p>
    <w:p w14:paraId="6E308F16">
      <w:pPr>
        <w:spacing w:line="600" w:lineRule="exact"/>
        <w:ind w:firstLine="640" w:firstLineChars="200"/>
        <w:rPr>
          <w:rStyle w:val="51"/>
          <w:rFonts w:ascii="Times New Roman" w:hAnsi="Times New Roman" w:cs="Times New Roman"/>
          <w:color w:val="auto"/>
        </w:rPr>
      </w:pPr>
      <w:r>
        <w:rPr>
          <w:rStyle w:val="51"/>
          <w:rFonts w:ascii="Times New Roman" w:hAnsi="Times New Roman" w:cs="Times New Roman"/>
          <w:color w:val="auto"/>
        </w:rPr>
        <w:t>可持续影响指标方面：</w:t>
      </w:r>
      <w:r>
        <w:rPr>
          <w:rStyle w:val="51"/>
          <w:rFonts w:hint="eastAsia" w:cs="Times New Roman"/>
          <w:color w:val="auto"/>
        </w:rPr>
        <w:t>无</w:t>
      </w:r>
    </w:p>
    <w:p w14:paraId="57EE396D">
      <w:pPr>
        <w:pStyle w:val="2"/>
        <w:rPr>
          <w:rFonts w:ascii="Times New Roman" w:hAnsi="Times New Roman"/>
        </w:rPr>
      </w:pPr>
    </w:p>
    <w:p w14:paraId="691DDCF1">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满意度指标方面：</w:t>
      </w:r>
    </w:p>
    <w:p w14:paraId="68AD0484">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专项检测设备使用人员满意度指标，指标值为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=95%，实际完成99%，完成率100%，偏差率0，偏差原因及改进措施：无。</w:t>
      </w:r>
    </w:p>
    <w:p w14:paraId="27D0BD3D">
      <w:pPr>
        <w:pStyle w:val="2"/>
        <w:ind w:firstLine="640" w:firstLineChars="200"/>
        <w:jc w:val="left"/>
      </w:pPr>
      <w:r>
        <w:rPr>
          <w:rFonts w:hint="eastAsia" w:ascii="仿宋_GB2312" w:hAnsi="仿宋_GB2312" w:eastAsia="仿宋_GB2312" w:cs="仿宋_GB2312"/>
          <w:b w:val="0"/>
          <w:bCs w:val="0"/>
          <w:kern w:val="2"/>
        </w:rPr>
        <w:t>被检测单位满意度指标，指标值为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=95%，实际完成99%，完成率100%，偏差率0%，偏差原因及改进措施：无。</w:t>
      </w:r>
    </w:p>
    <w:p w14:paraId="0DF88E20">
      <w:pPr>
        <w:spacing w:line="600" w:lineRule="exact"/>
        <w:ind w:firstLine="640" w:firstLineChars="200"/>
        <w:rPr>
          <w:rStyle w:val="51"/>
          <w:rFonts w:ascii="Times New Roman" w:hAnsi="Times New Roman" w:cs="Times New Roman"/>
          <w:color w:val="auto"/>
        </w:rPr>
      </w:pPr>
      <w:r>
        <w:rPr>
          <w:rFonts w:eastAsia="黑体"/>
          <w:sz w:val="32"/>
          <w:szCs w:val="32"/>
        </w:rPr>
        <w:t>五、主要经验及做法、存在的问题及原因分析</w:t>
      </w:r>
    </w:p>
    <w:p w14:paraId="1371279C">
      <w:pPr>
        <w:spacing w:line="600" w:lineRule="exact"/>
        <w:ind w:firstLine="627" w:firstLineChars="200"/>
        <w:rPr>
          <w:rFonts w:eastAsia="楷体"/>
          <w:b/>
          <w:spacing w:val="-4"/>
          <w:sz w:val="32"/>
          <w:szCs w:val="32"/>
        </w:rPr>
      </w:pPr>
      <w:r>
        <w:rPr>
          <w:rFonts w:eastAsia="楷体"/>
          <w:b/>
          <w:spacing w:val="-4"/>
          <w:sz w:val="32"/>
          <w:szCs w:val="32"/>
        </w:rPr>
        <w:t>（一）主要经验及做法</w:t>
      </w:r>
    </w:p>
    <w:p w14:paraId="7709582C">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C887B48">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AEE5731">
      <w:pPr>
        <w:keepNext/>
        <w:keepLines/>
        <w:numPr>
          <w:ilvl w:val="0"/>
          <w:numId w:val="6"/>
        </w:numPr>
        <w:spacing w:line="600" w:lineRule="exact"/>
        <w:ind w:firstLine="643" w:firstLineChars="200"/>
        <w:rPr>
          <w:rFonts w:eastAsia="楷体_GB2312"/>
          <w:b/>
          <w:bCs/>
          <w:sz w:val="32"/>
          <w:szCs w:val="32"/>
        </w:rPr>
      </w:pPr>
      <w:r>
        <w:rPr>
          <w:rFonts w:eastAsia="楷体_GB2312"/>
          <w:b/>
          <w:bCs/>
          <w:sz w:val="32"/>
          <w:szCs w:val="32"/>
        </w:rPr>
        <w:t>存在的问题及原因分析</w:t>
      </w:r>
    </w:p>
    <w:p w14:paraId="0493CB12">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：预算绩效管理水平仍有欠缺。在202</w:t>
      </w:r>
      <w:r>
        <w:rPr>
          <w:rFonts w:ascii="Times New Roman" w:hAnsi="Times New Roman" w:eastAsia="仿宋_GB2312"/>
          <w:b w:val="0"/>
          <w:bCs w:val="0"/>
          <w:kern w:val="2"/>
        </w:rPr>
        <w:t>2</w:t>
      </w:r>
      <w:r>
        <w:rPr>
          <w:rFonts w:hint="eastAsia" w:ascii="Times New Roman" w:hAnsi="Times New Roman" w:eastAsia="仿宋_GB2312"/>
          <w:b w:val="0"/>
          <w:bCs w:val="0"/>
          <w:kern w:val="2"/>
        </w:rPr>
        <w:t>年预算绩效管理工作中，存在“重投入轻管理、重支出轻绩效”的情况，对全面实施预算绩效管理的要求认识还不到位，项目申报、实施等环节与预算绩效管理各个环节联系不够紧密</w:t>
      </w:r>
    </w:p>
    <w:p w14:paraId="34E223F8">
      <w:pPr>
        <w:pStyle w:val="2"/>
        <w:spacing w:before="0" w:after="0" w:line="600" w:lineRule="exact"/>
        <w:ind w:firstLine="640" w:firstLineChars="200"/>
        <w:jc w:val="both"/>
        <w:rPr>
          <w:rFonts w:ascii="Times New Roman" w:hAnsi="Times New Roman" w:eastAsia="仿宋_GB2312"/>
          <w:b w:val="0"/>
          <w:bCs w:val="0"/>
          <w:kern w:val="2"/>
        </w:rPr>
      </w:pPr>
    </w:p>
    <w:p w14:paraId="628A9DEF"/>
    <w:p w14:paraId="7AD9C68B">
      <w:pPr>
        <w:numPr>
          <w:ilvl w:val="0"/>
          <w:numId w:val="7"/>
        </w:numPr>
        <w:spacing w:line="600" w:lineRule="exact"/>
        <w:ind w:firstLine="640" w:firstLineChars="200"/>
        <w:rPr>
          <w:rFonts w:eastAsia="黑体"/>
          <w:sz w:val="32"/>
          <w:szCs w:val="32"/>
        </w:rPr>
      </w:pPr>
      <w:r>
        <w:rPr>
          <w:rFonts w:eastAsia="黑体"/>
          <w:sz w:val="32"/>
          <w:szCs w:val="32"/>
        </w:rPr>
        <w:t>有关建议</w:t>
      </w:r>
    </w:p>
    <w:p w14:paraId="0FA2B1D8">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F8D5BF2">
      <w:pPr>
        <w:numPr>
          <w:ilvl w:val="0"/>
          <w:numId w:val="7"/>
        </w:numPr>
        <w:spacing w:line="600" w:lineRule="exact"/>
        <w:ind w:firstLine="640" w:firstLineChars="200"/>
        <w:rPr>
          <w:rFonts w:eastAsia="黑体"/>
          <w:sz w:val="32"/>
          <w:szCs w:val="32"/>
        </w:rPr>
      </w:pPr>
      <w:r>
        <w:rPr>
          <w:rFonts w:eastAsia="黑体"/>
          <w:sz w:val="32"/>
          <w:szCs w:val="32"/>
        </w:rPr>
        <w:t>其他需要说</w:t>
      </w:r>
      <w:bookmarkStart w:id="2" w:name="page8"/>
      <w:bookmarkEnd w:id="2"/>
      <w:r>
        <w:rPr>
          <w:rFonts w:eastAsia="黑体"/>
          <w:sz w:val="32"/>
          <w:szCs w:val="32"/>
        </w:rPr>
        <w:t>明的问题</w:t>
      </w:r>
    </w:p>
    <w:p w14:paraId="1463B118">
      <w:pPr>
        <w:pStyle w:val="19"/>
        <w:ind w:firstLine="320" w:firstLineChars="100"/>
        <w:rPr>
          <w:rFonts w:ascii="Times New Roman" w:hAnsi="Times New Roman" w:eastAsia="方正小标宋简体"/>
          <w:b/>
          <w:kern w:val="0"/>
          <w:sz w:val="32"/>
          <w:szCs w:val="32"/>
        </w:rPr>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sz w:val="32"/>
          <w:szCs w:val="32"/>
        </w:rPr>
        <w:t>无。</w:t>
      </w:r>
    </w:p>
    <w:tbl>
      <w:tblPr>
        <w:tblStyle w:val="20"/>
        <w:tblW w:w="5000" w:type="pct"/>
        <w:tblInd w:w="0" w:type="dxa"/>
        <w:tblLayout w:type="autofit"/>
        <w:tblCellMar>
          <w:top w:w="0" w:type="dxa"/>
          <w:left w:w="108" w:type="dxa"/>
          <w:bottom w:w="0" w:type="dxa"/>
          <w:right w:w="108" w:type="dxa"/>
        </w:tblCellMar>
      </w:tblPr>
      <w:tblGrid>
        <w:gridCol w:w="396"/>
        <w:gridCol w:w="396"/>
        <w:gridCol w:w="439"/>
        <w:gridCol w:w="2376"/>
        <w:gridCol w:w="1432"/>
        <w:gridCol w:w="936"/>
        <w:gridCol w:w="584"/>
        <w:gridCol w:w="622"/>
        <w:gridCol w:w="1583"/>
      </w:tblGrid>
      <w:tr w14:paraId="3BFCBA1D">
        <w:tblPrEx>
          <w:tblCellMar>
            <w:top w:w="0" w:type="dxa"/>
            <w:left w:w="108" w:type="dxa"/>
            <w:bottom w:w="0" w:type="dxa"/>
            <w:right w:w="108" w:type="dxa"/>
          </w:tblCellMar>
        </w:tblPrEx>
        <w:trPr>
          <w:trHeight w:val="800" w:hRule="atLeast"/>
        </w:trPr>
        <w:tc>
          <w:tcPr>
            <w:tcW w:w="5000" w:type="pct"/>
            <w:gridSpan w:val="9"/>
            <w:tcBorders>
              <w:top w:val="nil"/>
              <w:left w:val="nil"/>
              <w:bottom w:val="nil"/>
              <w:right w:val="nil"/>
            </w:tcBorders>
            <w:shd w:val="clear" w:color="auto" w:fill="auto"/>
            <w:vAlign w:val="center"/>
          </w:tcPr>
          <w:p w14:paraId="262D8965">
            <w:pPr>
              <w:widowControl/>
              <w:jc w:val="center"/>
              <w:rPr>
                <w:rFonts w:ascii="华文中宋" w:hAnsi="华文中宋" w:eastAsia="华文中宋" w:cs="宋体"/>
                <w:b/>
                <w:bCs/>
                <w:kern w:val="0"/>
                <w:sz w:val="40"/>
                <w:szCs w:val="40"/>
              </w:rPr>
            </w:pPr>
            <w:r>
              <w:rPr>
                <w:rFonts w:hint="eastAsia" w:ascii="华文中宋" w:hAnsi="华文中宋" w:eastAsia="华文中宋" w:cs="宋体"/>
                <w:b/>
                <w:bCs/>
                <w:kern w:val="0"/>
                <w:sz w:val="40"/>
                <w:szCs w:val="40"/>
              </w:rPr>
              <w:t>项目支出绩效自评表</w:t>
            </w:r>
          </w:p>
        </w:tc>
      </w:tr>
      <w:tr w14:paraId="7166F57A">
        <w:tblPrEx>
          <w:tblCellMar>
            <w:top w:w="0" w:type="dxa"/>
            <w:left w:w="108" w:type="dxa"/>
            <w:bottom w:w="0" w:type="dxa"/>
            <w:right w:w="108" w:type="dxa"/>
          </w:tblCellMar>
        </w:tblPrEx>
        <w:trPr>
          <w:trHeight w:val="440" w:hRule="atLeast"/>
        </w:trPr>
        <w:tc>
          <w:tcPr>
            <w:tcW w:w="5000" w:type="pct"/>
            <w:gridSpan w:val="9"/>
            <w:tcBorders>
              <w:top w:val="nil"/>
              <w:left w:val="nil"/>
              <w:bottom w:val="nil"/>
              <w:right w:val="nil"/>
            </w:tcBorders>
            <w:shd w:val="clear" w:color="auto" w:fill="auto"/>
            <w:vAlign w:val="center"/>
          </w:tcPr>
          <w:p w14:paraId="697CBCE1">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    2023年度）</w:t>
            </w:r>
          </w:p>
        </w:tc>
      </w:tr>
      <w:tr w14:paraId="1762000C">
        <w:tblPrEx>
          <w:tblCellMar>
            <w:top w:w="0" w:type="dxa"/>
            <w:left w:w="108" w:type="dxa"/>
            <w:bottom w:w="0" w:type="dxa"/>
            <w:right w:w="108" w:type="dxa"/>
          </w:tblCellMar>
        </w:tblPrEx>
        <w:trPr>
          <w:trHeight w:val="600" w:hRule="atLeast"/>
        </w:trPr>
        <w:tc>
          <w:tcPr>
            <w:tcW w:w="45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E43F2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4548" w:type="pct"/>
            <w:gridSpan w:val="7"/>
            <w:tcBorders>
              <w:top w:val="single" w:color="auto" w:sz="4" w:space="0"/>
              <w:left w:val="nil"/>
              <w:bottom w:val="single" w:color="auto" w:sz="4" w:space="0"/>
              <w:right w:val="single" w:color="auto" w:sz="4" w:space="0"/>
            </w:tcBorders>
            <w:shd w:val="clear" w:color="auto" w:fill="auto"/>
            <w:vAlign w:val="center"/>
          </w:tcPr>
          <w:p w14:paraId="7058BD4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特种设备管理专项经费（非财政）</w:t>
            </w:r>
          </w:p>
        </w:tc>
      </w:tr>
      <w:tr w14:paraId="34AFC3ED">
        <w:tblPrEx>
          <w:tblCellMar>
            <w:top w:w="0" w:type="dxa"/>
            <w:left w:w="108" w:type="dxa"/>
            <w:bottom w:w="0" w:type="dxa"/>
            <w:right w:w="108" w:type="dxa"/>
          </w:tblCellMar>
        </w:tblPrEx>
        <w:trPr>
          <w:trHeight w:val="600" w:hRule="atLeast"/>
        </w:trPr>
        <w:tc>
          <w:tcPr>
            <w:tcW w:w="45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A8892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423" w:type="pct"/>
            <w:gridSpan w:val="3"/>
            <w:tcBorders>
              <w:top w:val="single" w:color="auto" w:sz="4" w:space="0"/>
              <w:left w:val="nil"/>
              <w:bottom w:val="single" w:color="auto" w:sz="4" w:space="0"/>
              <w:right w:val="single" w:color="auto" w:sz="4" w:space="0"/>
            </w:tcBorders>
            <w:shd w:val="clear" w:color="auto" w:fill="auto"/>
            <w:vAlign w:val="center"/>
          </w:tcPr>
          <w:p w14:paraId="4DA176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新疆维吾尔自治区市场监管局</w:t>
            </w:r>
          </w:p>
        </w:tc>
        <w:tc>
          <w:tcPr>
            <w:tcW w:w="2124" w:type="pct"/>
            <w:gridSpan w:val="4"/>
            <w:tcBorders>
              <w:top w:val="single" w:color="auto" w:sz="4" w:space="0"/>
              <w:left w:val="nil"/>
              <w:bottom w:val="single" w:color="auto" w:sz="4" w:space="0"/>
              <w:right w:val="single" w:color="auto" w:sz="4" w:space="0"/>
            </w:tcBorders>
            <w:shd w:val="clear" w:color="auto" w:fill="auto"/>
            <w:vAlign w:val="center"/>
          </w:tcPr>
          <w:p w14:paraId="4647345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E09D852">
        <w:tblPrEx>
          <w:tblCellMar>
            <w:top w:w="0" w:type="dxa"/>
            <w:left w:w="108" w:type="dxa"/>
            <w:bottom w:w="0" w:type="dxa"/>
            <w:right w:w="108" w:type="dxa"/>
          </w:tblCellMar>
        </w:tblPrEx>
        <w:trPr>
          <w:trHeight w:val="600" w:hRule="atLeast"/>
        </w:trPr>
        <w:tc>
          <w:tcPr>
            <w:tcW w:w="4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FC182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1607" w:type="pct"/>
            <w:gridSpan w:val="2"/>
            <w:tcBorders>
              <w:top w:val="single" w:color="auto" w:sz="4" w:space="0"/>
              <w:left w:val="nil"/>
              <w:bottom w:val="single" w:color="auto" w:sz="4" w:space="0"/>
              <w:right w:val="single" w:color="auto" w:sz="4" w:space="0"/>
            </w:tcBorders>
            <w:shd w:val="clear" w:color="auto" w:fill="auto"/>
            <w:vAlign w:val="center"/>
          </w:tcPr>
          <w:p w14:paraId="4337DE8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资金来源</w:t>
            </w:r>
          </w:p>
        </w:tc>
        <w:tc>
          <w:tcPr>
            <w:tcW w:w="816" w:type="pct"/>
            <w:tcBorders>
              <w:top w:val="nil"/>
              <w:left w:val="nil"/>
              <w:bottom w:val="single" w:color="auto" w:sz="4" w:space="0"/>
              <w:right w:val="single" w:color="auto" w:sz="4" w:space="0"/>
            </w:tcBorders>
            <w:shd w:val="clear" w:color="auto" w:fill="auto"/>
            <w:vAlign w:val="center"/>
          </w:tcPr>
          <w:p w14:paraId="516077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年初预算数</w:t>
            </w:r>
          </w:p>
        </w:tc>
        <w:tc>
          <w:tcPr>
            <w:tcW w:w="534" w:type="pct"/>
            <w:tcBorders>
              <w:top w:val="nil"/>
              <w:left w:val="nil"/>
              <w:bottom w:val="single" w:color="auto" w:sz="4" w:space="0"/>
              <w:right w:val="single" w:color="auto" w:sz="4" w:space="0"/>
            </w:tcBorders>
            <w:shd w:val="clear" w:color="auto" w:fill="auto"/>
            <w:vAlign w:val="center"/>
          </w:tcPr>
          <w:p w14:paraId="7CCD766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714508F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执行率</w:t>
            </w:r>
          </w:p>
        </w:tc>
        <w:tc>
          <w:tcPr>
            <w:tcW w:w="901" w:type="pct"/>
            <w:tcBorders>
              <w:top w:val="nil"/>
              <w:left w:val="nil"/>
              <w:bottom w:val="single" w:color="auto" w:sz="4" w:space="0"/>
              <w:right w:val="single" w:color="auto" w:sz="4" w:space="0"/>
            </w:tcBorders>
            <w:shd w:val="clear" w:color="auto" w:fill="auto"/>
            <w:vAlign w:val="center"/>
          </w:tcPr>
          <w:p w14:paraId="0074DB3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r>
      <w:tr w14:paraId="03CB6BC1">
        <w:tblPrEx>
          <w:tblCellMar>
            <w:top w:w="0" w:type="dxa"/>
            <w:left w:w="108" w:type="dxa"/>
            <w:bottom w:w="0" w:type="dxa"/>
            <w:right w:w="108" w:type="dxa"/>
          </w:tblCellMar>
        </w:tblPrEx>
        <w:trPr>
          <w:trHeight w:val="600" w:hRule="atLeast"/>
        </w:trPr>
        <w:tc>
          <w:tcPr>
            <w:tcW w:w="451" w:type="pct"/>
            <w:gridSpan w:val="2"/>
            <w:vMerge w:val="continue"/>
            <w:tcBorders>
              <w:top w:val="single" w:color="auto" w:sz="4" w:space="0"/>
              <w:left w:val="single" w:color="auto" w:sz="4" w:space="0"/>
              <w:bottom w:val="single" w:color="auto" w:sz="4" w:space="0"/>
              <w:right w:val="single" w:color="auto" w:sz="4" w:space="0"/>
            </w:tcBorders>
            <w:vAlign w:val="center"/>
          </w:tcPr>
          <w:p w14:paraId="7ABC7C62">
            <w:pPr>
              <w:widowControl/>
              <w:jc w:val="left"/>
              <w:rPr>
                <w:rFonts w:ascii="宋体" w:hAnsi="宋体" w:cs="宋体"/>
                <w:color w:val="000000"/>
                <w:kern w:val="0"/>
                <w:sz w:val="18"/>
                <w:szCs w:val="18"/>
              </w:rPr>
            </w:pPr>
          </w:p>
        </w:tc>
        <w:tc>
          <w:tcPr>
            <w:tcW w:w="1607" w:type="pct"/>
            <w:gridSpan w:val="2"/>
            <w:tcBorders>
              <w:top w:val="single" w:color="auto" w:sz="4" w:space="0"/>
              <w:left w:val="nil"/>
              <w:bottom w:val="single" w:color="auto" w:sz="4" w:space="0"/>
              <w:right w:val="single" w:color="auto" w:sz="4" w:space="0"/>
            </w:tcBorders>
            <w:shd w:val="clear" w:color="auto" w:fill="auto"/>
            <w:vAlign w:val="center"/>
          </w:tcPr>
          <w:p w14:paraId="2BFCA29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年度资金总额</w:t>
            </w:r>
          </w:p>
        </w:tc>
        <w:tc>
          <w:tcPr>
            <w:tcW w:w="816" w:type="pct"/>
            <w:tcBorders>
              <w:top w:val="nil"/>
              <w:left w:val="nil"/>
              <w:bottom w:val="single" w:color="auto" w:sz="4" w:space="0"/>
              <w:right w:val="single" w:color="auto" w:sz="4" w:space="0"/>
            </w:tcBorders>
            <w:shd w:val="clear" w:color="auto" w:fill="auto"/>
            <w:vAlign w:val="center"/>
          </w:tcPr>
          <w:p w14:paraId="15F65B2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15369</w:t>
            </w:r>
          </w:p>
        </w:tc>
        <w:tc>
          <w:tcPr>
            <w:tcW w:w="534" w:type="pct"/>
            <w:tcBorders>
              <w:top w:val="nil"/>
              <w:left w:val="nil"/>
              <w:bottom w:val="single" w:color="auto" w:sz="4" w:space="0"/>
              <w:right w:val="single" w:color="auto" w:sz="4" w:space="0"/>
            </w:tcBorders>
            <w:shd w:val="clear" w:color="auto" w:fill="auto"/>
            <w:vAlign w:val="center"/>
          </w:tcPr>
          <w:p w14:paraId="2713373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273A09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#REF!</w:t>
            </w:r>
          </w:p>
        </w:tc>
        <w:tc>
          <w:tcPr>
            <w:tcW w:w="901" w:type="pct"/>
            <w:tcBorders>
              <w:top w:val="nil"/>
              <w:left w:val="nil"/>
              <w:bottom w:val="single" w:color="auto" w:sz="4" w:space="0"/>
              <w:right w:val="single" w:color="auto" w:sz="4" w:space="0"/>
            </w:tcBorders>
            <w:shd w:val="clear" w:color="auto" w:fill="auto"/>
            <w:vAlign w:val="center"/>
          </w:tcPr>
          <w:p w14:paraId="7880E48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9.97</w:t>
            </w:r>
          </w:p>
        </w:tc>
      </w:tr>
      <w:tr w14:paraId="0C5AB885">
        <w:tblPrEx>
          <w:tblCellMar>
            <w:top w:w="0" w:type="dxa"/>
            <w:left w:w="108" w:type="dxa"/>
            <w:bottom w:w="0" w:type="dxa"/>
            <w:right w:w="108" w:type="dxa"/>
          </w:tblCellMar>
        </w:tblPrEx>
        <w:trPr>
          <w:trHeight w:val="600" w:hRule="atLeast"/>
        </w:trPr>
        <w:tc>
          <w:tcPr>
            <w:tcW w:w="451" w:type="pct"/>
            <w:gridSpan w:val="2"/>
            <w:vMerge w:val="continue"/>
            <w:tcBorders>
              <w:top w:val="single" w:color="auto" w:sz="4" w:space="0"/>
              <w:left w:val="single" w:color="auto" w:sz="4" w:space="0"/>
              <w:bottom w:val="single" w:color="auto" w:sz="4" w:space="0"/>
              <w:right w:val="single" w:color="auto" w:sz="4" w:space="0"/>
            </w:tcBorders>
            <w:vAlign w:val="center"/>
          </w:tcPr>
          <w:p w14:paraId="2DF18FD3">
            <w:pPr>
              <w:widowControl/>
              <w:jc w:val="left"/>
              <w:rPr>
                <w:rFonts w:ascii="宋体" w:hAnsi="宋体" w:cs="宋体"/>
                <w:color w:val="000000"/>
                <w:kern w:val="0"/>
                <w:sz w:val="18"/>
                <w:szCs w:val="18"/>
              </w:rPr>
            </w:pPr>
          </w:p>
        </w:tc>
        <w:tc>
          <w:tcPr>
            <w:tcW w:w="1607" w:type="pct"/>
            <w:gridSpan w:val="2"/>
            <w:tcBorders>
              <w:top w:val="single" w:color="auto" w:sz="4" w:space="0"/>
              <w:left w:val="nil"/>
              <w:bottom w:val="single" w:color="auto" w:sz="4" w:space="0"/>
              <w:right w:val="single" w:color="auto" w:sz="4" w:space="0"/>
            </w:tcBorders>
            <w:shd w:val="clear" w:color="auto" w:fill="auto"/>
            <w:vAlign w:val="center"/>
          </w:tcPr>
          <w:p w14:paraId="27275AC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其中：当年财政拨款</w:t>
            </w:r>
          </w:p>
        </w:tc>
        <w:tc>
          <w:tcPr>
            <w:tcW w:w="816" w:type="pct"/>
            <w:tcBorders>
              <w:top w:val="nil"/>
              <w:left w:val="nil"/>
              <w:bottom w:val="single" w:color="auto" w:sz="4" w:space="0"/>
              <w:right w:val="single" w:color="auto" w:sz="4" w:space="0"/>
            </w:tcBorders>
            <w:shd w:val="clear" w:color="auto" w:fill="auto"/>
            <w:vAlign w:val="center"/>
          </w:tcPr>
          <w:p w14:paraId="2BD28F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4" w:type="pct"/>
            <w:tcBorders>
              <w:top w:val="nil"/>
              <w:left w:val="nil"/>
              <w:bottom w:val="single" w:color="auto" w:sz="4" w:space="0"/>
              <w:right w:val="single" w:color="auto" w:sz="4" w:space="0"/>
            </w:tcBorders>
            <w:shd w:val="clear" w:color="auto" w:fill="auto"/>
            <w:vAlign w:val="center"/>
          </w:tcPr>
          <w:p w14:paraId="47CFBB2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074CE7D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901" w:type="pct"/>
            <w:tcBorders>
              <w:top w:val="nil"/>
              <w:left w:val="nil"/>
              <w:bottom w:val="single" w:color="auto" w:sz="4" w:space="0"/>
              <w:right w:val="single" w:color="auto" w:sz="4" w:space="0"/>
            </w:tcBorders>
            <w:shd w:val="clear" w:color="auto" w:fill="auto"/>
            <w:vAlign w:val="center"/>
          </w:tcPr>
          <w:p w14:paraId="2C67274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43653465">
        <w:tblPrEx>
          <w:tblCellMar>
            <w:top w:w="0" w:type="dxa"/>
            <w:left w:w="108" w:type="dxa"/>
            <w:bottom w:w="0" w:type="dxa"/>
            <w:right w:w="108" w:type="dxa"/>
          </w:tblCellMar>
        </w:tblPrEx>
        <w:trPr>
          <w:trHeight w:val="600" w:hRule="atLeast"/>
        </w:trPr>
        <w:tc>
          <w:tcPr>
            <w:tcW w:w="451" w:type="pct"/>
            <w:gridSpan w:val="2"/>
            <w:vMerge w:val="continue"/>
            <w:tcBorders>
              <w:top w:val="single" w:color="auto" w:sz="4" w:space="0"/>
              <w:left w:val="single" w:color="auto" w:sz="4" w:space="0"/>
              <w:bottom w:val="single" w:color="auto" w:sz="4" w:space="0"/>
              <w:right w:val="single" w:color="auto" w:sz="4" w:space="0"/>
            </w:tcBorders>
            <w:vAlign w:val="center"/>
          </w:tcPr>
          <w:p w14:paraId="0F65851C">
            <w:pPr>
              <w:widowControl/>
              <w:jc w:val="left"/>
              <w:rPr>
                <w:rFonts w:ascii="宋体" w:hAnsi="宋体" w:cs="宋体"/>
                <w:color w:val="000000"/>
                <w:kern w:val="0"/>
                <w:sz w:val="18"/>
                <w:szCs w:val="18"/>
              </w:rPr>
            </w:pPr>
          </w:p>
        </w:tc>
        <w:tc>
          <w:tcPr>
            <w:tcW w:w="1607" w:type="pct"/>
            <w:gridSpan w:val="2"/>
            <w:tcBorders>
              <w:top w:val="single" w:color="auto" w:sz="4" w:space="0"/>
              <w:left w:val="nil"/>
              <w:bottom w:val="nil"/>
              <w:right w:val="single" w:color="auto" w:sz="4" w:space="0"/>
            </w:tcBorders>
            <w:shd w:val="clear" w:color="auto" w:fill="auto"/>
            <w:vAlign w:val="center"/>
          </w:tcPr>
          <w:p w14:paraId="44B03E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816" w:type="pct"/>
            <w:tcBorders>
              <w:top w:val="nil"/>
              <w:left w:val="nil"/>
              <w:bottom w:val="nil"/>
              <w:right w:val="single" w:color="auto" w:sz="4" w:space="0"/>
            </w:tcBorders>
            <w:shd w:val="clear" w:color="auto" w:fill="auto"/>
            <w:vAlign w:val="center"/>
          </w:tcPr>
          <w:p w14:paraId="386981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15369</w:t>
            </w:r>
          </w:p>
        </w:tc>
        <w:tc>
          <w:tcPr>
            <w:tcW w:w="534" w:type="pct"/>
            <w:tcBorders>
              <w:top w:val="nil"/>
              <w:left w:val="nil"/>
              <w:bottom w:val="single" w:color="auto" w:sz="4" w:space="0"/>
              <w:right w:val="single" w:color="auto" w:sz="4" w:space="0"/>
            </w:tcBorders>
            <w:shd w:val="clear" w:color="auto" w:fill="auto"/>
            <w:vAlign w:val="center"/>
          </w:tcPr>
          <w:p w14:paraId="42A3832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15EC732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901" w:type="pct"/>
            <w:tcBorders>
              <w:top w:val="nil"/>
              <w:left w:val="nil"/>
              <w:bottom w:val="single" w:color="auto" w:sz="4" w:space="0"/>
              <w:right w:val="single" w:color="auto" w:sz="4" w:space="0"/>
            </w:tcBorders>
            <w:shd w:val="clear" w:color="auto" w:fill="auto"/>
            <w:vAlign w:val="center"/>
          </w:tcPr>
          <w:p w14:paraId="2B0A40D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0CAF7007">
        <w:tblPrEx>
          <w:tblCellMar>
            <w:top w:w="0" w:type="dxa"/>
            <w:left w:w="108" w:type="dxa"/>
            <w:bottom w:w="0" w:type="dxa"/>
            <w:right w:w="108" w:type="dxa"/>
          </w:tblCellMar>
        </w:tblPrEx>
        <w:trPr>
          <w:trHeight w:val="600" w:hRule="atLeast"/>
        </w:trPr>
        <w:tc>
          <w:tcPr>
            <w:tcW w:w="22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97CF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年度总体目标</w:t>
            </w:r>
          </w:p>
        </w:tc>
        <w:tc>
          <w:tcPr>
            <w:tcW w:w="2649" w:type="pct"/>
            <w:gridSpan w:val="4"/>
            <w:tcBorders>
              <w:top w:val="single" w:color="auto" w:sz="4" w:space="0"/>
              <w:left w:val="nil"/>
              <w:bottom w:val="single" w:color="auto" w:sz="4" w:space="0"/>
              <w:right w:val="single" w:color="auto" w:sz="4" w:space="0"/>
            </w:tcBorders>
            <w:shd w:val="clear" w:color="auto" w:fill="auto"/>
            <w:vAlign w:val="center"/>
          </w:tcPr>
          <w:p w14:paraId="06FE309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总体目标</w:t>
            </w:r>
          </w:p>
        </w:tc>
        <w:tc>
          <w:tcPr>
            <w:tcW w:w="2124" w:type="pct"/>
            <w:gridSpan w:val="4"/>
            <w:tcBorders>
              <w:top w:val="single" w:color="auto" w:sz="4" w:space="0"/>
              <w:left w:val="nil"/>
              <w:bottom w:val="single" w:color="auto" w:sz="4" w:space="0"/>
              <w:right w:val="single" w:color="000000" w:sz="4" w:space="0"/>
            </w:tcBorders>
            <w:shd w:val="clear" w:color="auto" w:fill="auto"/>
            <w:vAlign w:val="center"/>
          </w:tcPr>
          <w:p w14:paraId="6099F09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总体目标完成情况</w:t>
            </w:r>
          </w:p>
        </w:tc>
      </w:tr>
      <w:tr w14:paraId="42B98E18">
        <w:tblPrEx>
          <w:tblCellMar>
            <w:top w:w="0" w:type="dxa"/>
            <w:left w:w="108" w:type="dxa"/>
            <w:bottom w:w="0" w:type="dxa"/>
            <w:right w:w="108" w:type="dxa"/>
          </w:tblCellMar>
        </w:tblPrEx>
        <w:trPr>
          <w:trHeight w:val="1920" w:hRule="atLeast"/>
        </w:trPr>
        <w:tc>
          <w:tcPr>
            <w:tcW w:w="225" w:type="pct"/>
            <w:vMerge w:val="continue"/>
            <w:tcBorders>
              <w:top w:val="single" w:color="auto" w:sz="4" w:space="0"/>
              <w:left w:val="single" w:color="auto" w:sz="4" w:space="0"/>
              <w:bottom w:val="single" w:color="auto" w:sz="4" w:space="0"/>
              <w:right w:val="single" w:color="auto" w:sz="4" w:space="0"/>
            </w:tcBorders>
            <w:vAlign w:val="center"/>
          </w:tcPr>
          <w:p w14:paraId="41698599">
            <w:pPr>
              <w:widowControl/>
              <w:jc w:val="left"/>
              <w:rPr>
                <w:rFonts w:ascii="宋体" w:hAnsi="宋体" w:cs="宋体"/>
                <w:color w:val="000000"/>
                <w:kern w:val="0"/>
                <w:sz w:val="18"/>
                <w:szCs w:val="18"/>
              </w:rPr>
            </w:pPr>
          </w:p>
        </w:tc>
        <w:tc>
          <w:tcPr>
            <w:tcW w:w="2649" w:type="pct"/>
            <w:gridSpan w:val="4"/>
            <w:tcBorders>
              <w:top w:val="single" w:color="auto" w:sz="4" w:space="0"/>
              <w:left w:val="nil"/>
              <w:bottom w:val="single" w:color="auto" w:sz="4" w:space="0"/>
              <w:right w:val="single" w:color="auto" w:sz="4" w:space="0"/>
            </w:tcBorders>
            <w:shd w:val="clear" w:color="auto" w:fill="auto"/>
            <w:vAlign w:val="center"/>
          </w:tcPr>
          <w:p w14:paraId="08371C3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根据《中华人民共和国特种设备安全法》第十四条、第十五条、第二十七条、第四十条、第四十三条</w:t>
            </w:r>
            <w:r>
              <w:rPr>
                <w:rFonts w:hint="eastAsia" w:ascii="宋体" w:hAnsi="宋体" w:cs="宋体"/>
                <w:color w:val="000000"/>
                <w:kern w:val="0"/>
                <w:sz w:val="18"/>
                <w:szCs w:val="18"/>
                <w:lang w:eastAsia="zh-CN"/>
              </w:rPr>
              <w:t>－－</w:t>
            </w:r>
            <w:r>
              <w:rPr>
                <w:rFonts w:hint="eastAsia" w:ascii="宋体" w:hAnsi="宋体" w:cs="宋体"/>
                <w:color w:val="000000"/>
                <w:kern w:val="0"/>
                <w:sz w:val="18"/>
                <w:szCs w:val="18"/>
              </w:rPr>
              <w:t>第五十六条；《特种设备安全监察条例》第六条、第四十二条</w:t>
            </w:r>
            <w:r>
              <w:rPr>
                <w:rFonts w:hint="eastAsia" w:ascii="宋体" w:hAnsi="宋体" w:cs="宋体"/>
                <w:color w:val="000000"/>
                <w:kern w:val="0"/>
                <w:sz w:val="18"/>
                <w:szCs w:val="18"/>
                <w:lang w:eastAsia="zh-CN"/>
              </w:rPr>
              <w:t>－－</w:t>
            </w:r>
            <w:r>
              <w:rPr>
                <w:rFonts w:hint="eastAsia" w:ascii="宋体" w:hAnsi="宋体" w:cs="宋体"/>
                <w:color w:val="000000"/>
                <w:kern w:val="0"/>
                <w:sz w:val="18"/>
                <w:szCs w:val="18"/>
              </w:rPr>
              <w:t>第五十条的要求</w:t>
            </w:r>
            <w:r>
              <w:rPr>
                <w:rFonts w:hint="eastAsia" w:ascii="宋体" w:hAnsi="宋体" w:cs="宋体"/>
                <w:color w:val="000000"/>
                <w:kern w:val="0"/>
                <w:sz w:val="18"/>
                <w:szCs w:val="18"/>
                <w:lang w:eastAsia="zh-CN"/>
              </w:rPr>
              <w:t>，</w:t>
            </w:r>
            <w:r>
              <w:rPr>
                <w:rFonts w:hint="eastAsia" w:ascii="宋体" w:hAnsi="宋体" w:cs="宋体"/>
                <w:color w:val="000000"/>
                <w:kern w:val="0"/>
                <w:sz w:val="18"/>
                <w:szCs w:val="18"/>
              </w:rPr>
              <w:t>按照自治区党委、人民政府和</w:t>
            </w:r>
            <w:r>
              <w:rPr>
                <w:rFonts w:hint="eastAsia" w:ascii="宋体" w:hAnsi="宋体" w:cs="宋体"/>
                <w:color w:val="000000"/>
                <w:kern w:val="0"/>
                <w:sz w:val="18"/>
                <w:szCs w:val="18"/>
                <w:lang w:eastAsia="zh-CN"/>
              </w:rPr>
              <w:t>国家市场监督管理总局</w:t>
            </w:r>
            <w:r>
              <w:rPr>
                <w:rFonts w:hint="eastAsia" w:ascii="宋体" w:hAnsi="宋体" w:cs="宋体"/>
                <w:color w:val="000000"/>
                <w:kern w:val="0"/>
                <w:sz w:val="18"/>
                <w:szCs w:val="18"/>
              </w:rPr>
              <w:t>统一部署，紧紧围绕社会稳定和长治久安总目标，为了加强特种设备安全工作，预防特种设备事故，维护特种设备的正常运行，保障人身和财产安全；2022年完成特种设备检验数量并出具检验报告33000台，145人发放核增绩效2次，有效提升检验检测技术服务能力，推进科技创新和信息化建设工作，为了更好</w:t>
            </w:r>
            <w:r>
              <w:rPr>
                <w:rFonts w:hint="eastAsia" w:ascii="宋体" w:hAnsi="宋体" w:cs="宋体"/>
                <w:color w:val="000000"/>
                <w:kern w:val="0"/>
                <w:sz w:val="18"/>
                <w:szCs w:val="18"/>
                <w:lang w:eastAsia="zh-CN"/>
              </w:rPr>
              <w:t>维护</w:t>
            </w:r>
            <w:r>
              <w:rPr>
                <w:rFonts w:hint="eastAsia" w:ascii="宋体" w:hAnsi="宋体" w:cs="宋体"/>
                <w:color w:val="000000"/>
                <w:kern w:val="0"/>
                <w:sz w:val="18"/>
                <w:szCs w:val="18"/>
              </w:rPr>
              <w:t>节能减排以及配合好环境保护，为推动新疆经济社会平稳健康发展提供良好的政务和服务环境，特种设备安全工作要点主要是进行特种设备安全检验检测项目</w:t>
            </w:r>
          </w:p>
        </w:tc>
        <w:tc>
          <w:tcPr>
            <w:tcW w:w="2124" w:type="pct"/>
            <w:gridSpan w:val="4"/>
            <w:tcBorders>
              <w:top w:val="single" w:color="auto" w:sz="4" w:space="0"/>
              <w:left w:val="nil"/>
              <w:bottom w:val="single" w:color="auto" w:sz="4" w:space="0"/>
              <w:right w:val="single" w:color="000000" w:sz="4" w:space="0"/>
            </w:tcBorders>
            <w:shd w:val="clear" w:color="auto" w:fill="auto"/>
            <w:vAlign w:val="center"/>
          </w:tcPr>
          <w:p w14:paraId="4543525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2023年完成特种设备检验数量并出具检验报告58075台，共计146人发放绩效，西山基础建设项目按照施工进度付款2677.64万元，项目年初预算15369万元</w:t>
            </w:r>
            <w:r>
              <w:rPr>
                <w:rFonts w:hint="eastAsia" w:ascii="宋体" w:hAnsi="宋体" w:cs="宋体"/>
                <w:color w:val="000000"/>
                <w:kern w:val="0"/>
                <w:sz w:val="18"/>
                <w:szCs w:val="18"/>
                <w:lang w:eastAsia="zh-CN"/>
              </w:rPr>
              <w:t>，</w:t>
            </w:r>
            <w:r>
              <w:rPr>
                <w:rFonts w:hint="eastAsia" w:ascii="宋体" w:hAnsi="宋体" w:cs="宋体"/>
                <w:color w:val="000000"/>
                <w:kern w:val="0"/>
                <w:sz w:val="18"/>
                <w:szCs w:val="18"/>
              </w:rPr>
              <w:t>实际完成15323.99万元</w:t>
            </w:r>
            <w:r>
              <w:rPr>
                <w:rFonts w:hint="eastAsia" w:ascii="宋体" w:hAnsi="宋体" w:cs="宋体"/>
                <w:color w:val="000000"/>
                <w:kern w:val="0"/>
                <w:sz w:val="18"/>
                <w:szCs w:val="18"/>
                <w:lang w:eastAsia="zh-CN"/>
              </w:rPr>
              <w:t>，</w:t>
            </w:r>
            <w:r>
              <w:rPr>
                <w:rFonts w:hint="eastAsia" w:ascii="宋体" w:hAnsi="宋体" w:cs="宋体"/>
                <w:color w:val="000000"/>
                <w:kern w:val="0"/>
                <w:sz w:val="18"/>
                <w:szCs w:val="18"/>
              </w:rPr>
              <w:t>执行率99.7%，有效提升检验检测技术服务能力，推进科技创新和信息化建设工作，为了更好</w:t>
            </w:r>
            <w:r>
              <w:rPr>
                <w:rFonts w:hint="eastAsia" w:ascii="宋体" w:hAnsi="宋体" w:cs="宋体"/>
                <w:color w:val="000000"/>
                <w:kern w:val="0"/>
                <w:sz w:val="18"/>
                <w:szCs w:val="18"/>
                <w:lang w:eastAsia="zh-CN"/>
              </w:rPr>
              <w:t>维护</w:t>
            </w:r>
            <w:r>
              <w:rPr>
                <w:rFonts w:hint="eastAsia" w:ascii="宋体" w:hAnsi="宋体" w:cs="宋体"/>
                <w:color w:val="000000"/>
                <w:kern w:val="0"/>
                <w:sz w:val="18"/>
                <w:szCs w:val="18"/>
              </w:rPr>
              <w:t>节能减排以及配合好环境保护，为推动新疆经济社会平稳健康发展提供良好的政务和服务环境</w:t>
            </w:r>
          </w:p>
        </w:tc>
      </w:tr>
      <w:tr w14:paraId="22DC7494">
        <w:tblPrEx>
          <w:tblCellMar>
            <w:top w:w="0" w:type="dxa"/>
            <w:left w:w="108" w:type="dxa"/>
            <w:bottom w:w="0" w:type="dxa"/>
            <w:right w:w="108" w:type="dxa"/>
          </w:tblCellMar>
        </w:tblPrEx>
        <w:trPr>
          <w:trHeight w:val="600" w:hRule="atLeast"/>
        </w:trPr>
        <w:tc>
          <w:tcPr>
            <w:tcW w:w="225" w:type="pct"/>
            <w:tcBorders>
              <w:top w:val="nil"/>
              <w:left w:val="single" w:color="auto" w:sz="4" w:space="0"/>
              <w:bottom w:val="single" w:color="auto" w:sz="4" w:space="0"/>
              <w:right w:val="single" w:color="auto" w:sz="4" w:space="0"/>
            </w:tcBorders>
            <w:shd w:val="clear" w:color="auto" w:fill="auto"/>
            <w:vAlign w:val="center"/>
          </w:tcPr>
          <w:p w14:paraId="638D10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25" w:type="pct"/>
            <w:tcBorders>
              <w:top w:val="nil"/>
              <w:left w:val="nil"/>
              <w:bottom w:val="single" w:color="auto" w:sz="4" w:space="0"/>
              <w:right w:val="single" w:color="auto" w:sz="4" w:space="0"/>
            </w:tcBorders>
            <w:shd w:val="clear" w:color="auto" w:fill="auto"/>
            <w:vAlign w:val="center"/>
          </w:tcPr>
          <w:p w14:paraId="35AD9AB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251" w:type="pct"/>
            <w:tcBorders>
              <w:top w:val="nil"/>
              <w:left w:val="nil"/>
              <w:bottom w:val="single" w:color="auto" w:sz="4" w:space="0"/>
              <w:right w:val="single" w:color="auto" w:sz="4" w:space="0"/>
            </w:tcBorders>
            <w:shd w:val="clear" w:color="auto" w:fill="auto"/>
            <w:vAlign w:val="center"/>
          </w:tcPr>
          <w:p w14:paraId="6014353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1355" w:type="pct"/>
            <w:tcBorders>
              <w:top w:val="nil"/>
              <w:left w:val="nil"/>
              <w:bottom w:val="single" w:color="auto" w:sz="4" w:space="0"/>
              <w:right w:val="single" w:color="auto" w:sz="4" w:space="0"/>
            </w:tcBorders>
            <w:shd w:val="clear" w:color="auto" w:fill="auto"/>
            <w:vAlign w:val="center"/>
          </w:tcPr>
          <w:p w14:paraId="024A72A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816" w:type="pct"/>
            <w:tcBorders>
              <w:top w:val="nil"/>
              <w:left w:val="nil"/>
              <w:bottom w:val="single" w:color="auto" w:sz="4" w:space="0"/>
              <w:right w:val="single" w:color="auto" w:sz="4" w:space="0"/>
            </w:tcBorders>
            <w:shd w:val="clear" w:color="auto" w:fill="auto"/>
            <w:vAlign w:val="center"/>
          </w:tcPr>
          <w:p w14:paraId="7D1DF55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534" w:type="pct"/>
            <w:tcBorders>
              <w:top w:val="nil"/>
              <w:left w:val="nil"/>
              <w:bottom w:val="single" w:color="auto" w:sz="4" w:space="0"/>
              <w:right w:val="single" w:color="auto" w:sz="4" w:space="0"/>
            </w:tcBorders>
            <w:shd w:val="clear" w:color="auto" w:fill="auto"/>
            <w:vAlign w:val="center"/>
          </w:tcPr>
          <w:p w14:paraId="015A080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指标实际完成值</w:t>
            </w:r>
          </w:p>
        </w:tc>
        <w:tc>
          <w:tcPr>
            <w:tcW w:w="333" w:type="pct"/>
            <w:tcBorders>
              <w:top w:val="nil"/>
              <w:left w:val="nil"/>
              <w:bottom w:val="single" w:color="auto" w:sz="4" w:space="0"/>
              <w:right w:val="single" w:color="auto" w:sz="4" w:space="0"/>
            </w:tcBorders>
            <w:shd w:val="clear" w:color="auto" w:fill="auto"/>
            <w:vAlign w:val="center"/>
          </w:tcPr>
          <w:p w14:paraId="75F334B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完成率</w:t>
            </w:r>
          </w:p>
        </w:tc>
        <w:tc>
          <w:tcPr>
            <w:tcW w:w="354" w:type="pct"/>
            <w:tcBorders>
              <w:top w:val="nil"/>
              <w:left w:val="nil"/>
              <w:bottom w:val="single" w:color="auto" w:sz="4" w:space="0"/>
              <w:right w:val="single" w:color="auto" w:sz="4" w:space="0"/>
            </w:tcBorders>
            <w:shd w:val="clear" w:color="auto" w:fill="auto"/>
            <w:vAlign w:val="center"/>
          </w:tcPr>
          <w:p w14:paraId="0E3AE69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指标得分</w:t>
            </w:r>
          </w:p>
        </w:tc>
        <w:tc>
          <w:tcPr>
            <w:tcW w:w="901" w:type="pct"/>
            <w:tcBorders>
              <w:top w:val="nil"/>
              <w:left w:val="nil"/>
              <w:bottom w:val="single" w:color="auto" w:sz="4" w:space="0"/>
              <w:right w:val="single" w:color="auto" w:sz="4" w:space="0"/>
            </w:tcBorders>
            <w:shd w:val="clear" w:color="auto" w:fill="auto"/>
            <w:vAlign w:val="center"/>
          </w:tcPr>
          <w:p w14:paraId="04AE040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偏差原因分析及改进措施</w:t>
            </w:r>
          </w:p>
        </w:tc>
      </w:tr>
      <w:tr w14:paraId="5EA2D0EE">
        <w:tblPrEx>
          <w:tblCellMar>
            <w:top w:w="0" w:type="dxa"/>
            <w:left w:w="108" w:type="dxa"/>
            <w:bottom w:w="0" w:type="dxa"/>
            <w:right w:w="108" w:type="dxa"/>
          </w:tblCellMar>
        </w:tblPrEx>
        <w:trPr>
          <w:trHeight w:val="2070" w:hRule="atLeast"/>
        </w:trPr>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7E711FE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25" w:type="pct"/>
            <w:vMerge w:val="restart"/>
            <w:tcBorders>
              <w:top w:val="nil"/>
              <w:left w:val="single" w:color="auto" w:sz="4" w:space="0"/>
              <w:bottom w:val="single" w:color="000000" w:sz="4" w:space="0"/>
              <w:right w:val="single" w:color="auto" w:sz="4" w:space="0"/>
            </w:tcBorders>
            <w:shd w:val="clear" w:color="auto" w:fill="auto"/>
            <w:vAlign w:val="center"/>
          </w:tcPr>
          <w:p w14:paraId="54E23F2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51" w:type="pct"/>
            <w:vMerge w:val="restart"/>
            <w:tcBorders>
              <w:top w:val="nil"/>
              <w:left w:val="single" w:color="auto" w:sz="4" w:space="0"/>
              <w:bottom w:val="single" w:color="000000" w:sz="4" w:space="0"/>
              <w:right w:val="single" w:color="auto" w:sz="4" w:space="0"/>
            </w:tcBorders>
            <w:shd w:val="clear" w:color="auto" w:fill="auto"/>
            <w:vAlign w:val="center"/>
          </w:tcPr>
          <w:p w14:paraId="069DB1C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1355" w:type="pct"/>
            <w:tcBorders>
              <w:top w:val="nil"/>
              <w:left w:val="nil"/>
              <w:bottom w:val="single" w:color="auto" w:sz="4" w:space="0"/>
              <w:right w:val="single" w:color="auto" w:sz="4" w:space="0"/>
            </w:tcBorders>
            <w:shd w:val="clear" w:color="auto" w:fill="auto"/>
            <w:vAlign w:val="center"/>
          </w:tcPr>
          <w:p w14:paraId="6ABA0DB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完成特种设备检验数量</w:t>
            </w:r>
          </w:p>
        </w:tc>
        <w:tc>
          <w:tcPr>
            <w:tcW w:w="816" w:type="pct"/>
            <w:tcBorders>
              <w:top w:val="nil"/>
              <w:left w:val="nil"/>
              <w:bottom w:val="single" w:color="auto" w:sz="4" w:space="0"/>
              <w:right w:val="single" w:color="auto" w:sz="4" w:space="0"/>
            </w:tcBorders>
            <w:shd w:val="clear" w:color="auto" w:fill="auto"/>
            <w:noWrap/>
            <w:vAlign w:val="center"/>
          </w:tcPr>
          <w:p w14:paraId="7EADDB75">
            <w:pPr>
              <w:widowControl/>
              <w:jc w:val="center"/>
              <w:rPr>
                <w:rFonts w:hint="eastAsia" w:ascii="宋体" w:hAnsi="宋体" w:cs="宋体"/>
                <w:kern w:val="0"/>
                <w:sz w:val="18"/>
                <w:szCs w:val="18"/>
              </w:rPr>
            </w:pPr>
            <w:r>
              <w:rPr>
                <w:rFonts w:hint="eastAsia" w:ascii="宋体" w:hAnsi="宋体" w:cs="宋体"/>
                <w:kern w:val="0"/>
                <w:sz w:val="18"/>
                <w:szCs w:val="18"/>
              </w:rPr>
              <w:t>=58075台</w:t>
            </w:r>
          </w:p>
        </w:tc>
        <w:tc>
          <w:tcPr>
            <w:tcW w:w="534" w:type="pct"/>
            <w:tcBorders>
              <w:top w:val="nil"/>
              <w:left w:val="nil"/>
              <w:bottom w:val="single" w:color="auto" w:sz="4" w:space="0"/>
              <w:right w:val="single" w:color="auto" w:sz="4" w:space="0"/>
            </w:tcBorders>
            <w:shd w:val="clear" w:color="auto" w:fill="auto"/>
            <w:vAlign w:val="center"/>
          </w:tcPr>
          <w:p w14:paraId="6EC9028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=58075台</w:t>
            </w:r>
          </w:p>
        </w:tc>
        <w:tc>
          <w:tcPr>
            <w:tcW w:w="333" w:type="pct"/>
            <w:tcBorders>
              <w:top w:val="nil"/>
              <w:left w:val="nil"/>
              <w:bottom w:val="single" w:color="auto" w:sz="4" w:space="0"/>
              <w:right w:val="single" w:color="auto" w:sz="4" w:space="0"/>
            </w:tcBorders>
            <w:shd w:val="clear" w:color="auto" w:fill="auto"/>
            <w:vAlign w:val="center"/>
          </w:tcPr>
          <w:p w14:paraId="3071D10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196CBC0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901" w:type="pct"/>
            <w:tcBorders>
              <w:top w:val="nil"/>
              <w:left w:val="nil"/>
              <w:bottom w:val="single" w:color="auto" w:sz="4" w:space="0"/>
              <w:right w:val="single" w:color="auto" w:sz="4" w:space="0"/>
            </w:tcBorders>
            <w:shd w:val="clear" w:color="auto" w:fill="auto"/>
            <w:vAlign w:val="center"/>
          </w:tcPr>
          <w:p w14:paraId="7B75509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0054E4A3">
        <w:tblPrEx>
          <w:tblCellMar>
            <w:top w:w="0" w:type="dxa"/>
            <w:left w:w="108" w:type="dxa"/>
            <w:bottom w:w="0" w:type="dxa"/>
            <w:right w:w="108" w:type="dxa"/>
          </w:tblCellMar>
        </w:tblPrEx>
        <w:trPr>
          <w:trHeight w:val="2560" w:hRule="atLeast"/>
        </w:trPr>
        <w:tc>
          <w:tcPr>
            <w:tcW w:w="225" w:type="pct"/>
            <w:vMerge w:val="continue"/>
            <w:tcBorders>
              <w:top w:val="nil"/>
              <w:left w:val="single" w:color="auto" w:sz="4" w:space="0"/>
              <w:bottom w:val="single" w:color="auto" w:sz="4" w:space="0"/>
              <w:right w:val="single" w:color="auto" w:sz="4" w:space="0"/>
            </w:tcBorders>
            <w:vAlign w:val="center"/>
          </w:tcPr>
          <w:p w14:paraId="27362D54">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6475B473">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single" w:color="000000" w:sz="4" w:space="0"/>
              <w:right w:val="single" w:color="auto" w:sz="4" w:space="0"/>
            </w:tcBorders>
            <w:vAlign w:val="center"/>
          </w:tcPr>
          <w:p w14:paraId="12987DD1">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7F1F6CD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出具检验报告数量</w:t>
            </w:r>
          </w:p>
        </w:tc>
        <w:tc>
          <w:tcPr>
            <w:tcW w:w="816" w:type="pct"/>
            <w:tcBorders>
              <w:top w:val="nil"/>
              <w:left w:val="nil"/>
              <w:bottom w:val="single" w:color="auto" w:sz="4" w:space="0"/>
              <w:right w:val="single" w:color="auto" w:sz="4" w:space="0"/>
            </w:tcBorders>
            <w:shd w:val="clear" w:color="auto" w:fill="auto"/>
            <w:noWrap/>
            <w:vAlign w:val="center"/>
          </w:tcPr>
          <w:p w14:paraId="739ED9C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=57075台</w:t>
            </w:r>
          </w:p>
        </w:tc>
        <w:tc>
          <w:tcPr>
            <w:tcW w:w="534" w:type="pct"/>
            <w:tcBorders>
              <w:top w:val="nil"/>
              <w:left w:val="nil"/>
              <w:bottom w:val="single" w:color="auto" w:sz="4" w:space="0"/>
              <w:right w:val="single" w:color="auto" w:sz="4" w:space="0"/>
            </w:tcBorders>
            <w:shd w:val="clear" w:color="auto" w:fill="auto"/>
            <w:vAlign w:val="center"/>
          </w:tcPr>
          <w:p w14:paraId="3016971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=58075台</w:t>
            </w:r>
          </w:p>
        </w:tc>
        <w:tc>
          <w:tcPr>
            <w:tcW w:w="333" w:type="pct"/>
            <w:tcBorders>
              <w:top w:val="nil"/>
              <w:left w:val="nil"/>
              <w:bottom w:val="single" w:color="auto" w:sz="4" w:space="0"/>
              <w:right w:val="single" w:color="auto" w:sz="4" w:space="0"/>
            </w:tcBorders>
            <w:shd w:val="clear" w:color="auto" w:fill="auto"/>
            <w:vAlign w:val="center"/>
          </w:tcPr>
          <w:p w14:paraId="6DB027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19E080C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901" w:type="pct"/>
            <w:tcBorders>
              <w:top w:val="nil"/>
              <w:left w:val="nil"/>
              <w:bottom w:val="single" w:color="auto" w:sz="4" w:space="0"/>
              <w:right w:val="single" w:color="auto" w:sz="4" w:space="0"/>
            </w:tcBorders>
            <w:shd w:val="clear" w:color="auto" w:fill="auto"/>
            <w:vAlign w:val="center"/>
          </w:tcPr>
          <w:p w14:paraId="54BA0B6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45DA0B3">
        <w:tblPrEx>
          <w:tblCellMar>
            <w:top w:w="0" w:type="dxa"/>
            <w:left w:w="108" w:type="dxa"/>
            <w:bottom w:w="0" w:type="dxa"/>
            <w:right w:w="108" w:type="dxa"/>
          </w:tblCellMar>
        </w:tblPrEx>
        <w:trPr>
          <w:trHeight w:val="1080" w:hRule="atLeast"/>
        </w:trPr>
        <w:tc>
          <w:tcPr>
            <w:tcW w:w="225" w:type="pct"/>
            <w:vMerge w:val="continue"/>
            <w:tcBorders>
              <w:top w:val="nil"/>
              <w:left w:val="single" w:color="auto" w:sz="4" w:space="0"/>
              <w:bottom w:val="single" w:color="auto" w:sz="4" w:space="0"/>
              <w:right w:val="single" w:color="auto" w:sz="4" w:space="0"/>
            </w:tcBorders>
            <w:vAlign w:val="center"/>
          </w:tcPr>
          <w:p w14:paraId="53D3EFBF">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04A14483">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single" w:color="000000" w:sz="4" w:space="0"/>
              <w:right w:val="single" w:color="auto" w:sz="4" w:space="0"/>
            </w:tcBorders>
            <w:vAlign w:val="center"/>
          </w:tcPr>
          <w:p w14:paraId="39CE1A73">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32D984D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发放核增绩效工资人数</w:t>
            </w:r>
          </w:p>
        </w:tc>
        <w:tc>
          <w:tcPr>
            <w:tcW w:w="816" w:type="pct"/>
            <w:tcBorders>
              <w:top w:val="nil"/>
              <w:left w:val="nil"/>
              <w:bottom w:val="single" w:color="auto" w:sz="4" w:space="0"/>
              <w:right w:val="single" w:color="auto" w:sz="4" w:space="0"/>
            </w:tcBorders>
            <w:shd w:val="clear" w:color="auto" w:fill="auto"/>
            <w:noWrap/>
            <w:vAlign w:val="center"/>
          </w:tcPr>
          <w:p w14:paraId="5DCA2ED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=152人</w:t>
            </w:r>
          </w:p>
        </w:tc>
        <w:tc>
          <w:tcPr>
            <w:tcW w:w="534" w:type="pct"/>
            <w:tcBorders>
              <w:top w:val="nil"/>
              <w:left w:val="nil"/>
              <w:bottom w:val="single" w:color="auto" w:sz="4" w:space="0"/>
              <w:right w:val="single" w:color="auto" w:sz="4" w:space="0"/>
            </w:tcBorders>
            <w:shd w:val="clear" w:color="auto" w:fill="auto"/>
            <w:vAlign w:val="center"/>
          </w:tcPr>
          <w:p w14:paraId="30745FF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=146人</w:t>
            </w:r>
          </w:p>
        </w:tc>
        <w:tc>
          <w:tcPr>
            <w:tcW w:w="333" w:type="pct"/>
            <w:tcBorders>
              <w:top w:val="nil"/>
              <w:left w:val="nil"/>
              <w:bottom w:val="single" w:color="auto" w:sz="4" w:space="0"/>
              <w:right w:val="single" w:color="auto" w:sz="4" w:space="0"/>
            </w:tcBorders>
            <w:shd w:val="clear" w:color="auto" w:fill="auto"/>
            <w:vAlign w:val="center"/>
          </w:tcPr>
          <w:p w14:paraId="7B92BA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96%</w:t>
            </w:r>
          </w:p>
        </w:tc>
        <w:tc>
          <w:tcPr>
            <w:tcW w:w="354" w:type="pct"/>
            <w:tcBorders>
              <w:top w:val="nil"/>
              <w:left w:val="nil"/>
              <w:bottom w:val="single" w:color="auto" w:sz="4" w:space="0"/>
              <w:right w:val="single" w:color="auto" w:sz="4" w:space="0"/>
            </w:tcBorders>
            <w:shd w:val="clear" w:color="auto" w:fill="auto"/>
            <w:vAlign w:val="center"/>
          </w:tcPr>
          <w:p w14:paraId="46FD780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2.88</w:t>
            </w:r>
          </w:p>
        </w:tc>
        <w:tc>
          <w:tcPr>
            <w:tcW w:w="901" w:type="pct"/>
            <w:tcBorders>
              <w:top w:val="nil"/>
              <w:left w:val="nil"/>
              <w:bottom w:val="single" w:color="auto" w:sz="4" w:space="0"/>
              <w:right w:val="single" w:color="auto" w:sz="4" w:space="0"/>
            </w:tcBorders>
            <w:shd w:val="clear" w:color="auto" w:fill="auto"/>
            <w:vAlign w:val="center"/>
          </w:tcPr>
          <w:p w14:paraId="04F2DEE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偏差原因：2023年未有新进人员。改进措施：下一年设置指标前进行评估，合理设置指标</w:t>
            </w:r>
          </w:p>
        </w:tc>
      </w:tr>
      <w:tr w14:paraId="258748DC">
        <w:tblPrEx>
          <w:tblCellMar>
            <w:top w:w="0" w:type="dxa"/>
            <w:left w:w="108" w:type="dxa"/>
            <w:bottom w:w="0" w:type="dxa"/>
            <w:right w:w="108" w:type="dxa"/>
          </w:tblCellMar>
        </w:tblPrEx>
        <w:trPr>
          <w:trHeight w:val="1080" w:hRule="atLeast"/>
        </w:trPr>
        <w:tc>
          <w:tcPr>
            <w:tcW w:w="225" w:type="pct"/>
            <w:vMerge w:val="continue"/>
            <w:tcBorders>
              <w:top w:val="nil"/>
              <w:left w:val="single" w:color="auto" w:sz="4" w:space="0"/>
              <w:bottom w:val="single" w:color="auto" w:sz="4" w:space="0"/>
              <w:right w:val="single" w:color="auto" w:sz="4" w:space="0"/>
            </w:tcBorders>
            <w:vAlign w:val="center"/>
          </w:tcPr>
          <w:p w14:paraId="46EAE4FE">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3C5FC8C1">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single" w:color="000000" w:sz="4" w:space="0"/>
              <w:right w:val="single" w:color="auto" w:sz="4" w:space="0"/>
            </w:tcBorders>
            <w:vAlign w:val="center"/>
          </w:tcPr>
          <w:p w14:paraId="41A55DD8">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000DF71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建设工程数量</w:t>
            </w:r>
          </w:p>
        </w:tc>
        <w:tc>
          <w:tcPr>
            <w:tcW w:w="816" w:type="pct"/>
            <w:tcBorders>
              <w:top w:val="nil"/>
              <w:left w:val="nil"/>
              <w:bottom w:val="single" w:color="auto" w:sz="4" w:space="0"/>
              <w:right w:val="single" w:color="auto" w:sz="4" w:space="0"/>
            </w:tcBorders>
            <w:shd w:val="clear" w:color="auto" w:fill="auto"/>
            <w:noWrap/>
            <w:vAlign w:val="center"/>
          </w:tcPr>
          <w:p w14:paraId="32CE16F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1个</w:t>
            </w:r>
          </w:p>
        </w:tc>
        <w:tc>
          <w:tcPr>
            <w:tcW w:w="534" w:type="pct"/>
            <w:tcBorders>
              <w:top w:val="nil"/>
              <w:left w:val="nil"/>
              <w:bottom w:val="single" w:color="auto" w:sz="4" w:space="0"/>
              <w:right w:val="single" w:color="auto" w:sz="4" w:space="0"/>
            </w:tcBorders>
            <w:shd w:val="clear" w:color="auto" w:fill="auto"/>
            <w:vAlign w:val="center"/>
          </w:tcPr>
          <w:p w14:paraId="2753A5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1个</w:t>
            </w:r>
          </w:p>
        </w:tc>
        <w:tc>
          <w:tcPr>
            <w:tcW w:w="333" w:type="pct"/>
            <w:tcBorders>
              <w:top w:val="nil"/>
              <w:left w:val="nil"/>
              <w:bottom w:val="single" w:color="auto" w:sz="4" w:space="0"/>
              <w:right w:val="single" w:color="auto" w:sz="4" w:space="0"/>
            </w:tcBorders>
            <w:shd w:val="clear" w:color="auto" w:fill="auto"/>
            <w:vAlign w:val="center"/>
          </w:tcPr>
          <w:p w14:paraId="4F0B6C3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0442E77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901" w:type="pct"/>
            <w:tcBorders>
              <w:top w:val="nil"/>
              <w:left w:val="nil"/>
              <w:bottom w:val="single" w:color="auto" w:sz="4" w:space="0"/>
              <w:right w:val="single" w:color="auto" w:sz="4" w:space="0"/>
            </w:tcBorders>
            <w:shd w:val="clear" w:color="auto" w:fill="auto"/>
            <w:vAlign w:val="center"/>
          </w:tcPr>
          <w:p w14:paraId="15B6EBF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E734C56">
        <w:tblPrEx>
          <w:tblCellMar>
            <w:top w:w="0" w:type="dxa"/>
            <w:left w:w="108" w:type="dxa"/>
            <w:bottom w:w="0" w:type="dxa"/>
            <w:right w:w="108" w:type="dxa"/>
          </w:tblCellMar>
        </w:tblPrEx>
        <w:trPr>
          <w:trHeight w:val="1080" w:hRule="atLeast"/>
        </w:trPr>
        <w:tc>
          <w:tcPr>
            <w:tcW w:w="225" w:type="pct"/>
            <w:vMerge w:val="continue"/>
            <w:tcBorders>
              <w:top w:val="nil"/>
              <w:left w:val="single" w:color="auto" w:sz="4" w:space="0"/>
              <w:bottom w:val="single" w:color="auto" w:sz="4" w:space="0"/>
              <w:right w:val="single" w:color="auto" w:sz="4" w:space="0"/>
            </w:tcBorders>
            <w:vAlign w:val="center"/>
          </w:tcPr>
          <w:p w14:paraId="5202E980">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54C4BB93">
            <w:pPr>
              <w:widowControl/>
              <w:jc w:val="left"/>
              <w:rPr>
                <w:rFonts w:ascii="宋体" w:hAnsi="宋体" w:cs="宋体"/>
                <w:color w:val="000000"/>
                <w:kern w:val="0"/>
                <w:sz w:val="18"/>
                <w:szCs w:val="18"/>
              </w:rPr>
            </w:pPr>
          </w:p>
        </w:tc>
        <w:tc>
          <w:tcPr>
            <w:tcW w:w="251" w:type="pct"/>
            <w:vMerge w:val="restart"/>
            <w:tcBorders>
              <w:top w:val="nil"/>
              <w:left w:val="single" w:color="auto" w:sz="4" w:space="0"/>
              <w:bottom w:val="single" w:color="000000" w:sz="4" w:space="0"/>
              <w:right w:val="single" w:color="auto" w:sz="4" w:space="0"/>
            </w:tcBorders>
            <w:shd w:val="clear" w:color="auto" w:fill="auto"/>
            <w:vAlign w:val="center"/>
          </w:tcPr>
          <w:p w14:paraId="1A5CDBB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1355" w:type="pct"/>
            <w:tcBorders>
              <w:top w:val="nil"/>
              <w:left w:val="nil"/>
              <w:bottom w:val="single" w:color="auto" w:sz="4" w:space="0"/>
              <w:right w:val="single" w:color="auto" w:sz="4" w:space="0"/>
            </w:tcBorders>
            <w:shd w:val="clear" w:color="auto" w:fill="auto"/>
            <w:noWrap/>
            <w:vAlign w:val="center"/>
          </w:tcPr>
          <w:p w14:paraId="7765786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信息系统开发或应用数量</w:t>
            </w:r>
          </w:p>
        </w:tc>
        <w:tc>
          <w:tcPr>
            <w:tcW w:w="816" w:type="pct"/>
            <w:tcBorders>
              <w:top w:val="nil"/>
              <w:left w:val="nil"/>
              <w:bottom w:val="single" w:color="auto" w:sz="4" w:space="0"/>
              <w:right w:val="single" w:color="auto" w:sz="4" w:space="0"/>
            </w:tcBorders>
            <w:shd w:val="clear" w:color="auto" w:fill="auto"/>
            <w:noWrap/>
            <w:vAlign w:val="center"/>
          </w:tcPr>
          <w:p w14:paraId="0AC91CD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=2个</w:t>
            </w:r>
          </w:p>
        </w:tc>
        <w:tc>
          <w:tcPr>
            <w:tcW w:w="534" w:type="pct"/>
            <w:tcBorders>
              <w:top w:val="nil"/>
              <w:left w:val="nil"/>
              <w:bottom w:val="single" w:color="auto" w:sz="4" w:space="0"/>
              <w:right w:val="single" w:color="auto" w:sz="4" w:space="0"/>
            </w:tcBorders>
            <w:shd w:val="clear" w:color="auto" w:fill="auto"/>
            <w:vAlign w:val="center"/>
          </w:tcPr>
          <w:p w14:paraId="6063AB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3个</w:t>
            </w:r>
          </w:p>
        </w:tc>
        <w:tc>
          <w:tcPr>
            <w:tcW w:w="333" w:type="pct"/>
            <w:tcBorders>
              <w:top w:val="nil"/>
              <w:left w:val="nil"/>
              <w:bottom w:val="single" w:color="auto" w:sz="4" w:space="0"/>
              <w:right w:val="single" w:color="auto" w:sz="4" w:space="0"/>
            </w:tcBorders>
            <w:shd w:val="clear" w:color="auto" w:fill="auto"/>
            <w:vAlign w:val="center"/>
          </w:tcPr>
          <w:p w14:paraId="6AC9BA8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580516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901" w:type="pct"/>
            <w:tcBorders>
              <w:top w:val="nil"/>
              <w:left w:val="nil"/>
              <w:bottom w:val="single" w:color="auto" w:sz="4" w:space="0"/>
              <w:right w:val="single" w:color="auto" w:sz="4" w:space="0"/>
            </w:tcBorders>
            <w:shd w:val="clear" w:color="auto" w:fill="auto"/>
            <w:vAlign w:val="center"/>
          </w:tcPr>
          <w:p w14:paraId="564B36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2C520E7">
        <w:tblPrEx>
          <w:tblCellMar>
            <w:top w:w="0" w:type="dxa"/>
            <w:left w:w="108" w:type="dxa"/>
            <w:bottom w:w="0" w:type="dxa"/>
            <w:right w:w="108" w:type="dxa"/>
          </w:tblCellMar>
        </w:tblPrEx>
        <w:trPr>
          <w:trHeight w:val="1080" w:hRule="atLeast"/>
        </w:trPr>
        <w:tc>
          <w:tcPr>
            <w:tcW w:w="225" w:type="pct"/>
            <w:vMerge w:val="continue"/>
            <w:tcBorders>
              <w:top w:val="nil"/>
              <w:left w:val="single" w:color="auto" w:sz="4" w:space="0"/>
              <w:bottom w:val="single" w:color="auto" w:sz="4" w:space="0"/>
              <w:right w:val="single" w:color="auto" w:sz="4" w:space="0"/>
            </w:tcBorders>
            <w:vAlign w:val="center"/>
          </w:tcPr>
          <w:p w14:paraId="48445230">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0011D834">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single" w:color="000000" w:sz="4" w:space="0"/>
              <w:right w:val="single" w:color="auto" w:sz="4" w:space="0"/>
            </w:tcBorders>
            <w:vAlign w:val="center"/>
          </w:tcPr>
          <w:p w14:paraId="479FF16C">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5DFD8E5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出具检验报告的准确率</w:t>
            </w:r>
          </w:p>
        </w:tc>
        <w:tc>
          <w:tcPr>
            <w:tcW w:w="816" w:type="pct"/>
            <w:tcBorders>
              <w:top w:val="nil"/>
              <w:left w:val="nil"/>
              <w:bottom w:val="single" w:color="auto" w:sz="4" w:space="0"/>
              <w:right w:val="single" w:color="auto" w:sz="4" w:space="0"/>
            </w:tcBorders>
            <w:shd w:val="clear" w:color="auto" w:fill="auto"/>
            <w:noWrap/>
            <w:vAlign w:val="center"/>
          </w:tcPr>
          <w:p w14:paraId="634B23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534" w:type="pct"/>
            <w:tcBorders>
              <w:top w:val="nil"/>
              <w:left w:val="nil"/>
              <w:bottom w:val="single" w:color="auto" w:sz="4" w:space="0"/>
              <w:right w:val="single" w:color="auto" w:sz="4" w:space="0"/>
            </w:tcBorders>
            <w:shd w:val="clear" w:color="auto" w:fill="auto"/>
            <w:vAlign w:val="center"/>
          </w:tcPr>
          <w:p w14:paraId="549EF68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333" w:type="pct"/>
            <w:tcBorders>
              <w:top w:val="nil"/>
              <w:left w:val="nil"/>
              <w:bottom w:val="single" w:color="auto" w:sz="4" w:space="0"/>
              <w:right w:val="single" w:color="auto" w:sz="4" w:space="0"/>
            </w:tcBorders>
            <w:shd w:val="clear" w:color="auto" w:fill="auto"/>
            <w:vAlign w:val="center"/>
          </w:tcPr>
          <w:p w14:paraId="7164052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2527D71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901" w:type="pct"/>
            <w:tcBorders>
              <w:top w:val="nil"/>
              <w:left w:val="nil"/>
              <w:bottom w:val="single" w:color="auto" w:sz="4" w:space="0"/>
              <w:right w:val="single" w:color="auto" w:sz="4" w:space="0"/>
            </w:tcBorders>
            <w:shd w:val="clear" w:color="auto" w:fill="auto"/>
            <w:vAlign w:val="center"/>
          </w:tcPr>
          <w:p w14:paraId="04740A8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595013A">
        <w:tblPrEx>
          <w:tblCellMar>
            <w:top w:w="0" w:type="dxa"/>
            <w:left w:w="108" w:type="dxa"/>
            <w:bottom w:w="0" w:type="dxa"/>
            <w:right w:w="108" w:type="dxa"/>
          </w:tblCellMar>
        </w:tblPrEx>
        <w:trPr>
          <w:trHeight w:val="1080" w:hRule="atLeast"/>
        </w:trPr>
        <w:tc>
          <w:tcPr>
            <w:tcW w:w="225" w:type="pct"/>
            <w:vMerge w:val="continue"/>
            <w:tcBorders>
              <w:top w:val="nil"/>
              <w:left w:val="single" w:color="auto" w:sz="4" w:space="0"/>
              <w:bottom w:val="single" w:color="auto" w:sz="4" w:space="0"/>
              <w:right w:val="single" w:color="auto" w:sz="4" w:space="0"/>
            </w:tcBorders>
            <w:vAlign w:val="center"/>
          </w:tcPr>
          <w:p w14:paraId="0F8C36C8">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111E49B0">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single" w:color="000000" w:sz="4" w:space="0"/>
              <w:right w:val="single" w:color="auto" w:sz="4" w:space="0"/>
            </w:tcBorders>
            <w:vAlign w:val="center"/>
          </w:tcPr>
          <w:p w14:paraId="51FD8CCC">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070F603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送检设备检定合格率</w:t>
            </w:r>
          </w:p>
        </w:tc>
        <w:tc>
          <w:tcPr>
            <w:tcW w:w="816" w:type="pct"/>
            <w:tcBorders>
              <w:top w:val="nil"/>
              <w:left w:val="nil"/>
              <w:bottom w:val="single" w:color="auto" w:sz="4" w:space="0"/>
              <w:right w:val="single" w:color="auto" w:sz="4" w:space="0"/>
            </w:tcBorders>
            <w:shd w:val="clear" w:color="auto" w:fill="auto"/>
            <w:noWrap/>
            <w:vAlign w:val="center"/>
          </w:tcPr>
          <w:p w14:paraId="73EB5D0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534" w:type="pct"/>
            <w:tcBorders>
              <w:top w:val="nil"/>
              <w:left w:val="nil"/>
              <w:bottom w:val="single" w:color="auto" w:sz="4" w:space="0"/>
              <w:right w:val="single" w:color="auto" w:sz="4" w:space="0"/>
            </w:tcBorders>
            <w:shd w:val="clear" w:color="000000" w:fill="auto"/>
            <w:vAlign w:val="center"/>
          </w:tcPr>
          <w:p w14:paraId="275D763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333" w:type="pct"/>
            <w:tcBorders>
              <w:top w:val="nil"/>
              <w:left w:val="nil"/>
              <w:bottom w:val="single" w:color="auto" w:sz="4" w:space="0"/>
              <w:right w:val="single" w:color="auto" w:sz="4" w:space="0"/>
            </w:tcBorders>
            <w:shd w:val="clear" w:color="auto" w:fill="auto"/>
            <w:vAlign w:val="center"/>
          </w:tcPr>
          <w:p w14:paraId="478DFD1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2D34448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901" w:type="pct"/>
            <w:tcBorders>
              <w:top w:val="nil"/>
              <w:left w:val="nil"/>
              <w:bottom w:val="single" w:color="auto" w:sz="4" w:space="0"/>
              <w:right w:val="single" w:color="auto" w:sz="4" w:space="0"/>
            </w:tcBorders>
            <w:shd w:val="clear" w:color="auto" w:fill="auto"/>
            <w:vAlign w:val="center"/>
          </w:tcPr>
          <w:p w14:paraId="49351C8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819EC4D">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105CC3CC">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51D025A7">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single" w:color="000000" w:sz="4" w:space="0"/>
              <w:right w:val="single" w:color="auto" w:sz="4" w:space="0"/>
            </w:tcBorders>
            <w:vAlign w:val="center"/>
          </w:tcPr>
          <w:p w14:paraId="39414884">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1887C96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建设工程项目资金进度支付率</w:t>
            </w:r>
          </w:p>
        </w:tc>
        <w:tc>
          <w:tcPr>
            <w:tcW w:w="816" w:type="pct"/>
            <w:tcBorders>
              <w:top w:val="nil"/>
              <w:left w:val="nil"/>
              <w:bottom w:val="single" w:color="auto" w:sz="4" w:space="0"/>
              <w:right w:val="single" w:color="auto" w:sz="4" w:space="0"/>
            </w:tcBorders>
            <w:shd w:val="clear" w:color="auto" w:fill="auto"/>
            <w:vAlign w:val="center"/>
          </w:tcPr>
          <w:p w14:paraId="2C46E3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534" w:type="pct"/>
            <w:tcBorders>
              <w:top w:val="nil"/>
              <w:left w:val="nil"/>
              <w:bottom w:val="single" w:color="auto" w:sz="4" w:space="0"/>
              <w:right w:val="single" w:color="auto" w:sz="4" w:space="0"/>
            </w:tcBorders>
            <w:shd w:val="clear" w:color="auto" w:fill="auto"/>
            <w:vAlign w:val="center"/>
          </w:tcPr>
          <w:p w14:paraId="3681CAC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333" w:type="pct"/>
            <w:tcBorders>
              <w:top w:val="nil"/>
              <w:left w:val="nil"/>
              <w:bottom w:val="single" w:color="auto" w:sz="4" w:space="0"/>
              <w:right w:val="single" w:color="auto" w:sz="4" w:space="0"/>
            </w:tcBorders>
            <w:shd w:val="clear" w:color="auto" w:fill="auto"/>
            <w:vAlign w:val="center"/>
          </w:tcPr>
          <w:p w14:paraId="2C4E33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4F1C859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901" w:type="pct"/>
            <w:tcBorders>
              <w:top w:val="nil"/>
              <w:left w:val="nil"/>
              <w:bottom w:val="single" w:color="auto" w:sz="4" w:space="0"/>
              <w:right w:val="single" w:color="auto" w:sz="4" w:space="0"/>
            </w:tcBorders>
            <w:shd w:val="clear" w:color="auto" w:fill="auto"/>
            <w:vAlign w:val="center"/>
          </w:tcPr>
          <w:p w14:paraId="143D8B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A0923AA">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358AFF72">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3076781B">
            <w:pPr>
              <w:widowControl/>
              <w:jc w:val="left"/>
              <w:rPr>
                <w:rFonts w:ascii="宋体" w:hAnsi="宋体" w:cs="宋体"/>
                <w:color w:val="000000"/>
                <w:kern w:val="0"/>
                <w:sz w:val="18"/>
                <w:szCs w:val="18"/>
              </w:rPr>
            </w:pPr>
          </w:p>
        </w:tc>
        <w:tc>
          <w:tcPr>
            <w:tcW w:w="251" w:type="pct"/>
            <w:vMerge w:val="restart"/>
            <w:tcBorders>
              <w:top w:val="nil"/>
              <w:left w:val="single" w:color="auto" w:sz="4" w:space="0"/>
              <w:bottom w:val="single" w:color="000000" w:sz="4" w:space="0"/>
              <w:right w:val="single" w:color="auto" w:sz="4" w:space="0"/>
            </w:tcBorders>
            <w:shd w:val="clear" w:color="auto" w:fill="auto"/>
            <w:vAlign w:val="center"/>
          </w:tcPr>
          <w:p w14:paraId="4BEA666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1355" w:type="pct"/>
            <w:tcBorders>
              <w:top w:val="nil"/>
              <w:left w:val="nil"/>
              <w:bottom w:val="single" w:color="auto" w:sz="4" w:space="0"/>
              <w:right w:val="single" w:color="auto" w:sz="4" w:space="0"/>
            </w:tcBorders>
            <w:shd w:val="clear" w:color="auto" w:fill="auto"/>
            <w:noWrap/>
            <w:vAlign w:val="center"/>
          </w:tcPr>
          <w:p w14:paraId="7A68031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信息系统验收合格率</w:t>
            </w:r>
          </w:p>
        </w:tc>
        <w:tc>
          <w:tcPr>
            <w:tcW w:w="816" w:type="pct"/>
            <w:tcBorders>
              <w:top w:val="nil"/>
              <w:left w:val="nil"/>
              <w:bottom w:val="single" w:color="auto" w:sz="4" w:space="0"/>
              <w:right w:val="single" w:color="auto" w:sz="4" w:space="0"/>
            </w:tcBorders>
            <w:shd w:val="clear" w:color="auto" w:fill="auto"/>
            <w:noWrap/>
            <w:vAlign w:val="center"/>
          </w:tcPr>
          <w:p w14:paraId="034A881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=99%</w:t>
            </w:r>
          </w:p>
        </w:tc>
        <w:tc>
          <w:tcPr>
            <w:tcW w:w="534" w:type="pct"/>
            <w:tcBorders>
              <w:top w:val="nil"/>
              <w:left w:val="nil"/>
              <w:bottom w:val="single" w:color="auto" w:sz="4" w:space="0"/>
              <w:right w:val="single" w:color="auto" w:sz="4" w:space="0"/>
            </w:tcBorders>
            <w:shd w:val="clear" w:color="auto" w:fill="auto"/>
            <w:vAlign w:val="center"/>
          </w:tcPr>
          <w:p w14:paraId="5D54410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333" w:type="pct"/>
            <w:tcBorders>
              <w:top w:val="nil"/>
              <w:left w:val="nil"/>
              <w:bottom w:val="single" w:color="auto" w:sz="4" w:space="0"/>
              <w:right w:val="single" w:color="auto" w:sz="4" w:space="0"/>
            </w:tcBorders>
            <w:shd w:val="clear" w:color="auto" w:fill="auto"/>
            <w:vAlign w:val="center"/>
          </w:tcPr>
          <w:p w14:paraId="0450C0B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28FDAB9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901" w:type="pct"/>
            <w:tcBorders>
              <w:top w:val="nil"/>
              <w:left w:val="nil"/>
              <w:bottom w:val="single" w:color="auto" w:sz="4" w:space="0"/>
              <w:right w:val="single" w:color="auto" w:sz="4" w:space="0"/>
            </w:tcBorders>
            <w:shd w:val="clear" w:color="auto" w:fill="auto"/>
            <w:vAlign w:val="center"/>
          </w:tcPr>
          <w:p w14:paraId="26AC461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0412D2F9">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0BAA05A8">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14A7A9CB">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single" w:color="000000" w:sz="4" w:space="0"/>
              <w:right w:val="single" w:color="auto" w:sz="4" w:space="0"/>
            </w:tcBorders>
            <w:vAlign w:val="center"/>
          </w:tcPr>
          <w:p w14:paraId="7F298737">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77354B3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电梯检验完成后出具报告完成时间</w:t>
            </w:r>
          </w:p>
        </w:tc>
        <w:tc>
          <w:tcPr>
            <w:tcW w:w="816" w:type="pct"/>
            <w:tcBorders>
              <w:top w:val="nil"/>
              <w:left w:val="nil"/>
              <w:bottom w:val="single" w:color="auto" w:sz="4" w:space="0"/>
              <w:right w:val="single" w:color="auto" w:sz="4" w:space="0"/>
            </w:tcBorders>
            <w:shd w:val="clear" w:color="auto" w:fill="auto"/>
            <w:vAlign w:val="center"/>
          </w:tcPr>
          <w:p w14:paraId="5292FE67">
            <w:pPr>
              <w:widowControl/>
              <w:jc w:val="center"/>
              <w:rPr>
                <w:rFonts w:hint="eastAsia" w:ascii="宋体" w:hAnsi="宋体" w:cs="宋体"/>
                <w:kern w:val="0"/>
                <w:sz w:val="18"/>
                <w:szCs w:val="18"/>
              </w:rPr>
            </w:pPr>
            <w:r>
              <w:rPr>
                <w:rFonts w:hint="eastAsia" w:ascii="宋体" w:hAnsi="宋体" w:cs="宋体"/>
                <w:kern w:val="0"/>
                <w:sz w:val="18"/>
                <w:szCs w:val="18"/>
              </w:rPr>
              <w:t>&lt;=15个工作日</w:t>
            </w:r>
          </w:p>
        </w:tc>
        <w:tc>
          <w:tcPr>
            <w:tcW w:w="534" w:type="pct"/>
            <w:tcBorders>
              <w:top w:val="nil"/>
              <w:left w:val="nil"/>
              <w:bottom w:val="single" w:color="auto" w:sz="4" w:space="0"/>
              <w:right w:val="single" w:color="auto" w:sz="4" w:space="0"/>
            </w:tcBorders>
            <w:shd w:val="clear" w:color="auto" w:fill="auto"/>
            <w:vAlign w:val="center"/>
          </w:tcPr>
          <w:p w14:paraId="6C36A0A3">
            <w:pPr>
              <w:widowControl/>
              <w:jc w:val="center"/>
              <w:rPr>
                <w:rFonts w:hint="eastAsia" w:ascii="宋体" w:hAnsi="宋体" w:cs="宋体"/>
                <w:kern w:val="0"/>
                <w:sz w:val="18"/>
                <w:szCs w:val="18"/>
              </w:rPr>
            </w:pPr>
            <w:r>
              <w:rPr>
                <w:rFonts w:hint="eastAsia" w:ascii="宋体" w:hAnsi="宋体" w:cs="宋体"/>
                <w:kern w:val="0"/>
                <w:sz w:val="18"/>
                <w:szCs w:val="18"/>
              </w:rPr>
              <w:t>12个工作日</w:t>
            </w:r>
          </w:p>
        </w:tc>
        <w:tc>
          <w:tcPr>
            <w:tcW w:w="333" w:type="pct"/>
            <w:tcBorders>
              <w:top w:val="nil"/>
              <w:left w:val="nil"/>
              <w:bottom w:val="single" w:color="auto" w:sz="4" w:space="0"/>
              <w:right w:val="single" w:color="auto" w:sz="4" w:space="0"/>
            </w:tcBorders>
            <w:shd w:val="clear" w:color="auto" w:fill="auto"/>
            <w:vAlign w:val="center"/>
          </w:tcPr>
          <w:p w14:paraId="06BD8A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307CB87B">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3</w:t>
            </w:r>
          </w:p>
        </w:tc>
        <w:tc>
          <w:tcPr>
            <w:tcW w:w="901" w:type="pct"/>
            <w:tcBorders>
              <w:top w:val="nil"/>
              <w:left w:val="nil"/>
              <w:bottom w:val="single" w:color="auto" w:sz="4" w:space="0"/>
              <w:right w:val="single" w:color="auto" w:sz="4" w:space="0"/>
            </w:tcBorders>
            <w:shd w:val="clear" w:color="auto" w:fill="auto"/>
            <w:vAlign w:val="center"/>
          </w:tcPr>
          <w:p w14:paraId="3BBE06A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14:paraId="1377160B">
        <w:tblPrEx>
          <w:tblCellMar>
            <w:top w:w="0" w:type="dxa"/>
            <w:left w:w="108" w:type="dxa"/>
            <w:bottom w:w="0" w:type="dxa"/>
            <w:right w:w="108" w:type="dxa"/>
          </w:tblCellMar>
        </w:tblPrEx>
        <w:trPr>
          <w:trHeight w:val="1310" w:hRule="atLeast"/>
        </w:trPr>
        <w:tc>
          <w:tcPr>
            <w:tcW w:w="225" w:type="pct"/>
            <w:vMerge w:val="continue"/>
            <w:tcBorders>
              <w:top w:val="nil"/>
              <w:left w:val="single" w:color="auto" w:sz="4" w:space="0"/>
              <w:bottom w:val="single" w:color="auto" w:sz="4" w:space="0"/>
              <w:right w:val="single" w:color="auto" w:sz="4" w:space="0"/>
            </w:tcBorders>
            <w:vAlign w:val="center"/>
          </w:tcPr>
          <w:p w14:paraId="61344FCE">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2EE67844">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single" w:color="000000" w:sz="4" w:space="0"/>
              <w:right w:val="single" w:color="auto" w:sz="4" w:space="0"/>
            </w:tcBorders>
            <w:vAlign w:val="center"/>
          </w:tcPr>
          <w:p w14:paraId="5AA087CB">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5B864E5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建设工程项目计划开工时长</w:t>
            </w:r>
          </w:p>
        </w:tc>
        <w:tc>
          <w:tcPr>
            <w:tcW w:w="816" w:type="pct"/>
            <w:tcBorders>
              <w:top w:val="nil"/>
              <w:left w:val="nil"/>
              <w:bottom w:val="single" w:color="auto" w:sz="4" w:space="0"/>
              <w:right w:val="single" w:color="auto" w:sz="4" w:space="0"/>
            </w:tcBorders>
            <w:shd w:val="clear" w:color="auto" w:fill="auto"/>
            <w:noWrap/>
            <w:vAlign w:val="center"/>
          </w:tcPr>
          <w:p w14:paraId="4A78200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&lt;=24个月</w:t>
            </w:r>
          </w:p>
        </w:tc>
        <w:tc>
          <w:tcPr>
            <w:tcW w:w="534" w:type="pct"/>
            <w:tcBorders>
              <w:top w:val="nil"/>
              <w:left w:val="nil"/>
              <w:bottom w:val="single" w:color="auto" w:sz="4" w:space="0"/>
              <w:right w:val="single" w:color="auto" w:sz="4" w:space="0"/>
            </w:tcBorders>
            <w:shd w:val="clear" w:color="000000" w:fill="auto"/>
            <w:vAlign w:val="center"/>
          </w:tcPr>
          <w:p w14:paraId="7D7227ED">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=24个月</w:t>
            </w:r>
          </w:p>
        </w:tc>
        <w:tc>
          <w:tcPr>
            <w:tcW w:w="333" w:type="pct"/>
            <w:tcBorders>
              <w:top w:val="nil"/>
              <w:left w:val="nil"/>
              <w:bottom w:val="single" w:color="auto" w:sz="4" w:space="0"/>
              <w:right w:val="single" w:color="auto" w:sz="4" w:space="0"/>
            </w:tcBorders>
            <w:shd w:val="clear" w:color="auto" w:fill="auto"/>
            <w:vAlign w:val="center"/>
          </w:tcPr>
          <w:p w14:paraId="1F729873">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0A4F363E">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p>
        </w:tc>
        <w:tc>
          <w:tcPr>
            <w:tcW w:w="901" w:type="pct"/>
            <w:tcBorders>
              <w:top w:val="nil"/>
              <w:left w:val="nil"/>
              <w:bottom w:val="single" w:color="auto" w:sz="4" w:space="0"/>
              <w:right w:val="single" w:color="auto" w:sz="4" w:space="0"/>
            </w:tcBorders>
            <w:shd w:val="clear" w:color="auto" w:fill="auto"/>
            <w:vAlign w:val="center"/>
          </w:tcPr>
          <w:p w14:paraId="1BE0A06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14:paraId="07D5DD13">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5A95706C">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3206C391">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single" w:color="000000" w:sz="4" w:space="0"/>
              <w:right w:val="single" w:color="auto" w:sz="4" w:space="0"/>
            </w:tcBorders>
            <w:vAlign w:val="center"/>
          </w:tcPr>
          <w:p w14:paraId="48894D78">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noWrap/>
            <w:vAlign w:val="center"/>
          </w:tcPr>
          <w:p w14:paraId="566DCC7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信息系统验收后系统故障率</w:t>
            </w:r>
          </w:p>
        </w:tc>
        <w:tc>
          <w:tcPr>
            <w:tcW w:w="816" w:type="pct"/>
            <w:tcBorders>
              <w:top w:val="nil"/>
              <w:left w:val="nil"/>
              <w:bottom w:val="single" w:color="auto" w:sz="4" w:space="0"/>
              <w:right w:val="single" w:color="auto" w:sz="4" w:space="0"/>
            </w:tcBorders>
            <w:shd w:val="clear" w:color="auto" w:fill="auto"/>
            <w:noWrap/>
            <w:vAlign w:val="center"/>
          </w:tcPr>
          <w:p w14:paraId="4D4A8D5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&lt;=5%</w:t>
            </w:r>
          </w:p>
        </w:tc>
        <w:tc>
          <w:tcPr>
            <w:tcW w:w="534" w:type="pct"/>
            <w:tcBorders>
              <w:top w:val="nil"/>
              <w:left w:val="nil"/>
              <w:bottom w:val="single" w:color="auto" w:sz="4" w:space="0"/>
              <w:right w:val="single" w:color="auto" w:sz="4" w:space="0"/>
            </w:tcBorders>
            <w:shd w:val="clear" w:color="000000" w:fill="auto"/>
            <w:vAlign w:val="center"/>
          </w:tcPr>
          <w:p w14:paraId="401DD3DF">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p>
        </w:tc>
        <w:tc>
          <w:tcPr>
            <w:tcW w:w="333" w:type="pct"/>
            <w:tcBorders>
              <w:top w:val="nil"/>
              <w:left w:val="nil"/>
              <w:bottom w:val="single" w:color="auto" w:sz="4" w:space="0"/>
              <w:right w:val="single" w:color="auto" w:sz="4" w:space="0"/>
            </w:tcBorders>
            <w:shd w:val="clear" w:color="auto" w:fill="auto"/>
            <w:vAlign w:val="center"/>
          </w:tcPr>
          <w:p w14:paraId="5355D67F">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1F12A0B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p>
        </w:tc>
        <w:tc>
          <w:tcPr>
            <w:tcW w:w="901" w:type="pct"/>
            <w:tcBorders>
              <w:top w:val="nil"/>
              <w:left w:val="nil"/>
              <w:bottom w:val="single" w:color="auto" w:sz="4" w:space="0"/>
              <w:right w:val="single" w:color="auto" w:sz="4" w:space="0"/>
            </w:tcBorders>
            <w:shd w:val="clear" w:color="auto" w:fill="auto"/>
            <w:vAlign w:val="center"/>
          </w:tcPr>
          <w:p w14:paraId="28ACCA33">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14:paraId="5193EDDC">
        <w:tblPrEx>
          <w:tblCellMar>
            <w:top w:w="0" w:type="dxa"/>
            <w:left w:w="108" w:type="dxa"/>
            <w:bottom w:w="0" w:type="dxa"/>
            <w:right w:w="108" w:type="dxa"/>
          </w:tblCellMar>
        </w:tblPrEx>
        <w:trPr>
          <w:trHeight w:val="960" w:hRule="atLeast"/>
        </w:trPr>
        <w:tc>
          <w:tcPr>
            <w:tcW w:w="225" w:type="pct"/>
            <w:vMerge w:val="continue"/>
            <w:tcBorders>
              <w:top w:val="nil"/>
              <w:left w:val="single" w:color="auto" w:sz="4" w:space="0"/>
              <w:bottom w:val="single" w:color="auto" w:sz="4" w:space="0"/>
              <w:right w:val="single" w:color="auto" w:sz="4" w:space="0"/>
            </w:tcBorders>
            <w:vAlign w:val="center"/>
          </w:tcPr>
          <w:p w14:paraId="328ECD83">
            <w:pPr>
              <w:widowControl/>
              <w:jc w:val="left"/>
              <w:rPr>
                <w:rFonts w:ascii="宋体" w:hAnsi="宋体" w:cs="宋体"/>
                <w:color w:val="000000"/>
                <w:kern w:val="0"/>
                <w:sz w:val="18"/>
                <w:szCs w:val="18"/>
              </w:rPr>
            </w:pPr>
          </w:p>
        </w:tc>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2B6EE97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251" w:type="pct"/>
            <w:vMerge w:val="restart"/>
            <w:tcBorders>
              <w:top w:val="nil"/>
              <w:left w:val="single" w:color="auto" w:sz="4" w:space="0"/>
              <w:bottom w:val="nil"/>
              <w:right w:val="single" w:color="auto" w:sz="4" w:space="0"/>
            </w:tcBorders>
            <w:shd w:val="clear" w:color="auto" w:fill="auto"/>
            <w:vAlign w:val="center"/>
          </w:tcPr>
          <w:p w14:paraId="5900448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1355" w:type="pct"/>
            <w:tcBorders>
              <w:top w:val="nil"/>
              <w:left w:val="nil"/>
              <w:bottom w:val="single" w:color="auto" w:sz="4" w:space="0"/>
              <w:right w:val="single" w:color="auto" w:sz="4" w:space="0"/>
            </w:tcBorders>
            <w:shd w:val="clear" w:color="auto" w:fill="auto"/>
            <w:vAlign w:val="center"/>
          </w:tcPr>
          <w:p w14:paraId="7A51493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特种设备检测工作运行成本</w:t>
            </w:r>
          </w:p>
        </w:tc>
        <w:tc>
          <w:tcPr>
            <w:tcW w:w="816" w:type="pct"/>
            <w:tcBorders>
              <w:top w:val="nil"/>
              <w:left w:val="nil"/>
              <w:bottom w:val="single" w:color="auto" w:sz="4" w:space="0"/>
              <w:right w:val="single" w:color="auto" w:sz="4" w:space="0"/>
            </w:tcBorders>
            <w:shd w:val="clear" w:color="auto" w:fill="auto"/>
            <w:noWrap/>
            <w:vAlign w:val="center"/>
          </w:tcPr>
          <w:p w14:paraId="1B72342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&lt;=10771.4万元</w:t>
            </w:r>
          </w:p>
        </w:tc>
        <w:tc>
          <w:tcPr>
            <w:tcW w:w="534" w:type="pct"/>
            <w:tcBorders>
              <w:top w:val="nil"/>
              <w:left w:val="nil"/>
              <w:bottom w:val="single" w:color="auto" w:sz="4" w:space="0"/>
              <w:right w:val="single" w:color="auto" w:sz="4" w:space="0"/>
            </w:tcBorders>
            <w:shd w:val="clear" w:color="000000" w:fill="auto"/>
            <w:vAlign w:val="center"/>
          </w:tcPr>
          <w:p w14:paraId="07474AC8">
            <w:pPr>
              <w:widowControl/>
              <w:jc w:val="center"/>
              <w:rPr>
                <w:rFonts w:hint="eastAsia" w:ascii="宋体" w:hAnsi="宋体" w:cs="宋体"/>
                <w:kern w:val="0"/>
                <w:sz w:val="18"/>
                <w:szCs w:val="18"/>
              </w:rPr>
            </w:pPr>
            <w:r>
              <w:rPr>
                <w:rFonts w:hint="eastAsia" w:ascii="宋体" w:hAnsi="宋体" w:cs="宋体"/>
                <w:kern w:val="0"/>
                <w:sz w:val="18"/>
                <w:szCs w:val="18"/>
              </w:rPr>
              <w:t>=10771.4万元</w:t>
            </w:r>
          </w:p>
        </w:tc>
        <w:tc>
          <w:tcPr>
            <w:tcW w:w="333" w:type="pct"/>
            <w:tcBorders>
              <w:top w:val="nil"/>
              <w:left w:val="nil"/>
              <w:bottom w:val="single" w:color="auto" w:sz="4" w:space="0"/>
              <w:right w:val="single" w:color="auto" w:sz="4" w:space="0"/>
            </w:tcBorders>
            <w:shd w:val="clear" w:color="auto" w:fill="auto"/>
            <w:vAlign w:val="center"/>
          </w:tcPr>
          <w:p w14:paraId="550C9E3E">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601F8437">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5.00</w:t>
            </w:r>
          </w:p>
        </w:tc>
        <w:tc>
          <w:tcPr>
            <w:tcW w:w="901" w:type="pct"/>
            <w:tcBorders>
              <w:top w:val="nil"/>
              <w:left w:val="nil"/>
              <w:bottom w:val="single" w:color="auto" w:sz="4" w:space="0"/>
              <w:right w:val="single" w:color="auto" w:sz="4" w:space="0"/>
            </w:tcBorders>
            <w:shd w:val="clear" w:color="auto" w:fill="auto"/>
            <w:vAlign w:val="center"/>
          </w:tcPr>
          <w:p w14:paraId="34202E1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w:t>
            </w:r>
            <w:bookmarkStart w:id="3" w:name="_GoBack"/>
            <w:bookmarkEnd w:id="3"/>
          </w:p>
        </w:tc>
      </w:tr>
      <w:tr w14:paraId="7B69B9E1">
        <w:tblPrEx>
          <w:tblCellMar>
            <w:top w:w="0" w:type="dxa"/>
            <w:left w:w="108" w:type="dxa"/>
            <w:bottom w:w="0" w:type="dxa"/>
            <w:right w:w="108" w:type="dxa"/>
          </w:tblCellMar>
        </w:tblPrEx>
        <w:trPr>
          <w:trHeight w:val="1390" w:hRule="atLeast"/>
        </w:trPr>
        <w:tc>
          <w:tcPr>
            <w:tcW w:w="225" w:type="pct"/>
            <w:vMerge w:val="continue"/>
            <w:tcBorders>
              <w:top w:val="nil"/>
              <w:left w:val="single" w:color="auto" w:sz="4" w:space="0"/>
              <w:bottom w:val="single" w:color="auto" w:sz="4" w:space="0"/>
              <w:right w:val="single" w:color="auto" w:sz="4" w:space="0"/>
            </w:tcBorders>
            <w:vAlign w:val="center"/>
          </w:tcPr>
          <w:p w14:paraId="3318E6CA">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auto" w:sz="4" w:space="0"/>
              <w:right w:val="single" w:color="auto" w:sz="4" w:space="0"/>
            </w:tcBorders>
            <w:vAlign w:val="center"/>
          </w:tcPr>
          <w:p w14:paraId="5D5AB35D">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nil"/>
              <w:right w:val="single" w:color="auto" w:sz="4" w:space="0"/>
            </w:tcBorders>
            <w:vAlign w:val="center"/>
          </w:tcPr>
          <w:p w14:paraId="7B9FEAC5">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40FE8EA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发放核增绩效工资人数</w:t>
            </w:r>
          </w:p>
        </w:tc>
        <w:tc>
          <w:tcPr>
            <w:tcW w:w="816" w:type="pct"/>
            <w:tcBorders>
              <w:top w:val="nil"/>
              <w:left w:val="nil"/>
              <w:bottom w:val="single" w:color="auto" w:sz="4" w:space="0"/>
              <w:right w:val="single" w:color="auto" w:sz="4" w:space="0"/>
            </w:tcBorders>
            <w:shd w:val="clear" w:color="auto" w:fill="auto"/>
            <w:noWrap/>
            <w:vAlign w:val="center"/>
          </w:tcPr>
          <w:p w14:paraId="00B3D66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&lt;=1851万元</w:t>
            </w:r>
          </w:p>
        </w:tc>
        <w:tc>
          <w:tcPr>
            <w:tcW w:w="534" w:type="pct"/>
            <w:tcBorders>
              <w:top w:val="nil"/>
              <w:left w:val="nil"/>
              <w:bottom w:val="single" w:color="auto" w:sz="4" w:space="0"/>
              <w:right w:val="single" w:color="auto" w:sz="4" w:space="0"/>
            </w:tcBorders>
            <w:shd w:val="clear" w:color="auto" w:fill="auto"/>
            <w:vAlign w:val="center"/>
          </w:tcPr>
          <w:p w14:paraId="0E35855D">
            <w:pPr>
              <w:widowControl/>
              <w:jc w:val="center"/>
              <w:rPr>
                <w:rFonts w:hint="eastAsia" w:ascii="宋体" w:hAnsi="宋体" w:cs="宋体"/>
                <w:kern w:val="0"/>
                <w:sz w:val="18"/>
                <w:szCs w:val="18"/>
              </w:rPr>
            </w:pPr>
            <w:r>
              <w:rPr>
                <w:rFonts w:hint="eastAsia" w:ascii="宋体" w:hAnsi="宋体" w:cs="宋体"/>
                <w:kern w:val="0"/>
                <w:sz w:val="18"/>
                <w:szCs w:val="18"/>
              </w:rPr>
              <w:t>=1833.75万元</w:t>
            </w:r>
          </w:p>
        </w:tc>
        <w:tc>
          <w:tcPr>
            <w:tcW w:w="333" w:type="pct"/>
            <w:tcBorders>
              <w:top w:val="nil"/>
              <w:left w:val="nil"/>
              <w:bottom w:val="single" w:color="auto" w:sz="4" w:space="0"/>
              <w:right w:val="single" w:color="auto" w:sz="4" w:space="0"/>
            </w:tcBorders>
            <w:shd w:val="clear" w:color="auto" w:fill="auto"/>
            <w:vAlign w:val="center"/>
          </w:tcPr>
          <w:p w14:paraId="364A06FF">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99%</w:t>
            </w:r>
          </w:p>
        </w:tc>
        <w:tc>
          <w:tcPr>
            <w:tcW w:w="354" w:type="pct"/>
            <w:tcBorders>
              <w:top w:val="nil"/>
              <w:left w:val="nil"/>
              <w:bottom w:val="single" w:color="auto" w:sz="4" w:space="0"/>
              <w:right w:val="single" w:color="auto" w:sz="4" w:space="0"/>
            </w:tcBorders>
            <w:shd w:val="clear" w:color="auto" w:fill="auto"/>
            <w:vAlign w:val="center"/>
          </w:tcPr>
          <w:p w14:paraId="50FB2B2E">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4.95</w:t>
            </w:r>
          </w:p>
        </w:tc>
        <w:tc>
          <w:tcPr>
            <w:tcW w:w="901" w:type="pct"/>
            <w:tcBorders>
              <w:top w:val="nil"/>
              <w:left w:val="nil"/>
              <w:bottom w:val="single" w:color="auto" w:sz="4" w:space="0"/>
              <w:right w:val="single" w:color="auto" w:sz="4" w:space="0"/>
            </w:tcBorders>
            <w:shd w:val="clear" w:color="auto" w:fill="auto"/>
            <w:vAlign w:val="center"/>
          </w:tcPr>
          <w:p w14:paraId="4EB47141">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偏差原因：2023年在职员工减少2人，发放绩效数较上年减少。改进措施：下一年设置指标前进行评估，合理设置指标</w:t>
            </w:r>
          </w:p>
        </w:tc>
      </w:tr>
      <w:tr w14:paraId="6D566472">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220CE2D4">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auto" w:sz="4" w:space="0"/>
              <w:right w:val="single" w:color="auto" w:sz="4" w:space="0"/>
            </w:tcBorders>
            <w:vAlign w:val="center"/>
          </w:tcPr>
          <w:p w14:paraId="63669CAE">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nil"/>
              <w:right w:val="single" w:color="auto" w:sz="4" w:space="0"/>
            </w:tcBorders>
            <w:vAlign w:val="center"/>
          </w:tcPr>
          <w:p w14:paraId="7295ABDB">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72EED8E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信息系统开发或应用成本</w:t>
            </w:r>
          </w:p>
        </w:tc>
        <w:tc>
          <w:tcPr>
            <w:tcW w:w="816" w:type="pct"/>
            <w:tcBorders>
              <w:top w:val="nil"/>
              <w:left w:val="nil"/>
              <w:bottom w:val="single" w:color="auto" w:sz="4" w:space="0"/>
              <w:right w:val="single" w:color="auto" w:sz="4" w:space="0"/>
            </w:tcBorders>
            <w:shd w:val="clear" w:color="auto" w:fill="auto"/>
            <w:noWrap/>
            <w:vAlign w:val="center"/>
          </w:tcPr>
          <w:p w14:paraId="500523B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&lt;=41.6万元</w:t>
            </w:r>
          </w:p>
        </w:tc>
        <w:tc>
          <w:tcPr>
            <w:tcW w:w="534" w:type="pct"/>
            <w:tcBorders>
              <w:top w:val="nil"/>
              <w:left w:val="nil"/>
              <w:bottom w:val="single" w:color="auto" w:sz="4" w:space="0"/>
              <w:right w:val="single" w:color="auto" w:sz="4" w:space="0"/>
            </w:tcBorders>
            <w:shd w:val="clear" w:color="auto" w:fill="auto"/>
            <w:vAlign w:val="center"/>
          </w:tcPr>
          <w:p w14:paraId="7037E3B1">
            <w:pPr>
              <w:widowControl/>
              <w:jc w:val="center"/>
              <w:rPr>
                <w:rFonts w:hint="eastAsia" w:ascii="宋体" w:hAnsi="宋体" w:cs="宋体"/>
                <w:kern w:val="0"/>
                <w:sz w:val="18"/>
                <w:szCs w:val="18"/>
              </w:rPr>
            </w:pPr>
            <w:r>
              <w:rPr>
                <w:rFonts w:hint="eastAsia" w:ascii="宋体" w:hAnsi="宋体" w:cs="宋体"/>
                <w:kern w:val="0"/>
                <w:sz w:val="18"/>
                <w:szCs w:val="18"/>
              </w:rPr>
              <w:t>=41.6万元</w:t>
            </w:r>
          </w:p>
        </w:tc>
        <w:tc>
          <w:tcPr>
            <w:tcW w:w="333" w:type="pct"/>
            <w:tcBorders>
              <w:top w:val="nil"/>
              <w:left w:val="nil"/>
              <w:bottom w:val="single" w:color="auto" w:sz="4" w:space="0"/>
              <w:right w:val="single" w:color="auto" w:sz="4" w:space="0"/>
            </w:tcBorders>
            <w:shd w:val="clear" w:color="auto" w:fill="auto"/>
            <w:vAlign w:val="center"/>
          </w:tcPr>
          <w:p w14:paraId="2B26F0B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0FEC85A7">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5.00</w:t>
            </w:r>
          </w:p>
        </w:tc>
        <w:tc>
          <w:tcPr>
            <w:tcW w:w="901" w:type="pct"/>
            <w:tcBorders>
              <w:top w:val="nil"/>
              <w:left w:val="nil"/>
              <w:bottom w:val="single" w:color="auto" w:sz="4" w:space="0"/>
              <w:right w:val="single" w:color="auto" w:sz="4" w:space="0"/>
            </w:tcBorders>
            <w:shd w:val="clear" w:color="auto" w:fill="auto"/>
            <w:vAlign w:val="center"/>
          </w:tcPr>
          <w:p w14:paraId="7FD018D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0A77A968">
        <w:tblPrEx>
          <w:tblCellMar>
            <w:top w:w="0" w:type="dxa"/>
            <w:left w:w="108" w:type="dxa"/>
            <w:bottom w:w="0" w:type="dxa"/>
            <w:right w:w="108" w:type="dxa"/>
          </w:tblCellMar>
        </w:tblPrEx>
        <w:trPr>
          <w:trHeight w:val="1110" w:hRule="atLeast"/>
        </w:trPr>
        <w:tc>
          <w:tcPr>
            <w:tcW w:w="225" w:type="pct"/>
            <w:vMerge w:val="continue"/>
            <w:tcBorders>
              <w:top w:val="nil"/>
              <w:left w:val="single" w:color="auto" w:sz="4" w:space="0"/>
              <w:bottom w:val="single" w:color="auto" w:sz="4" w:space="0"/>
              <w:right w:val="single" w:color="auto" w:sz="4" w:space="0"/>
            </w:tcBorders>
            <w:vAlign w:val="center"/>
          </w:tcPr>
          <w:p w14:paraId="26584FFE">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auto" w:sz="4" w:space="0"/>
              <w:right w:val="single" w:color="auto" w:sz="4" w:space="0"/>
            </w:tcBorders>
            <w:vAlign w:val="center"/>
          </w:tcPr>
          <w:p w14:paraId="25019060">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nil"/>
              <w:right w:val="single" w:color="auto" w:sz="4" w:space="0"/>
            </w:tcBorders>
            <w:vAlign w:val="center"/>
          </w:tcPr>
          <w:p w14:paraId="480C8931">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23F8003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建设工程项目成本</w:t>
            </w:r>
          </w:p>
        </w:tc>
        <w:tc>
          <w:tcPr>
            <w:tcW w:w="816" w:type="pct"/>
            <w:tcBorders>
              <w:top w:val="nil"/>
              <w:left w:val="nil"/>
              <w:bottom w:val="single" w:color="auto" w:sz="4" w:space="0"/>
              <w:right w:val="single" w:color="auto" w:sz="4" w:space="0"/>
            </w:tcBorders>
            <w:shd w:val="clear" w:color="auto" w:fill="auto"/>
            <w:noWrap/>
            <w:vAlign w:val="center"/>
          </w:tcPr>
          <w:p w14:paraId="7C2DB2B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&lt;=2705万元</w:t>
            </w:r>
          </w:p>
        </w:tc>
        <w:tc>
          <w:tcPr>
            <w:tcW w:w="534" w:type="pct"/>
            <w:tcBorders>
              <w:top w:val="nil"/>
              <w:left w:val="nil"/>
              <w:bottom w:val="single" w:color="auto" w:sz="4" w:space="0"/>
              <w:right w:val="single" w:color="auto" w:sz="4" w:space="0"/>
            </w:tcBorders>
            <w:shd w:val="clear" w:color="auto" w:fill="auto"/>
            <w:vAlign w:val="center"/>
          </w:tcPr>
          <w:p w14:paraId="002D39A6">
            <w:pPr>
              <w:widowControl/>
              <w:jc w:val="center"/>
              <w:rPr>
                <w:rFonts w:hint="eastAsia" w:ascii="宋体" w:hAnsi="宋体" w:cs="宋体"/>
                <w:kern w:val="0"/>
                <w:sz w:val="18"/>
                <w:szCs w:val="18"/>
              </w:rPr>
            </w:pPr>
            <w:r>
              <w:rPr>
                <w:rFonts w:hint="eastAsia" w:ascii="宋体" w:hAnsi="宋体" w:cs="宋体"/>
                <w:kern w:val="0"/>
                <w:sz w:val="18"/>
                <w:szCs w:val="18"/>
              </w:rPr>
              <w:t>=2677.24万元</w:t>
            </w:r>
          </w:p>
        </w:tc>
        <w:tc>
          <w:tcPr>
            <w:tcW w:w="333" w:type="pct"/>
            <w:tcBorders>
              <w:top w:val="nil"/>
              <w:left w:val="nil"/>
              <w:bottom w:val="single" w:color="auto" w:sz="4" w:space="0"/>
              <w:right w:val="single" w:color="auto" w:sz="4" w:space="0"/>
            </w:tcBorders>
            <w:shd w:val="clear" w:color="auto" w:fill="auto"/>
            <w:vAlign w:val="center"/>
          </w:tcPr>
          <w:p w14:paraId="620946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99%</w:t>
            </w:r>
          </w:p>
        </w:tc>
        <w:tc>
          <w:tcPr>
            <w:tcW w:w="354" w:type="pct"/>
            <w:tcBorders>
              <w:top w:val="nil"/>
              <w:left w:val="nil"/>
              <w:bottom w:val="single" w:color="auto" w:sz="4" w:space="0"/>
              <w:right w:val="single" w:color="auto" w:sz="4" w:space="0"/>
            </w:tcBorders>
            <w:shd w:val="clear" w:color="auto" w:fill="auto"/>
            <w:vAlign w:val="center"/>
          </w:tcPr>
          <w:p w14:paraId="18EF35B2">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4.95</w:t>
            </w:r>
          </w:p>
        </w:tc>
        <w:tc>
          <w:tcPr>
            <w:tcW w:w="901" w:type="pct"/>
            <w:tcBorders>
              <w:top w:val="nil"/>
              <w:left w:val="nil"/>
              <w:bottom w:val="single" w:color="auto" w:sz="4" w:space="0"/>
              <w:right w:val="single" w:color="auto" w:sz="4" w:space="0"/>
            </w:tcBorders>
            <w:shd w:val="clear" w:color="auto" w:fill="auto"/>
            <w:vAlign w:val="center"/>
          </w:tcPr>
          <w:p w14:paraId="2BEBA723">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偏差原因：西山基础建设工程按照施工进度付款。改进措施：下一年设置指标前进行评估，合理设置指标</w:t>
            </w:r>
          </w:p>
        </w:tc>
      </w:tr>
      <w:tr w14:paraId="02C4E2A5">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2BAABD65">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auto" w:sz="4" w:space="0"/>
              <w:right w:val="single" w:color="auto" w:sz="4" w:space="0"/>
            </w:tcBorders>
            <w:vAlign w:val="center"/>
          </w:tcPr>
          <w:p w14:paraId="50309186">
            <w:pPr>
              <w:widowControl/>
              <w:jc w:val="left"/>
              <w:rPr>
                <w:rFonts w:ascii="宋体" w:hAnsi="宋体" w:cs="宋体"/>
                <w:color w:val="000000"/>
                <w:kern w:val="0"/>
                <w:sz w:val="18"/>
                <w:szCs w:val="18"/>
              </w:rPr>
            </w:pPr>
          </w:p>
        </w:tc>
        <w:tc>
          <w:tcPr>
            <w:tcW w:w="251" w:type="pct"/>
            <w:tcBorders>
              <w:top w:val="single" w:color="auto" w:sz="4" w:space="0"/>
              <w:left w:val="nil"/>
              <w:bottom w:val="single" w:color="auto" w:sz="4" w:space="0"/>
              <w:right w:val="single" w:color="auto" w:sz="4" w:space="0"/>
            </w:tcBorders>
            <w:shd w:val="clear" w:color="auto" w:fill="auto"/>
            <w:vAlign w:val="center"/>
          </w:tcPr>
          <w:p w14:paraId="724BA69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社会成本指标</w:t>
            </w:r>
          </w:p>
        </w:tc>
        <w:tc>
          <w:tcPr>
            <w:tcW w:w="1355" w:type="pct"/>
            <w:tcBorders>
              <w:top w:val="nil"/>
              <w:left w:val="nil"/>
              <w:bottom w:val="single" w:color="auto" w:sz="4" w:space="0"/>
              <w:right w:val="single" w:color="auto" w:sz="4" w:space="0"/>
            </w:tcBorders>
            <w:shd w:val="clear" w:color="auto" w:fill="auto"/>
            <w:vAlign w:val="center"/>
          </w:tcPr>
          <w:p w14:paraId="5B437BD9">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816" w:type="pct"/>
            <w:tcBorders>
              <w:top w:val="nil"/>
              <w:left w:val="nil"/>
              <w:bottom w:val="single" w:color="auto" w:sz="4" w:space="0"/>
              <w:right w:val="single" w:color="auto" w:sz="4" w:space="0"/>
            </w:tcBorders>
            <w:shd w:val="clear" w:color="auto" w:fill="auto"/>
            <w:noWrap/>
            <w:vAlign w:val="center"/>
          </w:tcPr>
          <w:p w14:paraId="46F3114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4" w:type="pct"/>
            <w:tcBorders>
              <w:top w:val="nil"/>
              <w:left w:val="nil"/>
              <w:bottom w:val="single" w:color="auto" w:sz="4" w:space="0"/>
              <w:right w:val="single" w:color="auto" w:sz="4" w:space="0"/>
            </w:tcBorders>
            <w:shd w:val="clear" w:color="auto" w:fill="auto"/>
            <w:vAlign w:val="center"/>
          </w:tcPr>
          <w:p w14:paraId="75EA4AF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33" w:type="pct"/>
            <w:tcBorders>
              <w:top w:val="nil"/>
              <w:left w:val="nil"/>
              <w:bottom w:val="single" w:color="auto" w:sz="4" w:space="0"/>
              <w:right w:val="single" w:color="auto" w:sz="4" w:space="0"/>
            </w:tcBorders>
            <w:shd w:val="clear" w:color="auto" w:fill="auto"/>
            <w:vAlign w:val="center"/>
          </w:tcPr>
          <w:p w14:paraId="384A1FA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54" w:type="pct"/>
            <w:tcBorders>
              <w:top w:val="nil"/>
              <w:left w:val="nil"/>
              <w:bottom w:val="single" w:color="auto" w:sz="4" w:space="0"/>
              <w:right w:val="single" w:color="auto" w:sz="4" w:space="0"/>
            </w:tcBorders>
            <w:shd w:val="clear" w:color="auto" w:fill="auto"/>
            <w:vAlign w:val="center"/>
          </w:tcPr>
          <w:p w14:paraId="0EADE9C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c>
          <w:tcPr>
            <w:tcW w:w="901" w:type="pct"/>
            <w:tcBorders>
              <w:top w:val="nil"/>
              <w:left w:val="nil"/>
              <w:bottom w:val="single" w:color="auto" w:sz="4" w:space="0"/>
              <w:right w:val="single" w:color="auto" w:sz="4" w:space="0"/>
            </w:tcBorders>
            <w:shd w:val="clear" w:color="auto" w:fill="auto"/>
            <w:vAlign w:val="center"/>
          </w:tcPr>
          <w:p w14:paraId="40EDED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4C6CE603">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563775A8">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auto" w:sz="4" w:space="0"/>
              <w:right w:val="single" w:color="auto" w:sz="4" w:space="0"/>
            </w:tcBorders>
            <w:vAlign w:val="center"/>
          </w:tcPr>
          <w:p w14:paraId="28A9A432">
            <w:pPr>
              <w:widowControl/>
              <w:jc w:val="left"/>
              <w:rPr>
                <w:rFonts w:ascii="宋体" w:hAnsi="宋体" w:cs="宋体"/>
                <w:color w:val="000000"/>
                <w:kern w:val="0"/>
                <w:sz w:val="18"/>
                <w:szCs w:val="18"/>
              </w:rPr>
            </w:pPr>
          </w:p>
        </w:tc>
        <w:tc>
          <w:tcPr>
            <w:tcW w:w="251" w:type="pct"/>
            <w:tcBorders>
              <w:top w:val="nil"/>
              <w:left w:val="nil"/>
              <w:bottom w:val="single" w:color="auto" w:sz="4" w:space="0"/>
              <w:right w:val="single" w:color="auto" w:sz="4" w:space="0"/>
            </w:tcBorders>
            <w:shd w:val="clear" w:color="auto" w:fill="auto"/>
            <w:vAlign w:val="center"/>
          </w:tcPr>
          <w:p w14:paraId="0F0CEDC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生态环境成本指标</w:t>
            </w:r>
          </w:p>
        </w:tc>
        <w:tc>
          <w:tcPr>
            <w:tcW w:w="1355" w:type="pct"/>
            <w:tcBorders>
              <w:top w:val="nil"/>
              <w:left w:val="nil"/>
              <w:bottom w:val="single" w:color="auto" w:sz="4" w:space="0"/>
              <w:right w:val="single" w:color="auto" w:sz="4" w:space="0"/>
            </w:tcBorders>
            <w:shd w:val="clear" w:color="auto" w:fill="auto"/>
            <w:vAlign w:val="center"/>
          </w:tcPr>
          <w:p w14:paraId="7E0BB0E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816" w:type="pct"/>
            <w:tcBorders>
              <w:top w:val="nil"/>
              <w:left w:val="nil"/>
              <w:bottom w:val="single" w:color="auto" w:sz="4" w:space="0"/>
              <w:right w:val="single" w:color="auto" w:sz="4" w:space="0"/>
            </w:tcBorders>
            <w:shd w:val="clear" w:color="auto" w:fill="auto"/>
            <w:noWrap/>
            <w:vAlign w:val="center"/>
          </w:tcPr>
          <w:p w14:paraId="218F840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4" w:type="pct"/>
            <w:tcBorders>
              <w:top w:val="nil"/>
              <w:left w:val="nil"/>
              <w:bottom w:val="single" w:color="auto" w:sz="4" w:space="0"/>
              <w:right w:val="single" w:color="auto" w:sz="4" w:space="0"/>
            </w:tcBorders>
            <w:shd w:val="clear" w:color="auto" w:fill="auto"/>
            <w:vAlign w:val="center"/>
          </w:tcPr>
          <w:p w14:paraId="19C9249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33" w:type="pct"/>
            <w:tcBorders>
              <w:top w:val="nil"/>
              <w:left w:val="nil"/>
              <w:bottom w:val="single" w:color="auto" w:sz="4" w:space="0"/>
              <w:right w:val="single" w:color="auto" w:sz="4" w:space="0"/>
            </w:tcBorders>
            <w:shd w:val="clear" w:color="auto" w:fill="auto"/>
            <w:vAlign w:val="center"/>
          </w:tcPr>
          <w:p w14:paraId="548C733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54" w:type="pct"/>
            <w:tcBorders>
              <w:top w:val="nil"/>
              <w:left w:val="nil"/>
              <w:bottom w:val="single" w:color="auto" w:sz="4" w:space="0"/>
              <w:right w:val="single" w:color="auto" w:sz="4" w:space="0"/>
            </w:tcBorders>
            <w:shd w:val="clear" w:color="auto" w:fill="auto"/>
            <w:vAlign w:val="center"/>
          </w:tcPr>
          <w:p w14:paraId="2B2DDD94">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c>
          <w:tcPr>
            <w:tcW w:w="901" w:type="pct"/>
            <w:tcBorders>
              <w:top w:val="nil"/>
              <w:left w:val="nil"/>
              <w:bottom w:val="single" w:color="auto" w:sz="4" w:space="0"/>
              <w:right w:val="single" w:color="auto" w:sz="4" w:space="0"/>
            </w:tcBorders>
            <w:shd w:val="clear" w:color="auto" w:fill="auto"/>
            <w:vAlign w:val="center"/>
          </w:tcPr>
          <w:p w14:paraId="199A38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6A36CEA3">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08C0D71C">
            <w:pPr>
              <w:widowControl/>
              <w:jc w:val="left"/>
              <w:rPr>
                <w:rFonts w:ascii="宋体" w:hAnsi="宋体" w:cs="宋体"/>
                <w:color w:val="000000"/>
                <w:kern w:val="0"/>
                <w:sz w:val="18"/>
                <w:szCs w:val="18"/>
              </w:rPr>
            </w:pPr>
          </w:p>
        </w:tc>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690914B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251" w:type="pct"/>
            <w:tcBorders>
              <w:top w:val="nil"/>
              <w:left w:val="nil"/>
              <w:bottom w:val="single" w:color="auto" w:sz="4" w:space="0"/>
              <w:right w:val="single" w:color="auto" w:sz="4" w:space="0"/>
            </w:tcBorders>
            <w:shd w:val="clear" w:color="auto" w:fill="auto"/>
            <w:vAlign w:val="center"/>
          </w:tcPr>
          <w:p w14:paraId="1C6D0F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1355" w:type="pct"/>
            <w:tcBorders>
              <w:top w:val="nil"/>
              <w:left w:val="nil"/>
              <w:bottom w:val="single" w:color="auto" w:sz="4" w:space="0"/>
              <w:right w:val="single" w:color="auto" w:sz="4" w:space="0"/>
            </w:tcBorders>
            <w:shd w:val="clear" w:color="auto" w:fill="auto"/>
            <w:vAlign w:val="center"/>
          </w:tcPr>
          <w:p w14:paraId="1EF177E9">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816" w:type="pct"/>
            <w:tcBorders>
              <w:top w:val="nil"/>
              <w:left w:val="nil"/>
              <w:bottom w:val="single" w:color="auto" w:sz="4" w:space="0"/>
              <w:right w:val="single" w:color="auto" w:sz="4" w:space="0"/>
            </w:tcBorders>
            <w:shd w:val="clear" w:color="auto" w:fill="auto"/>
            <w:noWrap/>
            <w:vAlign w:val="center"/>
          </w:tcPr>
          <w:p w14:paraId="3091E52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4" w:type="pct"/>
            <w:tcBorders>
              <w:top w:val="nil"/>
              <w:left w:val="nil"/>
              <w:bottom w:val="single" w:color="auto" w:sz="4" w:space="0"/>
              <w:right w:val="single" w:color="auto" w:sz="4" w:space="0"/>
            </w:tcBorders>
            <w:shd w:val="clear" w:color="auto" w:fill="auto"/>
            <w:vAlign w:val="center"/>
          </w:tcPr>
          <w:p w14:paraId="6812171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33" w:type="pct"/>
            <w:tcBorders>
              <w:top w:val="nil"/>
              <w:left w:val="nil"/>
              <w:bottom w:val="single" w:color="auto" w:sz="4" w:space="0"/>
              <w:right w:val="single" w:color="auto" w:sz="4" w:space="0"/>
            </w:tcBorders>
            <w:shd w:val="clear" w:color="auto" w:fill="auto"/>
            <w:vAlign w:val="center"/>
          </w:tcPr>
          <w:p w14:paraId="190D819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54" w:type="pct"/>
            <w:tcBorders>
              <w:top w:val="nil"/>
              <w:left w:val="nil"/>
              <w:bottom w:val="single" w:color="auto" w:sz="4" w:space="0"/>
              <w:right w:val="single" w:color="auto" w:sz="4" w:space="0"/>
            </w:tcBorders>
            <w:shd w:val="clear" w:color="auto" w:fill="auto"/>
            <w:vAlign w:val="center"/>
          </w:tcPr>
          <w:p w14:paraId="363221D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c>
          <w:tcPr>
            <w:tcW w:w="901" w:type="pct"/>
            <w:tcBorders>
              <w:top w:val="nil"/>
              <w:left w:val="nil"/>
              <w:bottom w:val="single" w:color="auto" w:sz="4" w:space="0"/>
              <w:right w:val="single" w:color="auto" w:sz="4" w:space="0"/>
            </w:tcBorders>
            <w:shd w:val="clear" w:color="auto" w:fill="auto"/>
            <w:vAlign w:val="center"/>
          </w:tcPr>
          <w:p w14:paraId="3C497C6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4F8BE0F3">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53A24524">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auto" w:sz="4" w:space="0"/>
              <w:right w:val="single" w:color="auto" w:sz="4" w:space="0"/>
            </w:tcBorders>
            <w:vAlign w:val="center"/>
          </w:tcPr>
          <w:p w14:paraId="13434E92">
            <w:pPr>
              <w:widowControl/>
              <w:jc w:val="left"/>
              <w:rPr>
                <w:rFonts w:ascii="宋体" w:hAnsi="宋体" w:cs="宋体"/>
                <w:color w:val="000000"/>
                <w:kern w:val="0"/>
                <w:sz w:val="18"/>
                <w:szCs w:val="18"/>
              </w:rPr>
            </w:pPr>
          </w:p>
        </w:tc>
        <w:tc>
          <w:tcPr>
            <w:tcW w:w="251" w:type="pct"/>
            <w:tcBorders>
              <w:top w:val="nil"/>
              <w:left w:val="nil"/>
              <w:bottom w:val="single" w:color="auto" w:sz="4" w:space="0"/>
              <w:right w:val="single" w:color="auto" w:sz="4" w:space="0"/>
            </w:tcBorders>
            <w:shd w:val="clear" w:color="auto" w:fill="auto"/>
            <w:vAlign w:val="center"/>
          </w:tcPr>
          <w:p w14:paraId="1829FE6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1355" w:type="pct"/>
            <w:tcBorders>
              <w:top w:val="nil"/>
              <w:left w:val="nil"/>
              <w:bottom w:val="single" w:color="auto" w:sz="4" w:space="0"/>
              <w:right w:val="single" w:color="auto" w:sz="4" w:space="0"/>
            </w:tcBorders>
            <w:shd w:val="clear" w:color="auto" w:fill="auto"/>
            <w:vAlign w:val="center"/>
          </w:tcPr>
          <w:p w14:paraId="1E10595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专项检测设备利用率</w:t>
            </w:r>
          </w:p>
        </w:tc>
        <w:tc>
          <w:tcPr>
            <w:tcW w:w="816" w:type="pct"/>
            <w:tcBorders>
              <w:top w:val="nil"/>
              <w:left w:val="nil"/>
              <w:bottom w:val="single" w:color="auto" w:sz="4" w:space="0"/>
              <w:right w:val="single" w:color="auto" w:sz="4" w:space="0"/>
            </w:tcBorders>
            <w:shd w:val="clear" w:color="auto" w:fill="auto"/>
            <w:noWrap/>
            <w:vAlign w:val="center"/>
          </w:tcPr>
          <w:p w14:paraId="7440BF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534" w:type="pct"/>
            <w:tcBorders>
              <w:top w:val="nil"/>
              <w:left w:val="nil"/>
              <w:bottom w:val="single" w:color="auto" w:sz="4" w:space="0"/>
              <w:right w:val="single" w:color="auto" w:sz="4" w:space="0"/>
            </w:tcBorders>
            <w:shd w:val="clear" w:color="000000" w:fill="FFFF00"/>
            <w:vAlign w:val="center"/>
          </w:tcPr>
          <w:p w14:paraId="7300F5E9">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333" w:type="pct"/>
            <w:tcBorders>
              <w:top w:val="nil"/>
              <w:left w:val="nil"/>
              <w:bottom w:val="single" w:color="auto" w:sz="4" w:space="0"/>
              <w:right w:val="single" w:color="auto" w:sz="4" w:space="0"/>
            </w:tcBorders>
            <w:shd w:val="clear" w:color="auto" w:fill="auto"/>
            <w:vAlign w:val="center"/>
          </w:tcPr>
          <w:p w14:paraId="06E6D15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5FF9235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10</w:t>
            </w:r>
          </w:p>
        </w:tc>
        <w:tc>
          <w:tcPr>
            <w:tcW w:w="901" w:type="pct"/>
            <w:tcBorders>
              <w:top w:val="nil"/>
              <w:left w:val="nil"/>
              <w:bottom w:val="single" w:color="auto" w:sz="4" w:space="0"/>
              <w:right w:val="single" w:color="auto" w:sz="4" w:space="0"/>
            </w:tcBorders>
            <w:shd w:val="clear" w:color="auto" w:fill="auto"/>
            <w:vAlign w:val="center"/>
          </w:tcPr>
          <w:p w14:paraId="73CE61D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21ACA5DC">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4441A983">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auto" w:sz="4" w:space="0"/>
              <w:right w:val="single" w:color="auto" w:sz="4" w:space="0"/>
            </w:tcBorders>
            <w:vAlign w:val="center"/>
          </w:tcPr>
          <w:p w14:paraId="2610DB43">
            <w:pPr>
              <w:widowControl/>
              <w:jc w:val="left"/>
              <w:rPr>
                <w:rFonts w:ascii="宋体" w:hAnsi="宋体" w:cs="宋体"/>
                <w:color w:val="000000"/>
                <w:kern w:val="0"/>
                <w:sz w:val="18"/>
                <w:szCs w:val="18"/>
              </w:rPr>
            </w:pPr>
          </w:p>
        </w:tc>
        <w:tc>
          <w:tcPr>
            <w:tcW w:w="251" w:type="pct"/>
            <w:tcBorders>
              <w:top w:val="nil"/>
              <w:left w:val="nil"/>
              <w:bottom w:val="single" w:color="auto" w:sz="4" w:space="0"/>
              <w:right w:val="single" w:color="auto" w:sz="4" w:space="0"/>
            </w:tcBorders>
            <w:shd w:val="clear" w:color="auto" w:fill="auto"/>
            <w:vAlign w:val="center"/>
          </w:tcPr>
          <w:p w14:paraId="6FB8568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生态效益指标</w:t>
            </w:r>
          </w:p>
        </w:tc>
        <w:tc>
          <w:tcPr>
            <w:tcW w:w="1355" w:type="pct"/>
            <w:tcBorders>
              <w:top w:val="nil"/>
              <w:left w:val="nil"/>
              <w:bottom w:val="single" w:color="auto" w:sz="4" w:space="0"/>
              <w:right w:val="single" w:color="auto" w:sz="4" w:space="0"/>
            </w:tcBorders>
            <w:shd w:val="clear" w:color="auto" w:fill="auto"/>
            <w:vAlign w:val="center"/>
          </w:tcPr>
          <w:p w14:paraId="0DDD6EC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提升检验检测高技术服务能力</w:t>
            </w:r>
          </w:p>
        </w:tc>
        <w:tc>
          <w:tcPr>
            <w:tcW w:w="816" w:type="pct"/>
            <w:tcBorders>
              <w:top w:val="nil"/>
              <w:left w:val="nil"/>
              <w:bottom w:val="single" w:color="auto" w:sz="4" w:space="0"/>
              <w:right w:val="single" w:color="auto" w:sz="4" w:space="0"/>
            </w:tcBorders>
            <w:shd w:val="clear" w:color="auto" w:fill="auto"/>
            <w:vAlign w:val="center"/>
          </w:tcPr>
          <w:p w14:paraId="02EFEFC3">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534" w:type="pct"/>
            <w:tcBorders>
              <w:top w:val="nil"/>
              <w:left w:val="nil"/>
              <w:bottom w:val="single" w:color="auto" w:sz="4" w:space="0"/>
              <w:right w:val="single" w:color="auto" w:sz="4" w:space="0"/>
            </w:tcBorders>
            <w:shd w:val="clear" w:color="auto" w:fill="auto"/>
            <w:vAlign w:val="center"/>
          </w:tcPr>
          <w:p w14:paraId="49CDBE0B">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333" w:type="pct"/>
            <w:tcBorders>
              <w:top w:val="nil"/>
              <w:left w:val="nil"/>
              <w:bottom w:val="single" w:color="auto" w:sz="4" w:space="0"/>
              <w:right w:val="single" w:color="auto" w:sz="4" w:space="0"/>
            </w:tcBorders>
            <w:shd w:val="clear" w:color="auto" w:fill="auto"/>
            <w:vAlign w:val="center"/>
          </w:tcPr>
          <w:p w14:paraId="75007A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2E609F56">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10</w:t>
            </w:r>
          </w:p>
        </w:tc>
        <w:tc>
          <w:tcPr>
            <w:tcW w:w="901" w:type="pct"/>
            <w:tcBorders>
              <w:top w:val="nil"/>
              <w:left w:val="nil"/>
              <w:bottom w:val="single" w:color="auto" w:sz="4" w:space="0"/>
              <w:right w:val="single" w:color="auto" w:sz="4" w:space="0"/>
            </w:tcBorders>
            <w:shd w:val="clear" w:color="auto" w:fill="auto"/>
            <w:vAlign w:val="center"/>
          </w:tcPr>
          <w:p w14:paraId="4BCD651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1B43B2C">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7763B5B8">
            <w:pPr>
              <w:widowControl/>
              <w:jc w:val="left"/>
              <w:rPr>
                <w:rFonts w:ascii="宋体" w:hAnsi="宋体" w:cs="宋体"/>
                <w:color w:val="000000"/>
                <w:kern w:val="0"/>
                <w:sz w:val="18"/>
                <w:szCs w:val="18"/>
              </w:rPr>
            </w:pPr>
          </w:p>
        </w:tc>
        <w:tc>
          <w:tcPr>
            <w:tcW w:w="225" w:type="pct"/>
            <w:vMerge w:val="restart"/>
            <w:tcBorders>
              <w:top w:val="nil"/>
              <w:left w:val="single" w:color="auto" w:sz="4" w:space="0"/>
              <w:bottom w:val="single" w:color="000000" w:sz="4" w:space="0"/>
              <w:right w:val="single" w:color="auto" w:sz="4" w:space="0"/>
            </w:tcBorders>
            <w:shd w:val="clear" w:color="auto" w:fill="auto"/>
            <w:vAlign w:val="center"/>
          </w:tcPr>
          <w:p w14:paraId="473F5B0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251" w:type="pct"/>
            <w:vMerge w:val="restart"/>
            <w:tcBorders>
              <w:top w:val="nil"/>
              <w:left w:val="single" w:color="auto" w:sz="4" w:space="0"/>
              <w:bottom w:val="single" w:color="000000" w:sz="4" w:space="0"/>
              <w:right w:val="single" w:color="auto" w:sz="4" w:space="0"/>
            </w:tcBorders>
            <w:shd w:val="clear" w:color="auto" w:fill="auto"/>
            <w:vAlign w:val="center"/>
          </w:tcPr>
          <w:p w14:paraId="649376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1355" w:type="pct"/>
            <w:tcBorders>
              <w:top w:val="nil"/>
              <w:left w:val="nil"/>
              <w:bottom w:val="single" w:color="auto" w:sz="4" w:space="0"/>
              <w:right w:val="single" w:color="auto" w:sz="4" w:space="0"/>
            </w:tcBorders>
            <w:shd w:val="clear" w:color="auto" w:fill="auto"/>
            <w:vAlign w:val="center"/>
          </w:tcPr>
          <w:p w14:paraId="0822DE2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专项检测设备使用人员满意度</w:t>
            </w:r>
          </w:p>
        </w:tc>
        <w:tc>
          <w:tcPr>
            <w:tcW w:w="816" w:type="pct"/>
            <w:tcBorders>
              <w:top w:val="nil"/>
              <w:left w:val="nil"/>
              <w:bottom w:val="single" w:color="auto" w:sz="4" w:space="0"/>
              <w:right w:val="single" w:color="auto" w:sz="4" w:space="0"/>
            </w:tcBorders>
            <w:shd w:val="clear" w:color="auto" w:fill="auto"/>
            <w:noWrap/>
            <w:vAlign w:val="center"/>
          </w:tcPr>
          <w:p w14:paraId="3CB062B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534" w:type="pct"/>
            <w:tcBorders>
              <w:top w:val="nil"/>
              <w:left w:val="nil"/>
              <w:bottom w:val="single" w:color="auto" w:sz="4" w:space="0"/>
              <w:right w:val="single" w:color="auto" w:sz="4" w:space="0"/>
            </w:tcBorders>
            <w:shd w:val="clear" w:color="auto" w:fill="auto"/>
            <w:vAlign w:val="center"/>
          </w:tcPr>
          <w:p w14:paraId="55C6FDCF">
            <w:pPr>
              <w:widowControl/>
              <w:jc w:val="center"/>
              <w:rPr>
                <w:rFonts w:hint="eastAsia" w:ascii="宋体" w:hAnsi="宋体" w:cs="宋体"/>
                <w:kern w:val="0"/>
                <w:sz w:val="18"/>
                <w:szCs w:val="18"/>
              </w:rPr>
            </w:pPr>
            <w:r>
              <w:rPr>
                <w:rFonts w:hint="eastAsia" w:ascii="宋体" w:hAnsi="宋体" w:cs="宋体"/>
                <w:kern w:val="0"/>
                <w:sz w:val="18"/>
                <w:szCs w:val="18"/>
              </w:rPr>
              <w:t>99%</w:t>
            </w:r>
          </w:p>
        </w:tc>
        <w:tc>
          <w:tcPr>
            <w:tcW w:w="333" w:type="pct"/>
            <w:tcBorders>
              <w:top w:val="nil"/>
              <w:left w:val="nil"/>
              <w:bottom w:val="single" w:color="auto" w:sz="4" w:space="0"/>
              <w:right w:val="single" w:color="auto" w:sz="4" w:space="0"/>
            </w:tcBorders>
            <w:shd w:val="clear" w:color="auto" w:fill="auto"/>
            <w:vAlign w:val="center"/>
          </w:tcPr>
          <w:p w14:paraId="4E03E26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0611CBC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5</w:t>
            </w:r>
          </w:p>
        </w:tc>
        <w:tc>
          <w:tcPr>
            <w:tcW w:w="901" w:type="pct"/>
            <w:tcBorders>
              <w:top w:val="nil"/>
              <w:left w:val="nil"/>
              <w:bottom w:val="single" w:color="auto" w:sz="4" w:space="0"/>
              <w:right w:val="single" w:color="auto" w:sz="4" w:space="0"/>
            </w:tcBorders>
            <w:shd w:val="clear" w:color="auto" w:fill="auto"/>
            <w:vAlign w:val="center"/>
          </w:tcPr>
          <w:p w14:paraId="73C3983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3217153">
        <w:tblPrEx>
          <w:tblCellMar>
            <w:top w:w="0" w:type="dxa"/>
            <w:left w:w="108" w:type="dxa"/>
            <w:bottom w:w="0" w:type="dxa"/>
            <w:right w:w="108" w:type="dxa"/>
          </w:tblCellMar>
        </w:tblPrEx>
        <w:trPr>
          <w:trHeight w:val="600" w:hRule="atLeast"/>
        </w:trPr>
        <w:tc>
          <w:tcPr>
            <w:tcW w:w="225" w:type="pct"/>
            <w:vMerge w:val="continue"/>
            <w:tcBorders>
              <w:top w:val="nil"/>
              <w:left w:val="single" w:color="auto" w:sz="4" w:space="0"/>
              <w:bottom w:val="single" w:color="auto" w:sz="4" w:space="0"/>
              <w:right w:val="single" w:color="auto" w:sz="4" w:space="0"/>
            </w:tcBorders>
            <w:vAlign w:val="center"/>
          </w:tcPr>
          <w:p w14:paraId="6A4EC6BF">
            <w:pPr>
              <w:widowControl/>
              <w:jc w:val="left"/>
              <w:rPr>
                <w:rFonts w:ascii="宋体" w:hAnsi="宋体" w:cs="宋体"/>
                <w:color w:val="000000"/>
                <w:kern w:val="0"/>
                <w:sz w:val="18"/>
                <w:szCs w:val="18"/>
              </w:rPr>
            </w:pPr>
          </w:p>
        </w:tc>
        <w:tc>
          <w:tcPr>
            <w:tcW w:w="225" w:type="pct"/>
            <w:vMerge w:val="continue"/>
            <w:tcBorders>
              <w:top w:val="nil"/>
              <w:left w:val="single" w:color="auto" w:sz="4" w:space="0"/>
              <w:bottom w:val="single" w:color="000000" w:sz="4" w:space="0"/>
              <w:right w:val="single" w:color="auto" w:sz="4" w:space="0"/>
            </w:tcBorders>
            <w:vAlign w:val="center"/>
          </w:tcPr>
          <w:p w14:paraId="6B2B7D54">
            <w:pPr>
              <w:widowControl/>
              <w:jc w:val="left"/>
              <w:rPr>
                <w:rFonts w:ascii="宋体" w:hAnsi="宋体" w:cs="宋体"/>
                <w:color w:val="000000"/>
                <w:kern w:val="0"/>
                <w:sz w:val="18"/>
                <w:szCs w:val="18"/>
              </w:rPr>
            </w:pPr>
          </w:p>
        </w:tc>
        <w:tc>
          <w:tcPr>
            <w:tcW w:w="251" w:type="pct"/>
            <w:vMerge w:val="continue"/>
            <w:tcBorders>
              <w:top w:val="nil"/>
              <w:left w:val="single" w:color="auto" w:sz="4" w:space="0"/>
              <w:bottom w:val="single" w:color="000000" w:sz="4" w:space="0"/>
              <w:right w:val="single" w:color="auto" w:sz="4" w:space="0"/>
            </w:tcBorders>
            <w:vAlign w:val="center"/>
          </w:tcPr>
          <w:p w14:paraId="7E73E796">
            <w:pPr>
              <w:widowControl/>
              <w:jc w:val="left"/>
              <w:rPr>
                <w:rFonts w:ascii="宋体" w:hAnsi="宋体" w:cs="宋体"/>
                <w:color w:val="000000"/>
                <w:kern w:val="0"/>
                <w:sz w:val="18"/>
                <w:szCs w:val="18"/>
              </w:rPr>
            </w:pPr>
          </w:p>
        </w:tc>
        <w:tc>
          <w:tcPr>
            <w:tcW w:w="1355" w:type="pct"/>
            <w:tcBorders>
              <w:top w:val="nil"/>
              <w:left w:val="nil"/>
              <w:bottom w:val="single" w:color="auto" w:sz="4" w:space="0"/>
              <w:right w:val="single" w:color="auto" w:sz="4" w:space="0"/>
            </w:tcBorders>
            <w:shd w:val="clear" w:color="auto" w:fill="auto"/>
            <w:vAlign w:val="center"/>
          </w:tcPr>
          <w:p w14:paraId="3F88713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被检测单位满意度</w:t>
            </w:r>
          </w:p>
        </w:tc>
        <w:tc>
          <w:tcPr>
            <w:tcW w:w="816" w:type="pct"/>
            <w:tcBorders>
              <w:top w:val="nil"/>
              <w:left w:val="nil"/>
              <w:bottom w:val="single" w:color="auto" w:sz="4" w:space="0"/>
              <w:right w:val="single" w:color="auto" w:sz="4" w:space="0"/>
            </w:tcBorders>
            <w:shd w:val="clear" w:color="auto" w:fill="auto"/>
            <w:noWrap/>
            <w:vAlign w:val="center"/>
          </w:tcPr>
          <w:p w14:paraId="706CDB7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534" w:type="pct"/>
            <w:tcBorders>
              <w:top w:val="nil"/>
              <w:left w:val="nil"/>
              <w:bottom w:val="single" w:color="auto" w:sz="4" w:space="0"/>
              <w:right w:val="single" w:color="auto" w:sz="4" w:space="0"/>
            </w:tcBorders>
            <w:shd w:val="clear" w:color="auto" w:fill="auto"/>
            <w:vAlign w:val="center"/>
          </w:tcPr>
          <w:p w14:paraId="1B2D62AB">
            <w:pPr>
              <w:widowControl/>
              <w:jc w:val="center"/>
              <w:rPr>
                <w:rFonts w:hint="eastAsia" w:ascii="宋体" w:hAnsi="宋体" w:cs="宋体"/>
                <w:kern w:val="0"/>
                <w:sz w:val="18"/>
                <w:szCs w:val="18"/>
              </w:rPr>
            </w:pPr>
            <w:r>
              <w:rPr>
                <w:rFonts w:hint="eastAsia" w:ascii="宋体" w:hAnsi="宋体" w:cs="宋体"/>
                <w:kern w:val="0"/>
                <w:sz w:val="18"/>
                <w:szCs w:val="18"/>
              </w:rPr>
              <w:t>99%</w:t>
            </w:r>
          </w:p>
        </w:tc>
        <w:tc>
          <w:tcPr>
            <w:tcW w:w="333" w:type="pct"/>
            <w:tcBorders>
              <w:top w:val="nil"/>
              <w:left w:val="nil"/>
              <w:bottom w:val="single" w:color="auto" w:sz="4" w:space="0"/>
              <w:right w:val="single" w:color="auto" w:sz="4" w:space="0"/>
            </w:tcBorders>
            <w:shd w:val="clear" w:color="auto" w:fill="auto"/>
            <w:vAlign w:val="center"/>
          </w:tcPr>
          <w:p w14:paraId="372EF13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354" w:type="pct"/>
            <w:tcBorders>
              <w:top w:val="nil"/>
              <w:left w:val="nil"/>
              <w:bottom w:val="single" w:color="auto" w:sz="4" w:space="0"/>
              <w:right w:val="single" w:color="auto" w:sz="4" w:space="0"/>
            </w:tcBorders>
            <w:shd w:val="clear" w:color="auto" w:fill="auto"/>
            <w:vAlign w:val="center"/>
          </w:tcPr>
          <w:p w14:paraId="1EE7D20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5</w:t>
            </w:r>
          </w:p>
        </w:tc>
        <w:tc>
          <w:tcPr>
            <w:tcW w:w="901" w:type="pct"/>
            <w:tcBorders>
              <w:top w:val="nil"/>
              <w:left w:val="nil"/>
              <w:bottom w:val="single" w:color="auto" w:sz="4" w:space="0"/>
              <w:right w:val="single" w:color="auto" w:sz="4" w:space="0"/>
            </w:tcBorders>
            <w:shd w:val="clear" w:color="auto" w:fill="auto"/>
            <w:vAlign w:val="center"/>
          </w:tcPr>
          <w:p w14:paraId="3E71E9C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0562F2D9">
        <w:tblPrEx>
          <w:tblCellMar>
            <w:top w:w="0" w:type="dxa"/>
            <w:left w:w="108" w:type="dxa"/>
            <w:bottom w:w="0" w:type="dxa"/>
            <w:right w:w="108" w:type="dxa"/>
          </w:tblCellMar>
        </w:tblPrEx>
        <w:trPr>
          <w:trHeight w:val="400" w:hRule="atLeast"/>
        </w:trPr>
        <w:tc>
          <w:tcPr>
            <w:tcW w:w="225" w:type="pct"/>
            <w:tcBorders>
              <w:top w:val="nil"/>
              <w:left w:val="single" w:color="auto" w:sz="4" w:space="0"/>
              <w:bottom w:val="single" w:color="auto" w:sz="4" w:space="0"/>
              <w:right w:val="nil"/>
            </w:tcBorders>
            <w:shd w:val="clear" w:color="auto" w:fill="auto"/>
            <w:vAlign w:val="center"/>
          </w:tcPr>
          <w:p w14:paraId="250539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总分</w:t>
            </w:r>
          </w:p>
        </w:tc>
        <w:tc>
          <w:tcPr>
            <w:tcW w:w="225" w:type="pct"/>
            <w:tcBorders>
              <w:top w:val="nil"/>
              <w:left w:val="nil"/>
              <w:bottom w:val="single" w:color="auto" w:sz="4" w:space="0"/>
              <w:right w:val="nil"/>
            </w:tcBorders>
            <w:shd w:val="clear" w:color="auto" w:fill="auto"/>
            <w:vAlign w:val="center"/>
          </w:tcPr>
          <w:p w14:paraId="5474D32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51" w:type="pct"/>
            <w:tcBorders>
              <w:top w:val="nil"/>
              <w:left w:val="nil"/>
              <w:bottom w:val="single" w:color="auto" w:sz="4" w:space="0"/>
              <w:right w:val="nil"/>
            </w:tcBorders>
            <w:shd w:val="clear" w:color="auto" w:fill="auto"/>
            <w:vAlign w:val="center"/>
          </w:tcPr>
          <w:p w14:paraId="20D5939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1355" w:type="pct"/>
            <w:tcBorders>
              <w:top w:val="nil"/>
              <w:left w:val="single" w:color="auto" w:sz="4" w:space="0"/>
              <w:bottom w:val="single" w:color="auto" w:sz="4" w:space="0"/>
              <w:right w:val="single" w:color="auto" w:sz="4" w:space="0"/>
            </w:tcBorders>
            <w:shd w:val="clear" w:color="auto" w:fill="auto"/>
            <w:vAlign w:val="center"/>
          </w:tcPr>
          <w:p w14:paraId="3C8C4E4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816" w:type="pct"/>
            <w:tcBorders>
              <w:top w:val="nil"/>
              <w:left w:val="nil"/>
              <w:bottom w:val="single" w:color="auto" w:sz="4" w:space="0"/>
              <w:right w:val="single" w:color="auto" w:sz="4" w:space="0"/>
            </w:tcBorders>
            <w:shd w:val="clear" w:color="auto" w:fill="auto"/>
            <w:noWrap/>
            <w:vAlign w:val="center"/>
          </w:tcPr>
          <w:p w14:paraId="6DA35F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4" w:type="pct"/>
            <w:tcBorders>
              <w:top w:val="nil"/>
              <w:left w:val="nil"/>
              <w:bottom w:val="single" w:color="auto" w:sz="4" w:space="0"/>
              <w:right w:val="single" w:color="auto" w:sz="4" w:space="0"/>
            </w:tcBorders>
            <w:shd w:val="clear" w:color="auto" w:fill="auto"/>
            <w:vAlign w:val="center"/>
          </w:tcPr>
          <w:p w14:paraId="2FA4873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33" w:type="pct"/>
            <w:tcBorders>
              <w:top w:val="nil"/>
              <w:left w:val="nil"/>
              <w:bottom w:val="single" w:color="auto" w:sz="4" w:space="0"/>
              <w:right w:val="single" w:color="auto" w:sz="4" w:space="0"/>
            </w:tcBorders>
            <w:shd w:val="clear" w:color="auto" w:fill="auto"/>
            <w:vAlign w:val="center"/>
          </w:tcPr>
          <w:p w14:paraId="55E3AA0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54" w:type="pct"/>
            <w:tcBorders>
              <w:top w:val="nil"/>
              <w:left w:val="nil"/>
              <w:bottom w:val="single" w:color="auto" w:sz="4" w:space="0"/>
              <w:right w:val="single" w:color="auto" w:sz="4" w:space="0"/>
            </w:tcBorders>
            <w:shd w:val="clear" w:color="auto" w:fill="auto"/>
            <w:vAlign w:val="center"/>
          </w:tcPr>
          <w:p w14:paraId="19FEF47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c>
          <w:tcPr>
            <w:tcW w:w="901" w:type="pct"/>
            <w:tcBorders>
              <w:top w:val="nil"/>
              <w:left w:val="nil"/>
              <w:bottom w:val="single" w:color="auto" w:sz="4" w:space="0"/>
              <w:right w:val="single" w:color="auto" w:sz="4" w:space="0"/>
            </w:tcBorders>
            <w:shd w:val="clear" w:color="auto" w:fill="auto"/>
            <w:vAlign w:val="center"/>
          </w:tcPr>
          <w:p w14:paraId="64F426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14:paraId="6BBACF77">
      <w:pPr>
        <w:pStyle w:val="2"/>
        <w:jc w:val="both"/>
        <w:rPr>
          <w:rFonts w:hint="eastAsia" w:ascii="Times New Roman" w:hAnsi="Times New Roman"/>
        </w:rPr>
        <w:sectPr>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F717799">
      <w:pPr>
        <w:spacing w:line="600" w:lineRule="exact"/>
        <w:rPr>
          <w:bCs/>
          <w:sz w:val="32"/>
          <w:szCs w:val="32"/>
        </w:rPr>
      </w:pPr>
      <w:r>
        <w:rPr>
          <w:bCs/>
          <w:sz w:val="32"/>
          <w:szCs w:val="32"/>
        </w:rPr>
        <w:t>附件1</w:t>
      </w:r>
    </w:p>
    <w:tbl>
      <w:tblPr>
        <w:tblStyle w:val="20"/>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7"/>
        <w:gridCol w:w="766"/>
        <w:gridCol w:w="873"/>
        <w:gridCol w:w="2353"/>
        <w:gridCol w:w="5191"/>
        <w:gridCol w:w="1300"/>
        <w:gridCol w:w="1363"/>
      </w:tblGrid>
      <w:tr w14:paraId="5D930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0" w:type="pct"/>
            <w:shd w:val="clear" w:color="auto" w:fill="FFFFFF"/>
            <w:vAlign w:val="center"/>
          </w:tcPr>
          <w:p w14:paraId="7F060484">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24E83749">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7B9DC4C1">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6E922D20">
            <w:pPr>
              <w:widowControl/>
              <w:spacing w:line="0" w:lineRule="atLeast"/>
              <w:jc w:val="center"/>
              <w:rPr>
                <w:b/>
                <w:bCs/>
                <w:color w:val="000000"/>
                <w:kern w:val="0"/>
                <w:sz w:val="22"/>
                <w:szCs w:val="22"/>
              </w:rPr>
            </w:pPr>
            <w:r>
              <w:rPr>
                <w:b/>
                <w:bCs/>
                <w:color w:val="000000"/>
                <w:kern w:val="0"/>
                <w:sz w:val="22"/>
                <w:szCs w:val="22"/>
              </w:rPr>
              <w:t>指标解释</w:t>
            </w:r>
          </w:p>
        </w:tc>
        <w:tc>
          <w:tcPr>
            <w:tcW w:w="2045" w:type="pct"/>
            <w:shd w:val="clear" w:color="auto" w:fill="FFFFFF"/>
            <w:vAlign w:val="center"/>
          </w:tcPr>
          <w:p w14:paraId="78DA1F21">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62E93497">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27936B95">
            <w:pPr>
              <w:widowControl/>
              <w:spacing w:line="0" w:lineRule="atLeast"/>
              <w:jc w:val="center"/>
              <w:rPr>
                <w:b/>
                <w:bCs/>
                <w:color w:val="000000"/>
                <w:kern w:val="0"/>
                <w:sz w:val="22"/>
                <w:szCs w:val="22"/>
              </w:rPr>
            </w:pPr>
            <w:r>
              <w:rPr>
                <w:b/>
                <w:bCs/>
                <w:color w:val="000000"/>
                <w:kern w:val="0"/>
                <w:sz w:val="22"/>
                <w:szCs w:val="22"/>
              </w:rPr>
              <w:t>得分</w:t>
            </w:r>
          </w:p>
        </w:tc>
      </w:tr>
      <w:tr w14:paraId="44AB0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0" w:type="pct"/>
            <w:vMerge w:val="restart"/>
            <w:shd w:val="clear" w:color="auto" w:fill="FFFFFF"/>
            <w:vAlign w:val="center"/>
          </w:tcPr>
          <w:p w14:paraId="6D9075D3">
            <w:pPr>
              <w:widowControl/>
              <w:spacing w:line="0" w:lineRule="atLeast"/>
              <w:jc w:val="center"/>
              <w:rPr>
                <w:color w:val="000000"/>
                <w:kern w:val="0"/>
                <w:sz w:val="22"/>
                <w:szCs w:val="22"/>
              </w:rPr>
            </w:pPr>
            <w:r>
              <w:rPr>
                <w:color w:val="000000"/>
                <w:kern w:val="0"/>
                <w:sz w:val="22"/>
                <w:szCs w:val="22"/>
              </w:rPr>
              <w:t>决策　</w:t>
            </w:r>
          </w:p>
          <w:p w14:paraId="5A0507F4">
            <w:pPr>
              <w:widowControl/>
              <w:spacing w:line="0" w:lineRule="atLeast"/>
              <w:jc w:val="center"/>
              <w:rPr>
                <w:color w:val="000000"/>
                <w:kern w:val="0"/>
                <w:sz w:val="22"/>
                <w:szCs w:val="22"/>
              </w:rPr>
            </w:pPr>
            <w:r>
              <w:rPr>
                <w:color w:val="000000"/>
                <w:kern w:val="0"/>
                <w:sz w:val="22"/>
                <w:szCs w:val="22"/>
              </w:rPr>
              <w:t>　</w:t>
            </w:r>
          </w:p>
          <w:p w14:paraId="0E0EEF7D">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14:paraId="6E064BB3">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02930233">
            <w:pPr>
              <w:widowControl/>
              <w:spacing w:line="0" w:lineRule="atLeast"/>
              <w:jc w:val="center"/>
              <w:rPr>
                <w:color w:val="000000"/>
                <w:kern w:val="0"/>
                <w:sz w:val="22"/>
                <w:szCs w:val="22"/>
              </w:rPr>
            </w:pPr>
            <w:r>
              <w:rPr>
                <w:color w:val="000000"/>
                <w:kern w:val="0"/>
                <w:sz w:val="22"/>
                <w:szCs w:val="22"/>
              </w:rPr>
              <w:t>立项依据</w:t>
            </w:r>
          </w:p>
          <w:p w14:paraId="5CC80EDB">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01EEC779">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5" w:type="pct"/>
            <w:shd w:val="clear" w:color="auto" w:fill="FFFFFF"/>
            <w:vAlign w:val="center"/>
          </w:tcPr>
          <w:p w14:paraId="4067244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4FE6AD67">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5F972674">
            <w:pPr>
              <w:widowControl/>
              <w:spacing w:line="0" w:lineRule="atLeast"/>
              <w:jc w:val="center"/>
              <w:rPr>
                <w:b/>
                <w:bCs/>
                <w:color w:val="000000"/>
                <w:kern w:val="0"/>
                <w:sz w:val="22"/>
                <w:szCs w:val="22"/>
              </w:rPr>
            </w:pPr>
            <w:r>
              <w:rPr>
                <w:b/>
                <w:bCs/>
                <w:color w:val="000000"/>
                <w:kern w:val="0"/>
                <w:sz w:val="22"/>
                <w:szCs w:val="22"/>
              </w:rPr>
              <w:t>3</w:t>
            </w:r>
          </w:p>
        </w:tc>
      </w:tr>
      <w:tr w14:paraId="1F9356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0" w:type="pct"/>
            <w:vMerge w:val="continue"/>
            <w:shd w:val="clear" w:color="auto" w:fill="FFFFFF"/>
            <w:vAlign w:val="center"/>
          </w:tcPr>
          <w:p w14:paraId="706E5692">
            <w:pPr>
              <w:spacing w:line="0" w:lineRule="atLeast"/>
              <w:jc w:val="center"/>
              <w:rPr>
                <w:color w:val="000000"/>
                <w:kern w:val="0"/>
                <w:sz w:val="22"/>
                <w:szCs w:val="22"/>
              </w:rPr>
            </w:pPr>
          </w:p>
        </w:tc>
        <w:tc>
          <w:tcPr>
            <w:tcW w:w="302" w:type="pct"/>
            <w:vMerge w:val="continue"/>
            <w:shd w:val="clear" w:color="auto" w:fill="FFFFFF"/>
            <w:vAlign w:val="center"/>
          </w:tcPr>
          <w:p w14:paraId="53FC023E">
            <w:pPr>
              <w:widowControl/>
              <w:spacing w:line="0" w:lineRule="atLeast"/>
              <w:jc w:val="center"/>
              <w:rPr>
                <w:color w:val="000000"/>
                <w:kern w:val="0"/>
                <w:sz w:val="22"/>
                <w:szCs w:val="22"/>
              </w:rPr>
            </w:pPr>
          </w:p>
        </w:tc>
        <w:tc>
          <w:tcPr>
            <w:tcW w:w="344" w:type="pct"/>
            <w:shd w:val="clear" w:color="auto" w:fill="FFFFFF"/>
            <w:vAlign w:val="center"/>
          </w:tcPr>
          <w:p w14:paraId="05EEF140">
            <w:pPr>
              <w:widowControl/>
              <w:spacing w:line="0" w:lineRule="atLeast"/>
              <w:jc w:val="center"/>
              <w:rPr>
                <w:color w:val="000000"/>
                <w:kern w:val="0"/>
                <w:sz w:val="22"/>
                <w:szCs w:val="22"/>
              </w:rPr>
            </w:pPr>
            <w:r>
              <w:rPr>
                <w:color w:val="000000"/>
                <w:kern w:val="0"/>
                <w:sz w:val="22"/>
                <w:szCs w:val="22"/>
              </w:rPr>
              <w:t>立项程序</w:t>
            </w:r>
          </w:p>
          <w:p w14:paraId="3AA9C6DE">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1E3F0958">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5" w:type="pct"/>
            <w:shd w:val="clear" w:color="auto" w:fill="FFFFFF"/>
            <w:vAlign w:val="center"/>
          </w:tcPr>
          <w:p w14:paraId="73562E8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4C43449C">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4BABF99A">
            <w:pPr>
              <w:widowControl/>
              <w:spacing w:line="0" w:lineRule="atLeast"/>
              <w:jc w:val="center"/>
              <w:rPr>
                <w:b/>
                <w:bCs/>
                <w:color w:val="000000"/>
                <w:kern w:val="0"/>
                <w:sz w:val="22"/>
                <w:szCs w:val="22"/>
              </w:rPr>
            </w:pPr>
            <w:r>
              <w:rPr>
                <w:b/>
                <w:bCs/>
                <w:color w:val="000000"/>
                <w:kern w:val="0"/>
                <w:sz w:val="22"/>
                <w:szCs w:val="22"/>
              </w:rPr>
              <w:t>3</w:t>
            </w:r>
          </w:p>
        </w:tc>
      </w:tr>
      <w:tr w14:paraId="2C539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0" w:type="pct"/>
            <w:vMerge w:val="continue"/>
            <w:shd w:val="clear" w:color="auto" w:fill="FFFFFF"/>
            <w:vAlign w:val="center"/>
          </w:tcPr>
          <w:p w14:paraId="725BC08B">
            <w:pPr>
              <w:spacing w:line="0" w:lineRule="atLeast"/>
              <w:jc w:val="center"/>
              <w:rPr>
                <w:color w:val="000000"/>
                <w:kern w:val="0"/>
                <w:sz w:val="22"/>
                <w:szCs w:val="22"/>
              </w:rPr>
            </w:pPr>
          </w:p>
        </w:tc>
        <w:tc>
          <w:tcPr>
            <w:tcW w:w="302" w:type="pct"/>
            <w:shd w:val="clear" w:color="auto" w:fill="FFFFFF"/>
            <w:vAlign w:val="center"/>
          </w:tcPr>
          <w:p w14:paraId="44F69A2B">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43853F42">
            <w:pPr>
              <w:widowControl/>
              <w:spacing w:line="0" w:lineRule="atLeast"/>
              <w:jc w:val="center"/>
              <w:rPr>
                <w:color w:val="000000"/>
                <w:kern w:val="0"/>
                <w:sz w:val="22"/>
                <w:szCs w:val="22"/>
              </w:rPr>
            </w:pPr>
            <w:r>
              <w:rPr>
                <w:color w:val="000000"/>
                <w:kern w:val="0"/>
                <w:sz w:val="22"/>
                <w:szCs w:val="22"/>
              </w:rPr>
              <w:t>绩效目标</w:t>
            </w:r>
          </w:p>
          <w:p w14:paraId="69D8A66F">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3775D9E6">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5" w:type="pct"/>
            <w:shd w:val="clear" w:color="000000" w:fill="FFFFFF"/>
            <w:vAlign w:val="center"/>
          </w:tcPr>
          <w:p w14:paraId="3F3523C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74AA26E3">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3EA2C90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0605ECA1">
            <w:pPr>
              <w:widowControl/>
              <w:spacing w:line="0" w:lineRule="atLeast"/>
              <w:jc w:val="center"/>
              <w:rPr>
                <w:b/>
                <w:bCs/>
                <w:color w:val="000000"/>
                <w:kern w:val="0"/>
                <w:sz w:val="22"/>
                <w:szCs w:val="22"/>
              </w:rPr>
            </w:pPr>
            <w:r>
              <w:rPr>
                <w:rFonts w:hint="eastAsia"/>
                <w:b/>
                <w:bCs/>
                <w:color w:val="000000"/>
                <w:kern w:val="0"/>
                <w:sz w:val="22"/>
                <w:szCs w:val="22"/>
              </w:rPr>
              <w:t>3</w:t>
            </w:r>
          </w:p>
        </w:tc>
      </w:tr>
      <w:tr w14:paraId="15249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0" w:type="pct"/>
            <w:vMerge w:val="restart"/>
            <w:shd w:val="clear" w:color="auto" w:fill="FFFFFF"/>
            <w:vAlign w:val="center"/>
          </w:tcPr>
          <w:p w14:paraId="1DFA5A91">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14:paraId="2871331C">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14:paraId="19C2891F">
            <w:pPr>
              <w:widowControl/>
              <w:spacing w:line="0" w:lineRule="atLeast"/>
              <w:jc w:val="center"/>
              <w:rPr>
                <w:color w:val="000000"/>
                <w:kern w:val="0"/>
                <w:sz w:val="22"/>
                <w:szCs w:val="22"/>
              </w:rPr>
            </w:pPr>
            <w:r>
              <w:rPr>
                <w:color w:val="000000"/>
                <w:kern w:val="0"/>
                <w:sz w:val="22"/>
                <w:szCs w:val="22"/>
              </w:rPr>
              <w:t>绩效指标</w:t>
            </w:r>
          </w:p>
          <w:p w14:paraId="57133CD5">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181197AA">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5" w:type="pct"/>
            <w:shd w:val="clear" w:color="000000" w:fill="FFFFFF"/>
            <w:vAlign w:val="center"/>
          </w:tcPr>
          <w:p w14:paraId="75F417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30457C71">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14:paraId="74C3C334">
            <w:pPr>
              <w:widowControl/>
              <w:spacing w:line="0" w:lineRule="atLeast"/>
              <w:jc w:val="center"/>
              <w:rPr>
                <w:b/>
                <w:bCs/>
                <w:color w:val="000000"/>
                <w:kern w:val="0"/>
                <w:sz w:val="22"/>
                <w:szCs w:val="22"/>
              </w:rPr>
            </w:pPr>
            <w:r>
              <w:rPr>
                <w:rFonts w:hint="eastAsia"/>
                <w:b/>
                <w:bCs/>
                <w:color w:val="000000"/>
                <w:kern w:val="0"/>
                <w:sz w:val="22"/>
                <w:szCs w:val="22"/>
              </w:rPr>
              <w:t>2</w:t>
            </w:r>
          </w:p>
        </w:tc>
      </w:tr>
      <w:tr w14:paraId="3544E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0" w:type="pct"/>
            <w:vMerge w:val="continue"/>
            <w:shd w:val="clear" w:color="auto" w:fill="FFFFFF"/>
            <w:vAlign w:val="center"/>
          </w:tcPr>
          <w:p w14:paraId="38F569D8">
            <w:pPr>
              <w:spacing w:line="0" w:lineRule="atLeast"/>
              <w:jc w:val="center"/>
              <w:rPr>
                <w:color w:val="000000"/>
                <w:kern w:val="0"/>
                <w:sz w:val="22"/>
                <w:szCs w:val="22"/>
              </w:rPr>
            </w:pPr>
          </w:p>
        </w:tc>
        <w:tc>
          <w:tcPr>
            <w:tcW w:w="302" w:type="pct"/>
            <w:vMerge w:val="restart"/>
            <w:shd w:val="clear" w:color="auto" w:fill="FFFFFF"/>
            <w:vAlign w:val="center"/>
          </w:tcPr>
          <w:p w14:paraId="39EA53F1">
            <w:pPr>
              <w:widowControl/>
              <w:spacing w:line="0" w:lineRule="atLeast"/>
              <w:jc w:val="center"/>
              <w:rPr>
                <w:color w:val="000000"/>
                <w:kern w:val="0"/>
                <w:sz w:val="22"/>
                <w:szCs w:val="22"/>
              </w:rPr>
            </w:pPr>
            <w:r>
              <w:rPr>
                <w:color w:val="000000"/>
                <w:kern w:val="0"/>
                <w:sz w:val="22"/>
                <w:szCs w:val="22"/>
              </w:rPr>
              <w:t>资金投入</w:t>
            </w:r>
          </w:p>
          <w:p w14:paraId="6DA32189">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264A6E92">
            <w:pPr>
              <w:widowControl/>
              <w:spacing w:line="0" w:lineRule="atLeast"/>
              <w:jc w:val="center"/>
              <w:rPr>
                <w:color w:val="000000"/>
                <w:kern w:val="0"/>
                <w:sz w:val="22"/>
                <w:szCs w:val="22"/>
              </w:rPr>
            </w:pPr>
            <w:r>
              <w:rPr>
                <w:color w:val="000000"/>
                <w:kern w:val="0"/>
                <w:sz w:val="22"/>
                <w:szCs w:val="22"/>
              </w:rPr>
              <w:t>预算编制</w:t>
            </w:r>
          </w:p>
          <w:p w14:paraId="10809CCD">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310C1C12">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5" w:type="pct"/>
            <w:shd w:val="clear" w:color="auto" w:fill="FFFFFF"/>
            <w:vAlign w:val="center"/>
          </w:tcPr>
          <w:p w14:paraId="389DAFD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146F81A8">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14CDC680">
            <w:pPr>
              <w:widowControl/>
              <w:spacing w:line="0" w:lineRule="atLeast"/>
              <w:jc w:val="center"/>
              <w:rPr>
                <w:b/>
                <w:bCs/>
                <w:color w:val="000000"/>
                <w:kern w:val="0"/>
                <w:sz w:val="22"/>
                <w:szCs w:val="22"/>
              </w:rPr>
            </w:pPr>
            <w:r>
              <w:rPr>
                <w:rFonts w:hint="eastAsia"/>
                <w:b/>
                <w:bCs/>
                <w:color w:val="000000"/>
                <w:kern w:val="0"/>
                <w:sz w:val="22"/>
                <w:szCs w:val="22"/>
              </w:rPr>
              <w:t>3</w:t>
            </w:r>
          </w:p>
        </w:tc>
      </w:tr>
      <w:tr w14:paraId="06767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0" w:type="pct"/>
            <w:vMerge w:val="continue"/>
            <w:shd w:val="clear" w:color="auto" w:fill="FFFFFF"/>
            <w:vAlign w:val="center"/>
          </w:tcPr>
          <w:p w14:paraId="2F46F4D3">
            <w:pPr>
              <w:widowControl/>
              <w:spacing w:line="0" w:lineRule="atLeast"/>
              <w:jc w:val="center"/>
              <w:rPr>
                <w:color w:val="000000"/>
                <w:kern w:val="0"/>
                <w:sz w:val="22"/>
                <w:szCs w:val="22"/>
              </w:rPr>
            </w:pPr>
          </w:p>
        </w:tc>
        <w:tc>
          <w:tcPr>
            <w:tcW w:w="302" w:type="pct"/>
            <w:vMerge w:val="continue"/>
            <w:shd w:val="clear" w:color="auto" w:fill="FFFFFF"/>
            <w:vAlign w:val="center"/>
          </w:tcPr>
          <w:p w14:paraId="502B1778">
            <w:pPr>
              <w:widowControl/>
              <w:spacing w:line="0" w:lineRule="atLeast"/>
              <w:jc w:val="center"/>
              <w:rPr>
                <w:color w:val="000000"/>
                <w:kern w:val="0"/>
                <w:sz w:val="22"/>
                <w:szCs w:val="22"/>
              </w:rPr>
            </w:pPr>
          </w:p>
        </w:tc>
        <w:tc>
          <w:tcPr>
            <w:tcW w:w="344" w:type="pct"/>
            <w:shd w:val="clear" w:color="auto" w:fill="FFFFFF"/>
            <w:vAlign w:val="center"/>
          </w:tcPr>
          <w:p w14:paraId="2030481D">
            <w:pPr>
              <w:widowControl/>
              <w:spacing w:line="0" w:lineRule="atLeast"/>
              <w:jc w:val="center"/>
              <w:rPr>
                <w:color w:val="000000"/>
                <w:kern w:val="0"/>
                <w:sz w:val="22"/>
                <w:szCs w:val="22"/>
              </w:rPr>
            </w:pPr>
            <w:r>
              <w:rPr>
                <w:color w:val="000000"/>
                <w:kern w:val="0"/>
                <w:sz w:val="22"/>
                <w:szCs w:val="22"/>
              </w:rPr>
              <w:t>资金分配</w:t>
            </w:r>
          </w:p>
          <w:p w14:paraId="774B3B20">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1C283C7A">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5" w:type="pct"/>
            <w:shd w:val="clear" w:color="auto" w:fill="FFFFFF"/>
            <w:vAlign w:val="center"/>
          </w:tcPr>
          <w:p w14:paraId="4EA4E5E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27153ACB">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747D5017">
            <w:pPr>
              <w:widowControl/>
              <w:spacing w:line="0" w:lineRule="atLeast"/>
              <w:jc w:val="center"/>
              <w:rPr>
                <w:b/>
                <w:bCs/>
                <w:color w:val="000000"/>
                <w:kern w:val="0"/>
                <w:sz w:val="22"/>
                <w:szCs w:val="22"/>
              </w:rPr>
            </w:pPr>
            <w:r>
              <w:rPr>
                <w:b/>
                <w:bCs/>
                <w:color w:val="000000"/>
                <w:kern w:val="0"/>
                <w:sz w:val="22"/>
                <w:szCs w:val="22"/>
              </w:rPr>
              <w:t>3</w:t>
            </w:r>
          </w:p>
        </w:tc>
      </w:tr>
      <w:tr w14:paraId="742AD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0" w:type="pct"/>
            <w:vMerge w:val="restart"/>
            <w:shd w:val="clear" w:color="auto" w:fill="FFFFFF"/>
            <w:vAlign w:val="center"/>
          </w:tcPr>
          <w:p w14:paraId="0950B2BC">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14:paraId="77E58CFE">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3C5EDD0B">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1E52B0B6">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5" w:type="pct"/>
            <w:shd w:val="clear" w:color="000000" w:fill="FFFFFF"/>
            <w:vAlign w:val="center"/>
          </w:tcPr>
          <w:p w14:paraId="6551F50E">
            <w:pPr>
              <w:widowControl/>
              <w:spacing w:line="0" w:lineRule="atLeast"/>
              <w:rPr>
                <w:color w:val="000000"/>
                <w:kern w:val="0"/>
                <w:sz w:val="22"/>
                <w:szCs w:val="22"/>
              </w:rPr>
            </w:pPr>
            <w:r>
              <w:rPr>
                <w:color w:val="000000"/>
                <w:kern w:val="0"/>
                <w:sz w:val="22"/>
                <w:szCs w:val="22"/>
              </w:rPr>
              <w:t>资金到位率=（实际到位资金/预算资金）×100%。</w:t>
            </w:r>
          </w:p>
          <w:p w14:paraId="14330A1B">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0517767E">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70297A97">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0250E341">
            <w:pPr>
              <w:widowControl/>
              <w:spacing w:line="0" w:lineRule="atLeast"/>
              <w:jc w:val="center"/>
              <w:rPr>
                <w:b/>
                <w:bCs/>
                <w:color w:val="000000"/>
                <w:kern w:val="0"/>
                <w:sz w:val="22"/>
                <w:szCs w:val="22"/>
              </w:rPr>
            </w:pPr>
            <w:r>
              <w:rPr>
                <w:b/>
                <w:bCs/>
                <w:color w:val="000000"/>
                <w:kern w:val="0"/>
                <w:sz w:val="22"/>
                <w:szCs w:val="22"/>
              </w:rPr>
              <w:t>3.6</w:t>
            </w:r>
          </w:p>
        </w:tc>
      </w:tr>
      <w:tr w14:paraId="6C3E2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0" w:type="pct"/>
            <w:vMerge w:val="continue"/>
            <w:shd w:val="clear" w:color="auto" w:fill="FFFFFF"/>
            <w:vAlign w:val="center"/>
          </w:tcPr>
          <w:p w14:paraId="29FD2FBA">
            <w:pPr>
              <w:spacing w:line="0" w:lineRule="atLeast"/>
              <w:jc w:val="center"/>
              <w:rPr>
                <w:color w:val="000000"/>
                <w:kern w:val="0"/>
                <w:sz w:val="22"/>
                <w:szCs w:val="22"/>
              </w:rPr>
            </w:pPr>
          </w:p>
        </w:tc>
        <w:tc>
          <w:tcPr>
            <w:tcW w:w="302" w:type="pct"/>
            <w:vMerge w:val="continue"/>
            <w:shd w:val="clear" w:color="auto" w:fill="FFFFFF"/>
            <w:vAlign w:val="center"/>
          </w:tcPr>
          <w:p w14:paraId="711CAF2F">
            <w:pPr>
              <w:spacing w:line="0" w:lineRule="atLeast"/>
              <w:jc w:val="center"/>
              <w:rPr>
                <w:color w:val="000000"/>
                <w:kern w:val="0"/>
                <w:sz w:val="22"/>
                <w:szCs w:val="22"/>
              </w:rPr>
            </w:pPr>
          </w:p>
        </w:tc>
        <w:tc>
          <w:tcPr>
            <w:tcW w:w="344" w:type="pct"/>
            <w:shd w:val="clear" w:color="auto" w:fill="FFFFFF"/>
            <w:vAlign w:val="center"/>
          </w:tcPr>
          <w:p w14:paraId="74799C40">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786C3EF4">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5" w:type="pct"/>
            <w:shd w:val="clear" w:color="auto" w:fill="FFFFFF"/>
            <w:vAlign w:val="center"/>
          </w:tcPr>
          <w:p w14:paraId="6BB812A5">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0FB03576">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75FFAA88">
            <w:pPr>
              <w:widowControl/>
              <w:spacing w:line="0" w:lineRule="atLeast"/>
              <w:jc w:val="center"/>
              <w:rPr>
                <w:b/>
                <w:bCs/>
                <w:color w:val="000000"/>
                <w:kern w:val="0"/>
                <w:sz w:val="22"/>
                <w:szCs w:val="22"/>
              </w:rPr>
            </w:pPr>
            <w:r>
              <w:rPr>
                <w:b/>
                <w:bCs/>
                <w:color w:val="000000"/>
                <w:kern w:val="0"/>
                <w:sz w:val="22"/>
                <w:szCs w:val="22"/>
              </w:rPr>
              <w:t>3.6</w:t>
            </w:r>
          </w:p>
        </w:tc>
      </w:tr>
      <w:tr w14:paraId="47199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restart"/>
            <w:shd w:val="clear" w:color="auto" w:fill="FFFFFF"/>
            <w:vAlign w:val="center"/>
          </w:tcPr>
          <w:p w14:paraId="28337A9F">
            <w:pPr>
              <w:widowControl/>
              <w:spacing w:line="0" w:lineRule="atLeast"/>
              <w:jc w:val="center"/>
              <w:rPr>
                <w:color w:val="000000"/>
                <w:kern w:val="0"/>
                <w:sz w:val="22"/>
                <w:szCs w:val="22"/>
              </w:rPr>
            </w:pPr>
            <w:r>
              <w:rPr>
                <w:color w:val="000000"/>
                <w:kern w:val="0"/>
                <w:sz w:val="22"/>
                <w:szCs w:val="22"/>
              </w:rPr>
              <w:t>　</w:t>
            </w:r>
          </w:p>
          <w:p w14:paraId="59F3FF99">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14:paraId="00A1889F">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5002EECA">
            <w:pPr>
              <w:widowControl/>
              <w:spacing w:line="0" w:lineRule="atLeast"/>
              <w:jc w:val="center"/>
              <w:rPr>
                <w:color w:val="000000"/>
                <w:kern w:val="0"/>
                <w:sz w:val="22"/>
                <w:szCs w:val="22"/>
              </w:rPr>
            </w:pPr>
            <w:r>
              <w:rPr>
                <w:color w:val="000000"/>
                <w:kern w:val="0"/>
                <w:sz w:val="22"/>
                <w:szCs w:val="22"/>
              </w:rPr>
              <w:t>资金使用</w:t>
            </w:r>
          </w:p>
          <w:p w14:paraId="1B8F899D">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6C9EFCE3">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5" w:type="pct"/>
            <w:shd w:val="clear" w:color="000000" w:fill="FFFFFF"/>
            <w:vAlign w:val="center"/>
          </w:tcPr>
          <w:p w14:paraId="2A587AC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1F6B67A2">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767379EE">
            <w:pPr>
              <w:widowControl/>
              <w:spacing w:line="0" w:lineRule="atLeast"/>
              <w:jc w:val="center"/>
              <w:rPr>
                <w:b/>
                <w:bCs/>
                <w:color w:val="000000"/>
                <w:kern w:val="0"/>
                <w:sz w:val="22"/>
                <w:szCs w:val="22"/>
              </w:rPr>
            </w:pPr>
            <w:r>
              <w:rPr>
                <w:b/>
                <w:bCs/>
                <w:color w:val="000000"/>
                <w:kern w:val="0"/>
                <w:sz w:val="22"/>
                <w:szCs w:val="22"/>
              </w:rPr>
              <w:t>4</w:t>
            </w:r>
          </w:p>
        </w:tc>
      </w:tr>
      <w:tr w14:paraId="4A9F5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0" w:type="pct"/>
            <w:vMerge w:val="continue"/>
            <w:shd w:val="clear" w:color="auto" w:fill="FFFFFF"/>
            <w:vAlign w:val="center"/>
          </w:tcPr>
          <w:p w14:paraId="3B8DDFD6">
            <w:pPr>
              <w:spacing w:line="0" w:lineRule="atLeast"/>
              <w:jc w:val="center"/>
              <w:rPr>
                <w:color w:val="000000"/>
                <w:kern w:val="0"/>
                <w:sz w:val="22"/>
                <w:szCs w:val="22"/>
              </w:rPr>
            </w:pPr>
          </w:p>
        </w:tc>
        <w:tc>
          <w:tcPr>
            <w:tcW w:w="302" w:type="pct"/>
            <w:vMerge w:val="restart"/>
            <w:shd w:val="clear" w:color="auto" w:fill="FFFFFF"/>
            <w:vAlign w:val="center"/>
          </w:tcPr>
          <w:p w14:paraId="4CD0DDDF">
            <w:pPr>
              <w:widowControl/>
              <w:spacing w:line="0" w:lineRule="atLeast"/>
              <w:jc w:val="center"/>
              <w:rPr>
                <w:color w:val="000000"/>
                <w:kern w:val="0"/>
                <w:sz w:val="22"/>
                <w:szCs w:val="22"/>
              </w:rPr>
            </w:pPr>
            <w:r>
              <w:rPr>
                <w:color w:val="000000"/>
                <w:kern w:val="0"/>
                <w:sz w:val="22"/>
                <w:szCs w:val="22"/>
              </w:rPr>
              <w:t>组织实施</w:t>
            </w:r>
          </w:p>
          <w:p w14:paraId="03DC98A5">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40D8A33F">
            <w:pPr>
              <w:widowControl/>
              <w:spacing w:line="0" w:lineRule="atLeast"/>
              <w:jc w:val="center"/>
              <w:rPr>
                <w:color w:val="000000"/>
                <w:kern w:val="0"/>
                <w:sz w:val="22"/>
                <w:szCs w:val="22"/>
              </w:rPr>
            </w:pPr>
            <w:r>
              <w:rPr>
                <w:color w:val="000000"/>
                <w:kern w:val="0"/>
                <w:sz w:val="22"/>
                <w:szCs w:val="22"/>
              </w:rPr>
              <w:t>管理制度</w:t>
            </w:r>
          </w:p>
          <w:p w14:paraId="51FB6F4B">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35E96E0F">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5" w:type="pct"/>
            <w:shd w:val="clear" w:color="000000" w:fill="FFFFFF"/>
            <w:vAlign w:val="center"/>
          </w:tcPr>
          <w:p w14:paraId="572FF8C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6669025A">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658C18C6">
            <w:pPr>
              <w:widowControl/>
              <w:spacing w:line="0" w:lineRule="atLeast"/>
              <w:jc w:val="center"/>
              <w:rPr>
                <w:b/>
                <w:bCs/>
                <w:color w:val="000000"/>
                <w:kern w:val="0"/>
                <w:sz w:val="22"/>
                <w:szCs w:val="22"/>
              </w:rPr>
            </w:pPr>
            <w:r>
              <w:rPr>
                <w:b/>
                <w:bCs/>
                <w:color w:val="000000"/>
                <w:kern w:val="0"/>
                <w:sz w:val="22"/>
                <w:szCs w:val="22"/>
              </w:rPr>
              <w:t>4</w:t>
            </w:r>
          </w:p>
        </w:tc>
      </w:tr>
      <w:tr w14:paraId="0F305C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0" w:type="pct"/>
            <w:vMerge w:val="continue"/>
            <w:shd w:val="clear" w:color="auto" w:fill="FFFFFF"/>
            <w:vAlign w:val="center"/>
          </w:tcPr>
          <w:p w14:paraId="5E7B2D69">
            <w:pPr>
              <w:widowControl/>
              <w:spacing w:line="0" w:lineRule="atLeast"/>
              <w:jc w:val="center"/>
              <w:rPr>
                <w:color w:val="000000"/>
                <w:kern w:val="0"/>
                <w:sz w:val="22"/>
                <w:szCs w:val="22"/>
              </w:rPr>
            </w:pPr>
          </w:p>
        </w:tc>
        <w:tc>
          <w:tcPr>
            <w:tcW w:w="302" w:type="pct"/>
            <w:vMerge w:val="continue"/>
            <w:shd w:val="clear" w:color="auto" w:fill="FFFFFF"/>
            <w:vAlign w:val="center"/>
          </w:tcPr>
          <w:p w14:paraId="368A0C95">
            <w:pPr>
              <w:widowControl/>
              <w:spacing w:line="0" w:lineRule="atLeast"/>
              <w:jc w:val="center"/>
              <w:rPr>
                <w:color w:val="000000"/>
                <w:kern w:val="0"/>
                <w:sz w:val="22"/>
                <w:szCs w:val="22"/>
              </w:rPr>
            </w:pPr>
          </w:p>
        </w:tc>
        <w:tc>
          <w:tcPr>
            <w:tcW w:w="344" w:type="pct"/>
            <w:shd w:val="clear" w:color="auto" w:fill="FFFFFF"/>
            <w:vAlign w:val="center"/>
          </w:tcPr>
          <w:p w14:paraId="69117822">
            <w:pPr>
              <w:widowControl/>
              <w:spacing w:line="0" w:lineRule="atLeast"/>
              <w:jc w:val="center"/>
              <w:rPr>
                <w:color w:val="000000"/>
                <w:kern w:val="0"/>
                <w:sz w:val="22"/>
                <w:szCs w:val="22"/>
              </w:rPr>
            </w:pPr>
            <w:r>
              <w:rPr>
                <w:color w:val="000000"/>
                <w:kern w:val="0"/>
                <w:sz w:val="22"/>
                <w:szCs w:val="22"/>
              </w:rPr>
              <w:t>制度执行</w:t>
            </w:r>
          </w:p>
          <w:p w14:paraId="5E3A9F8B">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0A07869E">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5" w:type="pct"/>
            <w:shd w:val="clear" w:color="000000" w:fill="FFFFFF"/>
            <w:vAlign w:val="center"/>
          </w:tcPr>
          <w:p w14:paraId="5DC41D2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47A08058">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73689BDD">
            <w:pPr>
              <w:widowControl/>
              <w:spacing w:line="0" w:lineRule="atLeast"/>
              <w:jc w:val="center"/>
              <w:rPr>
                <w:b/>
                <w:bCs/>
                <w:color w:val="000000"/>
                <w:kern w:val="0"/>
                <w:sz w:val="22"/>
                <w:szCs w:val="22"/>
              </w:rPr>
            </w:pPr>
            <w:r>
              <w:rPr>
                <w:b/>
                <w:bCs/>
                <w:color w:val="000000"/>
                <w:kern w:val="0"/>
                <w:sz w:val="22"/>
                <w:szCs w:val="22"/>
              </w:rPr>
              <w:t>4</w:t>
            </w:r>
          </w:p>
        </w:tc>
      </w:tr>
      <w:tr w14:paraId="051CB2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0" w:type="pct"/>
            <w:shd w:val="clear" w:color="auto" w:fill="FFFFFF"/>
            <w:vAlign w:val="center"/>
          </w:tcPr>
          <w:p w14:paraId="4D614320">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27590562">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1D304384">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5F9ADA4B">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5" w:type="pct"/>
            <w:shd w:val="clear" w:color="000000" w:fill="FFFFFF"/>
            <w:vAlign w:val="center"/>
          </w:tcPr>
          <w:p w14:paraId="52B56A0E">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14B269C3">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1B902D0B">
            <w:pPr>
              <w:widowControl/>
              <w:spacing w:line="0" w:lineRule="atLeast"/>
              <w:jc w:val="center"/>
              <w:rPr>
                <w:b/>
                <w:bCs/>
                <w:color w:val="000000"/>
                <w:kern w:val="0"/>
                <w:sz w:val="22"/>
                <w:szCs w:val="22"/>
              </w:rPr>
            </w:pPr>
            <w:r>
              <w:rPr>
                <w:b/>
                <w:bCs/>
                <w:color w:val="000000"/>
                <w:kern w:val="0"/>
                <w:sz w:val="22"/>
                <w:szCs w:val="22"/>
              </w:rPr>
              <w:t>9</w:t>
            </w:r>
          </w:p>
        </w:tc>
      </w:tr>
      <w:tr w14:paraId="4278E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0" w:type="pct"/>
            <w:vMerge w:val="restart"/>
            <w:shd w:val="clear" w:color="auto" w:fill="FFFFFF"/>
            <w:vAlign w:val="center"/>
          </w:tcPr>
          <w:p w14:paraId="38EEFE05">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4393C535">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17014F5C">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284E2C61">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5" w:type="pct"/>
            <w:shd w:val="clear" w:color="000000" w:fill="FFFFFF"/>
            <w:vAlign w:val="center"/>
          </w:tcPr>
          <w:p w14:paraId="5A09424E">
            <w:pPr>
              <w:widowControl/>
              <w:spacing w:line="0" w:lineRule="atLeast"/>
              <w:rPr>
                <w:color w:val="000000"/>
                <w:kern w:val="0"/>
                <w:sz w:val="22"/>
                <w:szCs w:val="22"/>
              </w:rPr>
            </w:pPr>
            <w:r>
              <w:rPr>
                <w:color w:val="000000"/>
                <w:kern w:val="0"/>
                <w:sz w:val="22"/>
                <w:szCs w:val="22"/>
              </w:rPr>
              <w:t>质量达标率=（质量达标产出数/实际产出数）×100%。</w:t>
            </w:r>
          </w:p>
          <w:p w14:paraId="3041859A">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CAF2190">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45A76921">
            <w:pPr>
              <w:widowControl/>
              <w:spacing w:line="0" w:lineRule="atLeast"/>
              <w:jc w:val="center"/>
              <w:rPr>
                <w:b/>
                <w:bCs/>
                <w:color w:val="000000"/>
                <w:kern w:val="0"/>
                <w:sz w:val="22"/>
                <w:szCs w:val="22"/>
              </w:rPr>
            </w:pPr>
            <w:r>
              <w:rPr>
                <w:b/>
                <w:bCs/>
                <w:color w:val="000000"/>
                <w:kern w:val="0"/>
                <w:sz w:val="22"/>
                <w:szCs w:val="22"/>
              </w:rPr>
              <w:t>9</w:t>
            </w:r>
          </w:p>
        </w:tc>
      </w:tr>
      <w:tr w14:paraId="773B3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0" w:type="pct"/>
            <w:vMerge w:val="continue"/>
            <w:shd w:val="clear" w:color="auto" w:fill="FFFFFF"/>
            <w:vAlign w:val="center"/>
          </w:tcPr>
          <w:p w14:paraId="340F4E73">
            <w:pPr>
              <w:spacing w:line="0" w:lineRule="atLeast"/>
              <w:jc w:val="center"/>
              <w:rPr>
                <w:color w:val="000000"/>
                <w:kern w:val="0"/>
                <w:sz w:val="22"/>
                <w:szCs w:val="22"/>
              </w:rPr>
            </w:pPr>
          </w:p>
        </w:tc>
        <w:tc>
          <w:tcPr>
            <w:tcW w:w="302" w:type="pct"/>
            <w:shd w:val="clear" w:color="auto" w:fill="FFFFFF"/>
            <w:vAlign w:val="center"/>
          </w:tcPr>
          <w:p w14:paraId="4A4155E3">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4788C393">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64C3BDA2">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5" w:type="pct"/>
            <w:shd w:val="clear" w:color="000000" w:fill="FFFFFF"/>
            <w:vAlign w:val="center"/>
          </w:tcPr>
          <w:p w14:paraId="444EEAE2">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2295C3AF">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6680D369">
            <w:pPr>
              <w:widowControl/>
              <w:spacing w:line="0" w:lineRule="atLeast"/>
              <w:jc w:val="center"/>
              <w:rPr>
                <w:b/>
                <w:bCs/>
                <w:color w:val="000000"/>
                <w:kern w:val="0"/>
                <w:sz w:val="22"/>
                <w:szCs w:val="22"/>
              </w:rPr>
            </w:pPr>
            <w:r>
              <w:rPr>
                <w:rFonts w:hint="eastAsia"/>
                <w:b/>
                <w:bCs/>
                <w:color w:val="000000"/>
                <w:kern w:val="0"/>
                <w:sz w:val="22"/>
                <w:szCs w:val="22"/>
              </w:rPr>
              <w:t>10</w:t>
            </w:r>
          </w:p>
        </w:tc>
      </w:tr>
      <w:tr w14:paraId="37E104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continue"/>
            <w:shd w:val="clear" w:color="auto" w:fill="FFFFFF"/>
            <w:vAlign w:val="center"/>
          </w:tcPr>
          <w:p w14:paraId="36C1DFAB">
            <w:pPr>
              <w:widowControl/>
              <w:spacing w:line="0" w:lineRule="atLeast"/>
              <w:jc w:val="center"/>
              <w:rPr>
                <w:color w:val="000000"/>
                <w:kern w:val="0"/>
                <w:sz w:val="22"/>
                <w:szCs w:val="22"/>
              </w:rPr>
            </w:pPr>
          </w:p>
        </w:tc>
        <w:tc>
          <w:tcPr>
            <w:tcW w:w="302" w:type="pct"/>
            <w:shd w:val="clear" w:color="auto" w:fill="FFFFFF"/>
            <w:vAlign w:val="center"/>
          </w:tcPr>
          <w:p w14:paraId="46AE7192">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2D47CEB3">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36D168A4">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5" w:type="pct"/>
            <w:shd w:val="clear" w:color="000000" w:fill="FFFFFF"/>
            <w:vAlign w:val="center"/>
          </w:tcPr>
          <w:p w14:paraId="1AA83D96">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434F6D72">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592692F7">
            <w:pPr>
              <w:widowControl/>
              <w:spacing w:line="0" w:lineRule="atLeast"/>
              <w:jc w:val="center"/>
              <w:rPr>
                <w:b/>
                <w:bCs/>
                <w:color w:val="000000"/>
                <w:kern w:val="0"/>
                <w:sz w:val="22"/>
                <w:szCs w:val="22"/>
              </w:rPr>
            </w:pPr>
            <w:r>
              <w:rPr>
                <w:b/>
                <w:bCs/>
                <w:color w:val="000000"/>
                <w:kern w:val="0"/>
                <w:sz w:val="22"/>
                <w:szCs w:val="22"/>
              </w:rPr>
              <w:t>9</w:t>
            </w:r>
          </w:p>
        </w:tc>
      </w:tr>
      <w:tr w14:paraId="2327A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0" w:type="pct"/>
            <w:vMerge w:val="restart"/>
            <w:shd w:val="clear" w:color="auto" w:fill="FFFFFF"/>
            <w:vAlign w:val="center"/>
          </w:tcPr>
          <w:p w14:paraId="4E81AB46">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14:paraId="5F9479DD">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5E140087">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406534CD">
            <w:pPr>
              <w:widowControl/>
              <w:spacing w:line="0" w:lineRule="atLeast"/>
              <w:jc w:val="left"/>
              <w:rPr>
                <w:color w:val="000000"/>
                <w:kern w:val="0"/>
                <w:sz w:val="22"/>
                <w:szCs w:val="22"/>
              </w:rPr>
            </w:pPr>
            <w:r>
              <w:rPr>
                <w:color w:val="000000"/>
                <w:kern w:val="0"/>
                <w:sz w:val="22"/>
                <w:szCs w:val="22"/>
              </w:rPr>
              <w:t>项目实施所产生的效益。</w:t>
            </w:r>
          </w:p>
        </w:tc>
        <w:tc>
          <w:tcPr>
            <w:tcW w:w="2045" w:type="pct"/>
            <w:shd w:val="clear" w:color="auto" w:fill="FFFFFF"/>
            <w:vAlign w:val="center"/>
          </w:tcPr>
          <w:p w14:paraId="05A77CAF">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056701BF">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14:paraId="5BBAAA64">
            <w:pPr>
              <w:widowControl/>
              <w:spacing w:line="0" w:lineRule="atLeast"/>
              <w:jc w:val="center"/>
              <w:rPr>
                <w:b/>
                <w:bCs/>
                <w:color w:val="000000"/>
                <w:kern w:val="0"/>
                <w:sz w:val="22"/>
                <w:szCs w:val="22"/>
              </w:rPr>
            </w:pPr>
            <w:r>
              <w:rPr>
                <w:rFonts w:hint="eastAsia"/>
                <w:b/>
                <w:bCs/>
                <w:color w:val="000000"/>
                <w:kern w:val="0"/>
                <w:sz w:val="22"/>
                <w:szCs w:val="22"/>
              </w:rPr>
              <w:t>15</w:t>
            </w:r>
          </w:p>
        </w:tc>
      </w:tr>
      <w:tr w14:paraId="40431C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0" w:type="pct"/>
            <w:vMerge w:val="continue"/>
            <w:shd w:val="clear" w:color="auto" w:fill="FFFFFF"/>
            <w:vAlign w:val="center"/>
          </w:tcPr>
          <w:p w14:paraId="440D9860">
            <w:pPr>
              <w:widowControl/>
              <w:spacing w:line="0" w:lineRule="atLeast"/>
              <w:jc w:val="center"/>
              <w:rPr>
                <w:color w:val="000000"/>
                <w:kern w:val="0"/>
                <w:sz w:val="22"/>
                <w:szCs w:val="22"/>
              </w:rPr>
            </w:pPr>
          </w:p>
        </w:tc>
        <w:tc>
          <w:tcPr>
            <w:tcW w:w="302" w:type="pct"/>
            <w:vMerge w:val="continue"/>
            <w:shd w:val="clear" w:color="auto" w:fill="FFFFFF"/>
            <w:vAlign w:val="center"/>
          </w:tcPr>
          <w:p w14:paraId="589B741D">
            <w:pPr>
              <w:widowControl/>
              <w:spacing w:line="0" w:lineRule="atLeast"/>
              <w:jc w:val="center"/>
              <w:rPr>
                <w:color w:val="000000"/>
                <w:kern w:val="0"/>
                <w:sz w:val="22"/>
                <w:szCs w:val="22"/>
              </w:rPr>
            </w:pPr>
          </w:p>
        </w:tc>
        <w:tc>
          <w:tcPr>
            <w:tcW w:w="344" w:type="pct"/>
            <w:shd w:val="clear" w:color="auto" w:fill="FFFFFF"/>
            <w:vAlign w:val="center"/>
          </w:tcPr>
          <w:p w14:paraId="5EC2632F">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6263FC6E">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5" w:type="pct"/>
            <w:shd w:val="clear" w:color="000000" w:fill="FFFFFF"/>
            <w:vAlign w:val="center"/>
          </w:tcPr>
          <w:p w14:paraId="30D7F98E">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688D7E25">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14:paraId="172D4F2D">
            <w:pPr>
              <w:widowControl/>
              <w:spacing w:line="0" w:lineRule="atLeast"/>
              <w:jc w:val="center"/>
              <w:rPr>
                <w:b/>
                <w:bCs/>
                <w:color w:val="000000"/>
                <w:kern w:val="0"/>
                <w:sz w:val="22"/>
                <w:szCs w:val="22"/>
              </w:rPr>
            </w:pPr>
            <w:r>
              <w:rPr>
                <w:b/>
                <w:bCs/>
                <w:color w:val="000000"/>
                <w:kern w:val="0"/>
                <w:sz w:val="22"/>
                <w:szCs w:val="22"/>
              </w:rPr>
              <w:t>5</w:t>
            </w:r>
          </w:p>
        </w:tc>
      </w:tr>
    </w:tbl>
    <w:p w14:paraId="69B7D208">
      <w:pPr>
        <w:pStyle w:val="2"/>
        <w:rPr>
          <w:rFonts w:ascii="Times New Roman" w:hAnsi="Times New Roman"/>
        </w:rPr>
      </w:pPr>
    </w:p>
    <w:p w14:paraId="4C016522"/>
    <w:p w14:paraId="6C91963A">
      <w:pPr>
        <w:spacing w:line="540" w:lineRule="exact"/>
        <w:ind w:firstLine="640"/>
        <w:rPr>
          <w:rStyle w:val="22"/>
          <w:rFonts w:eastAsia="黑体"/>
          <w:bCs w:val="0"/>
          <w:spacing w:val="-4"/>
          <w:sz w:val="32"/>
          <w:szCs w:val="32"/>
        </w:rPr>
      </w:pPr>
    </w:p>
    <w:p w14:paraId="283D16D9">
      <w:pPr>
        <w:spacing w:line="540" w:lineRule="exact"/>
        <w:ind w:firstLine="640"/>
        <w:rPr>
          <w:rStyle w:val="22"/>
          <w:rFonts w:eastAsia="黑体"/>
          <w:bCs w:val="0"/>
          <w:spacing w:val="-4"/>
          <w:sz w:val="32"/>
          <w:szCs w:val="32"/>
        </w:rPr>
      </w:pPr>
    </w:p>
    <w:p w14:paraId="4AA24C56">
      <w:pPr>
        <w:spacing w:line="540" w:lineRule="exact"/>
        <w:ind w:firstLine="640"/>
        <w:rPr>
          <w:rStyle w:val="22"/>
          <w:rFonts w:eastAsia="黑体"/>
          <w:bCs w:val="0"/>
          <w:spacing w:val="-4"/>
          <w:sz w:val="32"/>
          <w:szCs w:val="32"/>
        </w:rPr>
      </w:pPr>
    </w:p>
    <w:p w14:paraId="4F576059">
      <w:pPr>
        <w:spacing w:line="540" w:lineRule="exact"/>
        <w:ind w:firstLine="640"/>
        <w:rPr>
          <w:rStyle w:val="22"/>
          <w:rFonts w:eastAsia="黑体"/>
          <w:bCs w:val="0"/>
          <w:spacing w:val="-4"/>
          <w:sz w:val="32"/>
          <w:szCs w:val="32"/>
        </w:rPr>
      </w:pPr>
    </w:p>
    <w:p w14:paraId="66181FC1">
      <w:pPr>
        <w:spacing w:line="540" w:lineRule="exact"/>
        <w:ind w:firstLine="640"/>
        <w:rPr>
          <w:rStyle w:val="22"/>
          <w:rFonts w:eastAsia="黑体"/>
          <w:bCs w:val="0"/>
          <w:spacing w:val="-4"/>
          <w:sz w:val="32"/>
          <w:szCs w:val="32"/>
        </w:rPr>
      </w:pPr>
    </w:p>
    <w:p w14:paraId="46871EC2">
      <w:pPr>
        <w:spacing w:line="540" w:lineRule="exact"/>
        <w:ind w:firstLine="640"/>
        <w:rPr>
          <w:rStyle w:val="22"/>
          <w:rFonts w:eastAsia="黑体"/>
          <w:bCs w:val="0"/>
          <w:spacing w:val="-4"/>
          <w:sz w:val="32"/>
          <w:szCs w:val="32"/>
        </w:rPr>
      </w:pPr>
    </w:p>
    <w:p w14:paraId="48B3C4AE">
      <w:pPr>
        <w:spacing w:line="540" w:lineRule="exact"/>
        <w:rPr>
          <w:rStyle w:val="22"/>
          <w:rFonts w:eastAsia="仿宋"/>
          <w:b w:val="0"/>
          <w:spacing w:val="-4"/>
          <w:sz w:val="32"/>
          <w:szCs w:val="32"/>
        </w:rPr>
      </w:pPr>
    </w:p>
    <w:sectPr>
      <w:pgSz w:w="16838" w:h="11906" w:orient="landscape"/>
      <w:pgMar w:top="1800" w:right="1440" w:bottom="1558"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79E29F1">
        <w:pPr>
          <w:pStyle w:val="15"/>
          <w:jc w:val="center"/>
        </w:pPr>
        <w:r>
          <w:fldChar w:fldCharType="begin"/>
        </w:r>
        <w:r>
          <w:instrText xml:space="preserve">PAGE   \* MERGEFORMAT</w:instrText>
        </w:r>
        <w:r>
          <w:fldChar w:fldCharType="separate"/>
        </w:r>
        <w:r>
          <w:rPr>
            <w:lang w:val="zh-CN"/>
          </w:rPr>
          <w:t>1</w:t>
        </w:r>
        <w:r>
          <w:fldChar w:fldCharType="end"/>
        </w:r>
      </w:p>
    </w:sdtContent>
  </w:sdt>
  <w:p w14:paraId="19BBDC51">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docVars>
    <w:docVar w:name="commondata" w:val="eyJoZGlkIjoiMmI4MzUzNGJiODkyZDFhMmQ5MjgxYmUwYzA3OTkzYzMifQ=="/>
  </w:docVars>
  <w:rsids>
    <w:rsidRoot w:val="00CA6457"/>
    <w:rsid w:val="00043AB1"/>
    <w:rsid w:val="00056465"/>
    <w:rsid w:val="000E50F0"/>
    <w:rsid w:val="000E586C"/>
    <w:rsid w:val="00121AE4"/>
    <w:rsid w:val="00146AAD"/>
    <w:rsid w:val="001B3A40"/>
    <w:rsid w:val="00200850"/>
    <w:rsid w:val="00227259"/>
    <w:rsid w:val="0023602B"/>
    <w:rsid w:val="002471DC"/>
    <w:rsid w:val="00297D2A"/>
    <w:rsid w:val="002E637B"/>
    <w:rsid w:val="00365554"/>
    <w:rsid w:val="003748BB"/>
    <w:rsid w:val="003C18BC"/>
    <w:rsid w:val="00430B95"/>
    <w:rsid w:val="004366A8"/>
    <w:rsid w:val="00464900"/>
    <w:rsid w:val="00491082"/>
    <w:rsid w:val="004A1FB2"/>
    <w:rsid w:val="0050203C"/>
    <w:rsid w:val="00502BA7"/>
    <w:rsid w:val="005162F1"/>
    <w:rsid w:val="00535153"/>
    <w:rsid w:val="00554F82"/>
    <w:rsid w:val="0056390D"/>
    <w:rsid w:val="005719B0"/>
    <w:rsid w:val="005D10D6"/>
    <w:rsid w:val="006D0F46"/>
    <w:rsid w:val="00703979"/>
    <w:rsid w:val="00764248"/>
    <w:rsid w:val="007806A5"/>
    <w:rsid w:val="007F1822"/>
    <w:rsid w:val="00855E3A"/>
    <w:rsid w:val="008D2885"/>
    <w:rsid w:val="00922CB9"/>
    <w:rsid w:val="009403E5"/>
    <w:rsid w:val="00980C46"/>
    <w:rsid w:val="009B40C6"/>
    <w:rsid w:val="009E5CD9"/>
    <w:rsid w:val="009F5ED8"/>
    <w:rsid w:val="00A26421"/>
    <w:rsid w:val="00A417BF"/>
    <w:rsid w:val="00A42337"/>
    <w:rsid w:val="00A4293B"/>
    <w:rsid w:val="00A67D50"/>
    <w:rsid w:val="00A8691A"/>
    <w:rsid w:val="00AC1946"/>
    <w:rsid w:val="00B40063"/>
    <w:rsid w:val="00B411FC"/>
    <w:rsid w:val="00B41F61"/>
    <w:rsid w:val="00B62966"/>
    <w:rsid w:val="00BA46E6"/>
    <w:rsid w:val="00BA4BCC"/>
    <w:rsid w:val="00C20F12"/>
    <w:rsid w:val="00C553C8"/>
    <w:rsid w:val="00C56C72"/>
    <w:rsid w:val="00CA4F10"/>
    <w:rsid w:val="00CA6457"/>
    <w:rsid w:val="00CC633A"/>
    <w:rsid w:val="00D17F2E"/>
    <w:rsid w:val="00D30354"/>
    <w:rsid w:val="00DF42A0"/>
    <w:rsid w:val="00DF7C45"/>
    <w:rsid w:val="00E133DA"/>
    <w:rsid w:val="00E31565"/>
    <w:rsid w:val="00E46C51"/>
    <w:rsid w:val="00E659F7"/>
    <w:rsid w:val="00E769FE"/>
    <w:rsid w:val="00EA2CBE"/>
    <w:rsid w:val="00F20494"/>
    <w:rsid w:val="00F32FEE"/>
    <w:rsid w:val="00F71278"/>
    <w:rsid w:val="00F75A0D"/>
    <w:rsid w:val="00FA15E9"/>
    <w:rsid w:val="00FB10BB"/>
    <w:rsid w:val="051A56F5"/>
    <w:rsid w:val="066D6EAA"/>
    <w:rsid w:val="06DC1681"/>
    <w:rsid w:val="085750FC"/>
    <w:rsid w:val="08C662D4"/>
    <w:rsid w:val="09BD4D95"/>
    <w:rsid w:val="0B0F58D6"/>
    <w:rsid w:val="0F8D41CB"/>
    <w:rsid w:val="0FEE2F21"/>
    <w:rsid w:val="11C75270"/>
    <w:rsid w:val="12637CC3"/>
    <w:rsid w:val="12E657C5"/>
    <w:rsid w:val="133C6E2A"/>
    <w:rsid w:val="14D12353"/>
    <w:rsid w:val="167C7687"/>
    <w:rsid w:val="168B3546"/>
    <w:rsid w:val="1A2374E0"/>
    <w:rsid w:val="1C317CE2"/>
    <w:rsid w:val="1DD45808"/>
    <w:rsid w:val="1DED42AC"/>
    <w:rsid w:val="20005763"/>
    <w:rsid w:val="20FB313D"/>
    <w:rsid w:val="220B4804"/>
    <w:rsid w:val="278B653F"/>
    <w:rsid w:val="282475E3"/>
    <w:rsid w:val="29E421D9"/>
    <w:rsid w:val="2C6100C1"/>
    <w:rsid w:val="3235157C"/>
    <w:rsid w:val="3264220D"/>
    <w:rsid w:val="32A83563"/>
    <w:rsid w:val="38872456"/>
    <w:rsid w:val="3963178C"/>
    <w:rsid w:val="3BA5236D"/>
    <w:rsid w:val="3BFC309F"/>
    <w:rsid w:val="3CED0699"/>
    <w:rsid w:val="3EB02FD6"/>
    <w:rsid w:val="41CC2676"/>
    <w:rsid w:val="46B21672"/>
    <w:rsid w:val="4F552460"/>
    <w:rsid w:val="4FCC6863"/>
    <w:rsid w:val="500A214A"/>
    <w:rsid w:val="522D604D"/>
    <w:rsid w:val="5297585E"/>
    <w:rsid w:val="52AD7D6F"/>
    <w:rsid w:val="5549519D"/>
    <w:rsid w:val="5557596B"/>
    <w:rsid w:val="596825D7"/>
    <w:rsid w:val="599C6F9C"/>
    <w:rsid w:val="5B596DFC"/>
    <w:rsid w:val="5DAE6D00"/>
    <w:rsid w:val="5DF03945"/>
    <w:rsid w:val="5F03526B"/>
    <w:rsid w:val="5FCD64CF"/>
    <w:rsid w:val="62E515AF"/>
    <w:rsid w:val="637C2815"/>
    <w:rsid w:val="666B4FDC"/>
    <w:rsid w:val="67FF13C8"/>
    <w:rsid w:val="682144B7"/>
    <w:rsid w:val="6B503F77"/>
    <w:rsid w:val="6E311968"/>
    <w:rsid w:val="7A353D0B"/>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2"/>
    <w:qFormat/>
    <w:uiPriority w:val="0"/>
    <w:pPr>
      <w:spacing w:after="0"/>
      <w:ind w:firstLine="200" w:firstLineChars="200"/>
    </w:pPr>
  </w:style>
  <w:style w:type="paragraph" w:styleId="19">
    <w:name w:val="Body Text First Indent 2"/>
    <w:basedOn w:val="13"/>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85858" w:themeColor="text1" w:themeTint="A6"/>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5B7FC-8114-42B1-AFEA-01FBFBAD7D4A}">
  <ds:schemaRefs/>
</ds:datastoreItem>
</file>

<file path=docProps/app.xml><?xml version="1.0" encoding="utf-8"?>
<Properties xmlns="http://schemas.openxmlformats.org/officeDocument/2006/extended-properties" xmlns:vt="http://schemas.openxmlformats.org/officeDocument/2006/docPropsVTypes">
  <Template>Normal</Template>
  <Pages>24</Pages>
  <Words>9019</Words>
  <Characters>9751</Characters>
  <Lines>75</Lines>
  <Paragraphs>21</Paragraphs>
  <TotalTime>1383</TotalTime>
  <ScaleCrop>false</ScaleCrop>
  <LinksUpToDate>false</LinksUpToDate>
  <CharactersWithSpaces>9837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2024-03-13T04:53:00Z</dcterms:created>
  <dc:creator>赵 恺（预算处）</dc:creator>
  <cp:lastModifiedBy>桔子</cp:lastModifiedBy>
  <cp:lastPrinted>2019-12-31T08:02:00Z</cp:lastPrinted>
  <dcterms:modified xsi:type="dcterms:W3CDTF">2024-10-16T03:39:11Z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013360FACCE1418B80C968824022A9DF</vt:lpwstr>
  </property>
  <property fmtid="{D5CDD505-2E9C-101B-9397-08002B2CF9AE}" pid="4" name="KSOSaveFontToCloudKey">
    <vt:lpwstr>0_btnclosed</vt:lpwstr>
  </property>
</Properties>
</file>