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《全面小康志》出版项目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新疆维吾尔自治区地方志编纂委员会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新疆维吾尔自治区地方志编纂委员会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杨志虎</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2024年03月21日</w:t>
      </w:r>
    </w:p>
    <w:p>
      <w:pPr>
        <w:spacing w:line="700" w:lineRule="exact"/>
        <w:ind w:firstLine="708" w:firstLineChars="236"/>
        <w:jc w:val="left"/>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hint="eastAsia" w:ascii="楷体_GB2312" w:hAnsi="楷体_GB2312" w:eastAsia="楷体_GB2312" w:cs="楷体_GB2312"/>
          <w:b w:val="0"/>
          <w:bCs w:val="0"/>
          <w:spacing w:val="-4"/>
          <w:sz w:val="32"/>
          <w:szCs w:val="32"/>
        </w:rPr>
      </w:pPr>
      <w:r>
        <w:rPr>
          <w:rStyle w:val="19"/>
          <w:rFonts w:hint="eastAsia" w:ascii="楷体_GB2312" w:hAnsi="楷体_GB2312" w:eastAsia="楷体_GB2312" w:cs="楷体_GB2312"/>
          <w:b w:val="0"/>
          <w:bCs w:val="0"/>
          <w:spacing w:val="-4"/>
          <w:sz w:val="32"/>
          <w:szCs w:val="32"/>
        </w:rPr>
        <w:t>（一）项目概况。包括项目背景、主要内容及实施情况、资金投入和使用情况等。</w:t>
      </w:r>
    </w:p>
    <w:p>
      <w:pPr>
        <w:spacing w:line="540" w:lineRule="exact"/>
        <w:ind w:firstLine="567"/>
        <w:rPr>
          <w:rStyle w:val="19"/>
          <w:rFonts w:ascii="楷体" w:hAnsi="楷体" w:eastAsia="楷体"/>
          <w:spacing w:val="-4"/>
          <w:sz w:val="32"/>
          <w:szCs w:val="32"/>
        </w:rPr>
      </w:pPr>
      <w:r>
        <w:rPr>
          <w:rStyle w:val="19"/>
          <w:rFonts w:hint="eastAsia" w:ascii="仿宋_GB2312" w:hAnsi="仿宋_GB2312" w:eastAsia="仿宋_GB2312" w:cs="仿宋_GB2312"/>
          <w:b w:val="0"/>
          <w:bCs w:val="0"/>
          <w:spacing w:val="-4"/>
          <w:sz w:val="32"/>
          <w:szCs w:val="32"/>
        </w:rPr>
        <w:t>《</w:t>
      </w:r>
      <w:r>
        <w:rPr>
          <w:rStyle w:val="19"/>
          <w:rFonts w:hint="eastAsia" w:ascii="仿宋_GB2312" w:hAnsi="仿宋_GB2312" w:eastAsia="仿宋_GB2312" w:cs="仿宋_GB2312"/>
          <w:b w:val="0"/>
          <w:bCs w:val="0"/>
          <w:spacing w:val="-4"/>
          <w:sz w:val="32"/>
          <w:szCs w:val="32"/>
          <w:lang w:eastAsia="zh-CN"/>
        </w:rPr>
        <w:t>全面小康志</w:t>
      </w:r>
      <w:r>
        <w:rPr>
          <w:rStyle w:val="19"/>
          <w:rFonts w:hint="eastAsia" w:ascii="仿宋_GB2312" w:hAnsi="仿宋_GB2312" w:eastAsia="仿宋_GB2312" w:cs="仿宋_GB2312"/>
          <w:b w:val="0"/>
          <w:bCs w:val="0"/>
          <w:spacing w:val="-4"/>
          <w:sz w:val="32"/>
          <w:szCs w:val="32"/>
        </w:rPr>
        <w:t>》是坚定捍卫“两个确立”、忠诚践行“两个维护”的重要体现；是增强“四个意识”、坚定“四个自信”，胸怀“两个大局”、牢记“国之大者”的重要体现。通过编纂《</w:t>
      </w:r>
      <w:r>
        <w:rPr>
          <w:rStyle w:val="19"/>
          <w:rFonts w:hint="eastAsia" w:ascii="仿宋_GB2312" w:hAnsi="仿宋_GB2312" w:eastAsia="仿宋_GB2312" w:cs="仿宋_GB2312"/>
          <w:b w:val="0"/>
          <w:bCs w:val="0"/>
          <w:spacing w:val="-4"/>
          <w:sz w:val="32"/>
          <w:szCs w:val="32"/>
          <w:lang w:eastAsia="zh-CN"/>
        </w:rPr>
        <w:t>全面小康志</w:t>
      </w:r>
      <w:r>
        <w:rPr>
          <w:rStyle w:val="19"/>
          <w:rFonts w:hint="eastAsia" w:ascii="仿宋_GB2312" w:hAnsi="仿宋_GB2312" w:eastAsia="仿宋_GB2312" w:cs="仿宋_GB2312"/>
          <w:b w:val="0"/>
          <w:bCs w:val="0"/>
          <w:spacing w:val="-4"/>
          <w:sz w:val="32"/>
          <w:szCs w:val="32"/>
        </w:rPr>
        <w:t>》忠实记录以习近平同志为核心的党中央，在新时代党的治疆方略指引下，新疆发生的巨大变化，深刻总结各地、各部门、各单位在推进经济社会发展中积累的宝贵经验和智慧、总结改革开放以来自治区各级党委政府在推进和提升人民幸福感、获得感、安全感中积累的宝贵经验和智慧，为推进国家治理体系和治理能力现代化提供更加有力的历史借鉴和智力支持。</w:t>
      </w:r>
      <w:r>
        <w:rPr>
          <w:rStyle w:val="19"/>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根据习近平总书记关于编纂“两志”的重要指示批示，以及中国地方志指导小组、自治区人民政府对开展《</w:t>
      </w:r>
      <w:r>
        <w:rPr>
          <w:rStyle w:val="19"/>
          <w:rFonts w:hint="eastAsia" w:ascii="仿宋_GB2312" w:hAnsi="仿宋_GB2312" w:eastAsia="仿宋_GB2312" w:cs="仿宋_GB2312"/>
          <w:b w:val="0"/>
          <w:bCs w:val="0"/>
          <w:spacing w:val="-4"/>
          <w:sz w:val="32"/>
          <w:szCs w:val="32"/>
          <w:lang w:eastAsia="zh-CN"/>
        </w:rPr>
        <w:t>全面小康志</w:t>
      </w:r>
      <w:r>
        <w:rPr>
          <w:rStyle w:val="19"/>
          <w:rFonts w:hint="eastAsia" w:ascii="仿宋_GB2312" w:hAnsi="仿宋_GB2312" w:eastAsia="仿宋_GB2312" w:cs="仿宋_GB2312"/>
          <w:b w:val="0"/>
          <w:bCs w:val="0"/>
          <w:spacing w:val="-4"/>
          <w:sz w:val="32"/>
          <w:szCs w:val="32"/>
        </w:rPr>
        <w:t>》编纂工作的部署，按照自治区党委办公厅、政府办公厅印发的《关于成立&lt;</w:t>
      </w:r>
      <w:r>
        <w:rPr>
          <w:rStyle w:val="19"/>
          <w:rFonts w:hint="eastAsia" w:ascii="仿宋_GB2312" w:hAnsi="仿宋_GB2312" w:eastAsia="仿宋_GB2312" w:cs="仿宋_GB2312"/>
          <w:b w:val="0"/>
          <w:bCs w:val="0"/>
          <w:spacing w:val="-4"/>
          <w:sz w:val="32"/>
          <w:szCs w:val="32"/>
          <w:lang w:eastAsia="zh-CN"/>
        </w:rPr>
        <w:t>全面小康志</w:t>
      </w:r>
      <w:r>
        <w:rPr>
          <w:rStyle w:val="19"/>
          <w:rFonts w:hint="eastAsia" w:ascii="仿宋_GB2312" w:hAnsi="仿宋_GB2312" w:eastAsia="仿宋_GB2312" w:cs="仿宋_GB2312"/>
          <w:b w:val="0"/>
          <w:bCs w:val="0"/>
          <w:spacing w:val="-4"/>
          <w:sz w:val="32"/>
          <w:szCs w:val="32"/>
        </w:rPr>
        <w:t>&gt;编纂委员会的通知》要求，结合自治区领导分别就编纂好《</w:t>
      </w:r>
      <w:r>
        <w:rPr>
          <w:rStyle w:val="19"/>
          <w:rFonts w:hint="eastAsia" w:ascii="仿宋_GB2312" w:hAnsi="仿宋_GB2312" w:eastAsia="仿宋_GB2312" w:cs="仿宋_GB2312"/>
          <w:b w:val="0"/>
          <w:bCs w:val="0"/>
          <w:spacing w:val="-4"/>
          <w:sz w:val="32"/>
          <w:szCs w:val="32"/>
          <w:lang w:eastAsia="zh-CN"/>
        </w:rPr>
        <w:t>全面小康志</w:t>
      </w:r>
      <w:r>
        <w:rPr>
          <w:rStyle w:val="19"/>
          <w:rFonts w:hint="eastAsia" w:ascii="仿宋_GB2312" w:hAnsi="仿宋_GB2312" w:eastAsia="仿宋_GB2312" w:cs="仿宋_GB2312"/>
          <w:b w:val="0"/>
          <w:bCs w:val="0"/>
          <w:spacing w:val="-4"/>
          <w:sz w:val="32"/>
          <w:szCs w:val="32"/>
        </w:rPr>
        <w:t>》作出重要批示和安排部署，切实组织编纂好《</w:t>
      </w:r>
      <w:r>
        <w:rPr>
          <w:rStyle w:val="19"/>
          <w:rFonts w:hint="eastAsia" w:ascii="仿宋_GB2312" w:hAnsi="仿宋_GB2312" w:eastAsia="仿宋_GB2312" w:cs="仿宋_GB2312"/>
          <w:b w:val="0"/>
          <w:bCs w:val="0"/>
          <w:spacing w:val="-4"/>
          <w:sz w:val="32"/>
          <w:szCs w:val="32"/>
          <w:lang w:eastAsia="zh-CN"/>
        </w:rPr>
        <w:t>全面小康志</w:t>
      </w:r>
      <w:r>
        <w:rPr>
          <w:rStyle w:val="19"/>
          <w:rFonts w:hint="eastAsia" w:ascii="仿宋_GB2312" w:hAnsi="仿宋_GB2312" w:eastAsia="仿宋_GB2312" w:cs="仿宋_GB2312"/>
          <w:b w:val="0"/>
          <w:bCs w:val="0"/>
          <w:spacing w:val="-4"/>
          <w:sz w:val="32"/>
          <w:szCs w:val="32"/>
        </w:rPr>
        <w:t>》。该项目已于2023年立项（财政预算资金为450万元）并且拨付第一期资金110万元。</w:t>
      </w:r>
      <w:r>
        <w:rPr>
          <w:rStyle w:val="19"/>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系统展现新疆同全国一道全面建设小康社会的历史进程和伟大成就，努力将其编纂成为正确反映新疆建设全面小康社会历程、彰显伟大时代精神、具有文化底蕴、符合现代文明理念、反映各族群众现实生活的精品佳作。</w:t>
      </w:r>
      <w:r>
        <w:rPr>
          <w:rStyle w:val="19"/>
          <w:rFonts w:hint="eastAsia" w:ascii="楷体" w:hAnsi="楷体" w:eastAsia="楷体"/>
          <w:spacing w:val="-4"/>
          <w:sz w:val="32"/>
          <w:szCs w:val="32"/>
        </w:rPr>
        <w:br w:type="textWrapping"/>
      </w:r>
      <w:r>
        <w:rPr>
          <w:rStyle w:val="19"/>
          <w:rFonts w:hint="eastAsia" w:ascii="楷体" w:hAnsi="楷体" w:eastAsia="楷体"/>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2023年度预算主要用于篇目设计及审定、培训及编纂初期开展的资料收集及审定费。</w:t>
      </w:r>
    </w:p>
    <w:p>
      <w:pPr>
        <w:spacing w:line="540" w:lineRule="exact"/>
        <w:ind w:firstLine="564" w:firstLineChars="181"/>
        <w:rPr>
          <w:rStyle w:val="19"/>
          <w:rFonts w:hint="eastAsia" w:ascii="楷体_GB2312" w:hAnsi="楷体_GB2312" w:eastAsia="楷体_GB2312" w:cs="楷体_GB2312"/>
          <w:b w:val="0"/>
          <w:bCs w:val="0"/>
          <w:spacing w:val="-4"/>
          <w:sz w:val="32"/>
          <w:szCs w:val="32"/>
        </w:rPr>
      </w:pPr>
      <w:r>
        <w:rPr>
          <w:rStyle w:val="19"/>
          <w:rFonts w:hint="eastAsia" w:ascii="楷体_GB2312" w:hAnsi="楷体_GB2312" w:eastAsia="楷体_GB2312" w:cs="楷体_GB2312"/>
          <w:b w:val="0"/>
          <w:bCs w:val="0"/>
          <w:spacing w:val="-4"/>
          <w:sz w:val="32"/>
          <w:szCs w:val="32"/>
        </w:rPr>
        <w:t>（二）项目绩效目标。包括总体目标和阶段性目标。</w:t>
      </w:r>
    </w:p>
    <w:p>
      <w:pPr>
        <w:spacing w:line="540" w:lineRule="exact"/>
        <w:ind w:firstLine="567"/>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总体目标是根据习近平总书记关于编纂“两志”的重要指示批示，以及中指组、自治区人民政府对开展《全面小康志》编纂工作的具体要求，2023年开展编纂《全面小康志》工作，本年度工作重点主要是分类整理搜集相关史实资料，并进行梳理；完成志书基本篇目、大纲的撰写工作以及评审工作，为下一年度的编纂工作做好充分的准备。</w:t>
      </w:r>
      <w:r>
        <w:rPr>
          <w:rStyle w:val="19"/>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阶段性目标是召开《</w:t>
      </w:r>
      <w:r>
        <w:rPr>
          <w:rStyle w:val="19"/>
          <w:rFonts w:hint="eastAsia" w:ascii="仿宋_GB2312" w:hAnsi="仿宋_GB2312" w:eastAsia="仿宋_GB2312" w:cs="仿宋_GB2312"/>
          <w:b w:val="0"/>
          <w:bCs w:val="0"/>
          <w:spacing w:val="-4"/>
          <w:sz w:val="32"/>
          <w:szCs w:val="32"/>
          <w:lang w:eastAsia="zh-CN"/>
        </w:rPr>
        <w:t>全面小康志</w:t>
      </w:r>
      <w:r>
        <w:rPr>
          <w:rStyle w:val="19"/>
          <w:rFonts w:hint="eastAsia" w:ascii="仿宋_GB2312" w:hAnsi="仿宋_GB2312" w:eastAsia="仿宋_GB2312" w:cs="仿宋_GB2312"/>
          <w:b w:val="0"/>
          <w:bCs w:val="0"/>
          <w:spacing w:val="-4"/>
          <w:sz w:val="32"/>
          <w:szCs w:val="32"/>
        </w:rPr>
        <w:t>》编纂启动会议、编纂业务培训班，完成编纂方案、篇目大纲的初步拟定，开展公开招标工作，根据中标结果，确定中标供应商，签订合同。完成资料收集、编纂等初步工作。</w:t>
      </w:r>
    </w:p>
    <w:p>
      <w:pPr>
        <w:spacing w:line="540" w:lineRule="exact"/>
        <w:ind w:firstLine="640"/>
        <w:rPr>
          <w:rStyle w:val="19"/>
          <w:rFonts w:hint="eastAsia" w:ascii="黑体" w:hAnsi="黑体" w:eastAsia="黑体" w:cs="黑体"/>
          <w:b w:val="0"/>
          <w:bCs/>
          <w:spacing w:val="-4"/>
          <w:sz w:val="32"/>
          <w:szCs w:val="32"/>
        </w:rPr>
      </w:pPr>
      <w:r>
        <w:rPr>
          <w:rStyle w:val="19"/>
          <w:rFonts w:hint="eastAsia" w:ascii="黑体" w:hAnsi="黑体" w:eastAsia="黑体" w:cs="黑体"/>
          <w:b w:val="0"/>
          <w:bCs/>
          <w:spacing w:val="-4"/>
          <w:sz w:val="32"/>
          <w:szCs w:val="32"/>
        </w:rPr>
        <w:t>二、绩效评价工作开展情况</w:t>
      </w:r>
    </w:p>
    <w:p>
      <w:pPr>
        <w:spacing w:line="540" w:lineRule="exact"/>
        <w:ind w:firstLine="564" w:firstLineChars="181"/>
        <w:rPr>
          <w:rStyle w:val="19"/>
          <w:rFonts w:hint="eastAsia" w:ascii="楷体_GB2312" w:hAnsi="楷体_GB2312" w:eastAsia="楷体_GB2312" w:cs="楷体_GB2312"/>
          <w:b w:val="0"/>
          <w:bCs w:val="0"/>
          <w:spacing w:val="-4"/>
          <w:sz w:val="32"/>
          <w:szCs w:val="32"/>
        </w:rPr>
      </w:pPr>
      <w:r>
        <w:rPr>
          <w:rStyle w:val="19"/>
          <w:rFonts w:hint="eastAsia" w:ascii="楷体_GB2312" w:hAnsi="楷体_GB2312" w:eastAsia="楷体_GB2312" w:cs="楷体_GB2312"/>
          <w:b w:val="0"/>
          <w:bCs w:val="0"/>
          <w:spacing w:val="-4"/>
          <w:sz w:val="32"/>
          <w:szCs w:val="32"/>
        </w:rPr>
        <w:t>（一）绩效评价目的、对象和范围。</w:t>
      </w:r>
    </w:p>
    <w:p>
      <w:pPr>
        <w:spacing w:line="540" w:lineRule="exact"/>
        <w:ind w:firstLine="567"/>
        <w:rPr>
          <w:rStyle w:val="19"/>
          <w:rFonts w:ascii="楷体" w:hAnsi="楷体" w:eastAsia="楷体"/>
          <w:spacing w:val="-4"/>
          <w:sz w:val="32"/>
          <w:szCs w:val="32"/>
        </w:rPr>
      </w:pPr>
      <w:r>
        <w:rPr>
          <w:rStyle w:val="19"/>
          <w:rFonts w:hint="eastAsia" w:ascii="仿宋_GB2312" w:hAnsi="仿宋_GB2312" w:eastAsia="仿宋_GB2312" w:cs="仿宋_GB2312"/>
          <w:b w:val="0"/>
          <w:bCs w:val="0"/>
          <w:spacing w:val="-4"/>
          <w:sz w:val="32"/>
          <w:szCs w:val="32"/>
        </w:rPr>
        <w:t>评价目的为落实习近平总书记关于编纂“两志”的重要指示批示，以及中国地方志指导小组、自治区人民政府对开展《</w:t>
      </w:r>
      <w:r>
        <w:rPr>
          <w:rStyle w:val="19"/>
          <w:rFonts w:hint="eastAsia" w:ascii="仿宋_GB2312" w:hAnsi="仿宋_GB2312" w:eastAsia="仿宋_GB2312" w:cs="仿宋_GB2312"/>
          <w:b w:val="0"/>
          <w:bCs w:val="0"/>
          <w:spacing w:val="-4"/>
          <w:sz w:val="32"/>
          <w:szCs w:val="32"/>
          <w:lang w:eastAsia="zh-CN"/>
        </w:rPr>
        <w:t>全面小康志</w:t>
      </w:r>
      <w:r>
        <w:rPr>
          <w:rStyle w:val="19"/>
          <w:rFonts w:hint="eastAsia" w:ascii="仿宋_GB2312" w:hAnsi="仿宋_GB2312" w:eastAsia="仿宋_GB2312" w:cs="仿宋_GB2312"/>
          <w:b w:val="0"/>
          <w:bCs w:val="0"/>
          <w:spacing w:val="-4"/>
          <w:sz w:val="32"/>
          <w:szCs w:val="32"/>
        </w:rPr>
        <w:t>》编纂工作的部署，坚持修志为用，充分利用地方志资源优势，完成《</w:t>
      </w:r>
      <w:r>
        <w:rPr>
          <w:rStyle w:val="19"/>
          <w:rFonts w:hint="eastAsia" w:ascii="仿宋_GB2312" w:hAnsi="仿宋_GB2312" w:eastAsia="仿宋_GB2312" w:cs="仿宋_GB2312"/>
          <w:b w:val="0"/>
          <w:bCs w:val="0"/>
          <w:spacing w:val="-4"/>
          <w:sz w:val="32"/>
          <w:szCs w:val="32"/>
          <w:lang w:eastAsia="zh-CN"/>
        </w:rPr>
        <w:t>全面小康志</w:t>
      </w:r>
      <w:r>
        <w:rPr>
          <w:rStyle w:val="19"/>
          <w:rFonts w:hint="eastAsia" w:ascii="仿宋_GB2312" w:hAnsi="仿宋_GB2312" w:eastAsia="仿宋_GB2312" w:cs="仿宋_GB2312"/>
          <w:b w:val="0"/>
          <w:bCs w:val="0"/>
          <w:spacing w:val="-4"/>
          <w:sz w:val="32"/>
          <w:szCs w:val="32"/>
        </w:rPr>
        <w:t>》；</w:t>
      </w:r>
      <w:r>
        <w:rPr>
          <w:rStyle w:val="19"/>
          <w:rFonts w:hint="eastAsia" w:ascii="仿宋_GB2312" w:hAnsi="仿宋_GB2312" w:eastAsia="仿宋_GB2312" w:cs="仿宋_GB2312"/>
          <w:b w:val="0"/>
          <w:bCs w:val="0"/>
          <w:spacing w:val="-4"/>
          <w:sz w:val="32"/>
          <w:szCs w:val="32"/>
          <w:lang w:val="en-US" w:eastAsia="zh-CN"/>
        </w:rPr>
        <w:t>同时</w:t>
      </w:r>
      <w:r>
        <w:rPr>
          <w:rStyle w:val="19"/>
          <w:rFonts w:hint="eastAsia" w:ascii="仿宋_GB2312" w:hAnsi="仿宋_GB2312" w:eastAsia="仿宋_GB2312" w:cs="仿宋_GB2312"/>
          <w:b w:val="0"/>
          <w:bCs w:val="0"/>
          <w:spacing w:val="-4"/>
          <w:sz w:val="32"/>
          <w:szCs w:val="32"/>
        </w:rPr>
        <w:t>通过开展部门整体支出绩效评价，促进部门从整体上提升预算绩效管理工作水平，强化部门支出责任，规范资金管理行为，提高财政资金使用效益，保障部门更好地履行职责</w:t>
      </w:r>
      <w:r>
        <w:rPr>
          <w:rStyle w:val="19"/>
          <w:rFonts w:hint="eastAsia" w:ascii="仿宋_GB2312" w:hAnsi="仿宋_GB2312" w:eastAsia="仿宋_GB2312" w:cs="仿宋_GB2312"/>
          <w:b w:val="0"/>
          <w:bCs w:val="0"/>
          <w:spacing w:val="-4"/>
          <w:sz w:val="32"/>
          <w:szCs w:val="32"/>
          <w:lang w:eastAsia="zh-CN"/>
        </w:rPr>
        <w:t>。</w:t>
      </w:r>
      <w:r>
        <w:rPr>
          <w:rStyle w:val="19"/>
          <w:rFonts w:hint="eastAsia" w:ascii="楷体" w:hAnsi="楷体" w:eastAsia="楷体"/>
          <w:spacing w:val="-4"/>
          <w:sz w:val="32"/>
          <w:szCs w:val="32"/>
        </w:rPr>
        <w:br w:type="textWrapping"/>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评价对象为《</w:t>
      </w:r>
      <w:r>
        <w:rPr>
          <w:rStyle w:val="19"/>
          <w:rFonts w:hint="eastAsia" w:ascii="仿宋_GB2312" w:hAnsi="仿宋_GB2312" w:eastAsia="仿宋_GB2312" w:cs="仿宋_GB2312"/>
          <w:b w:val="0"/>
          <w:bCs w:val="0"/>
          <w:spacing w:val="-4"/>
          <w:sz w:val="32"/>
          <w:szCs w:val="32"/>
          <w:lang w:eastAsia="zh-CN"/>
        </w:rPr>
        <w:t>全面小康志</w:t>
      </w:r>
      <w:r>
        <w:rPr>
          <w:rStyle w:val="19"/>
          <w:rFonts w:hint="eastAsia" w:ascii="仿宋_GB2312" w:hAnsi="仿宋_GB2312" w:eastAsia="仿宋_GB2312" w:cs="仿宋_GB2312"/>
          <w:b w:val="0"/>
          <w:bCs w:val="0"/>
          <w:spacing w:val="-4"/>
          <w:sz w:val="32"/>
          <w:szCs w:val="32"/>
        </w:rPr>
        <w:t>》出版项目</w:t>
      </w:r>
      <w:r>
        <w:rPr>
          <w:rStyle w:val="19"/>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评价范围为《</w:t>
      </w:r>
      <w:r>
        <w:rPr>
          <w:rStyle w:val="19"/>
          <w:rFonts w:hint="eastAsia" w:ascii="仿宋_GB2312" w:hAnsi="仿宋_GB2312" w:eastAsia="仿宋_GB2312" w:cs="仿宋_GB2312"/>
          <w:b w:val="0"/>
          <w:bCs w:val="0"/>
          <w:spacing w:val="-4"/>
          <w:sz w:val="32"/>
          <w:szCs w:val="32"/>
          <w:lang w:eastAsia="zh-CN"/>
        </w:rPr>
        <w:t>全面小康志</w:t>
      </w:r>
      <w:r>
        <w:rPr>
          <w:rStyle w:val="19"/>
          <w:rFonts w:hint="eastAsia" w:ascii="仿宋_GB2312" w:hAnsi="仿宋_GB2312" w:eastAsia="仿宋_GB2312" w:cs="仿宋_GB2312"/>
          <w:b w:val="0"/>
          <w:bCs w:val="0"/>
          <w:spacing w:val="-4"/>
          <w:sz w:val="32"/>
          <w:szCs w:val="32"/>
        </w:rPr>
        <w:t>》出版项目1</w:t>
      </w:r>
      <w:r>
        <w:rPr>
          <w:rStyle w:val="19"/>
          <w:rFonts w:hint="eastAsia" w:ascii="仿宋_GB2312" w:hAnsi="仿宋_GB2312" w:eastAsia="仿宋_GB2312" w:cs="仿宋_GB2312"/>
          <w:b w:val="0"/>
          <w:bCs w:val="0"/>
          <w:spacing w:val="-4"/>
          <w:sz w:val="32"/>
          <w:szCs w:val="32"/>
          <w:lang w:val="en-US" w:eastAsia="zh-CN"/>
        </w:rPr>
        <w:t>1</w:t>
      </w:r>
      <w:r>
        <w:rPr>
          <w:rStyle w:val="19"/>
          <w:rFonts w:hint="eastAsia" w:ascii="仿宋_GB2312" w:hAnsi="仿宋_GB2312" w:eastAsia="仿宋_GB2312" w:cs="仿宋_GB2312"/>
          <w:b w:val="0"/>
          <w:bCs w:val="0"/>
          <w:spacing w:val="-4"/>
          <w:sz w:val="32"/>
          <w:szCs w:val="32"/>
        </w:rPr>
        <w:t>0万元。</w:t>
      </w:r>
    </w:p>
    <w:p>
      <w:pPr>
        <w:spacing w:line="540" w:lineRule="exact"/>
        <w:ind w:firstLine="564" w:firstLineChars="181"/>
        <w:rPr>
          <w:rStyle w:val="19"/>
          <w:rFonts w:hint="eastAsia" w:ascii="楷体_GB2312" w:hAnsi="楷体_GB2312" w:eastAsia="楷体_GB2312" w:cs="楷体_GB2312"/>
          <w:b w:val="0"/>
          <w:bCs w:val="0"/>
          <w:spacing w:val="-4"/>
          <w:sz w:val="32"/>
          <w:szCs w:val="32"/>
        </w:rPr>
      </w:pPr>
      <w:r>
        <w:rPr>
          <w:rStyle w:val="19"/>
          <w:rFonts w:hint="eastAsia" w:ascii="楷体_GB2312" w:hAnsi="楷体_GB2312" w:eastAsia="楷体_GB2312" w:cs="楷体_GB2312"/>
          <w:b w:val="0"/>
          <w:bCs w:val="0"/>
          <w:spacing w:val="-4"/>
          <w:sz w:val="32"/>
          <w:szCs w:val="32"/>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val="0"/>
        <w:snapToGrid w:val="0"/>
        <w:spacing w:line="540" w:lineRule="exact"/>
        <w:ind w:firstLine="624" w:firstLineChars="200"/>
        <w:textAlignment w:val="auto"/>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lang w:val="en-US" w:eastAsia="zh-CN"/>
        </w:rPr>
        <w:t>1.</w:t>
      </w:r>
      <w:r>
        <w:rPr>
          <w:rStyle w:val="19"/>
          <w:rFonts w:hint="eastAsia" w:ascii="仿宋_GB2312" w:hAnsi="仿宋_GB2312" w:eastAsia="仿宋_GB2312" w:cs="仿宋_GB2312"/>
          <w:b w:val="0"/>
          <w:bCs w:val="0"/>
          <w:spacing w:val="-4"/>
          <w:sz w:val="32"/>
          <w:szCs w:val="32"/>
        </w:rPr>
        <w:t>评价原则</w:t>
      </w:r>
      <w:r>
        <w:rPr>
          <w:rStyle w:val="19"/>
          <w:rFonts w:hint="eastAsia" w:ascii="仿宋_GB2312" w:hAnsi="仿宋_GB2312" w:eastAsia="仿宋_GB2312" w:cs="仿宋_GB2312"/>
          <w:b w:val="0"/>
          <w:bCs w:val="0"/>
          <w:spacing w:val="-4"/>
          <w:sz w:val="32"/>
          <w:szCs w:val="32"/>
          <w:lang w:eastAsia="zh-CN"/>
        </w:rPr>
        <w:t>。</w:t>
      </w:r>
      <w:r>
        <w:rPr>
          <w:rStyle w:val="19"/>
          <w:rFonts w:hint="eastAsia" w:ascii="仿宋_GB2312" w:hAnsi="仿宋_GB2312" w:eastAsia="仿宋_GB2312" w:cs="仿宋_GB2312"/>
          <w:b w:val="0"/>
          <w:bCs w:val="0"/>
          <w:spacing w:val="-4"/>
          <w:sz w:val="32"/>
          <w:szCs w:val="32"/>
        </w:rPr>
        <w:t>依据财政部《关于印发〈项目支出绩效评价管理办法〉的通知》第一章“总则”第五条，绩效评价应遵循的基本原则有：</w:t>
      </w:r>
      <w:r>
        <w:rPr>
          <w:rStyle w:val="19"/>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lang w:eastAsia="zh-CN"/>
        </w:rPr>
        <w:t>（</w:t>
      </w:r>
      <w:r>
        <w:rPr>
          <w:rStyle w:val="19"/>
          <w:rFonts w:hint="eastAsia" w:ascii="仿宋_GB2312" w:hAnsi="仿宋_GB2312" w:eastAsia="仿宋_GB2312" w:cs="仿宋_GB2312"/>
          <w:b w:val="0"/>
          <w:bCs w:val="0"/>
          <w:spacing w:val="-4"/>
          <w:sz w:val="32"/>
          <w:szCs w:val="32"/>
          <w:lang w:val="en-US" w:eastAsia="zh-CN"/>
        </w:rPr>
        <w:t>1</w:t>
      </w:r>
      <w:r>
        <w:rPr>
          <w:rStyle w:val="19"/>
          <w:rFonts w:hint="eastAsia" w:ascii="仿宋_GB2312" w:hAnsi="仿宋_GB2312" w:eastAsia="仿宋_GB2312" w:cs="仿宋_GB2312"/>
          <w:b w:val="0"/>
          <w:bCs w:val="0"/>
          <w:spacing w:val="-4"/>
          <w:sz w:val="32"/>
          <w:szCs w:val="32"/>
          <w:lang w:eastAsia="zh-CN"/>
        </w:rPr>
        <w:t>）</w:t>
      </w:r>
      <w:r>
        <w:rPr>
          <w:rStyle w:val="19"/>
          <w:rFonts w:hint="eastAsia" w:ascii="仿宋_GB2312" w:hAnsi="仿宋_GB2312" w:eastAsia="仿宋_GB2312" w:cs="仿宋_GB2312"/>
          <w:b w:val="0"/>
          <w:bCs w:val="0"/>
          <w:spacing w:val="-4"/>
          <w:sz w:val="32"/>
          <w:szCs w:val="32"/>
        </w:rPr>
        <w:t>科学公正。绩效评价应当运用科学合理的方法，按照规范的程序，对项目绩效进行客观、公正的反映。</w:t>
      </w:r>
      <w:r>
        <w:rPr>
          <w:rStyle w:val="19"/>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lang w:eastAsia="zh-CN"/>
        </w:rPr>
        <w:t>（</w:t>
      </w:r>
      <w:r>
        <w:rPr>
          <w:rStyle w:val="19"/>
          <w:rFonts w:hint="eastAsia" w:ascii="仿宋_GB2312" w:hAnsi="仿宋_GB2312" w:eastAsia="仿宋_GB2312" w:cs="仿宋_GB2312"/>
          <w:b w:val="0"/>
          <w:bCs w:val="0"/>
          <w:spacing w:val="-4"/>
          <w:sz w:val="32"/>
          <w:szCs w:val="32"/>
          <w:lang w:val="en-US" w:eastAsia="zh-CN"/>
        </w:rPr>
        <w:t>2</w:t>
      </w:r>
      <w:r>
        <w:rPr>
          <w:rStyle w:val="19"/>
          <w:rFonts w:hint="eastAsia" w:ascii="仿宋_GB2312" w:hAnsi="仿宋_GB2312" w:eastAsia="仿宋_GB2312" w:cs="仿宋_GB2312"/>
          <w:b w:val="0"/>
          <w:bCs w:val="0"/>
          <w:spacing w:val="-4"/>
          <w:sz w:val="32"/>
          <w:szCs w:val="32"/>
          <w:lang w:eastAsia="zh-CN"/>
        </w:rPr>
        <w:t>）</w:t>
      </w:r>
      <w:r>
        <w:rPr>
          <w:rStyle w:val="19"/>
          <w:rFonts w:hint="eastAsia" w:ascii="仿宋_GB2312" w:hAnsi="仿宋_GB2312" w:eastAsia="仿宋_GB2312" w:cs="仿宋_GB2312"/>
          <w:b w:val="0"/>
          <w:bCs w:val="0"/>
          <w:spacing w:val="-4"/>
          <w:sz w:val="32"/>
          <w:szCs w:val="32"/>
        </w:rPr>
        <w:t>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9"/>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lang w:eastAsia="zh-CN"/>
        </w:rPr>
        <w:t>（</w:t>
      </w:r>
      <w:r>
        <w:rPr>
          <w:rStyle w:val="19"/>
          <w:rFonts w:hint="eastAsia" w:ascii="仿宋_GB2312" w:hAnsi="仿宋_GB2312" w:eastAsia="仿宋_GB2312" w:cs="仿宋_GB2312"/>
          <w:b w:val="0"/>
          <w:bCs w:val="0"/>
          <w:spacing w:val="-4"/>
          <w:sz w:val="32"/>
          <w:szCs w:val="32"/>
          <w:lang w:val="en-US" w:eastAsia="zh-CN"/>
        </w:rPr>
        <w:t>3</w:t>
      </w:r>
      <w:r>
        <w:rPr>
          <w:rStyle w:val="19"/>
          <w:rFonts w:hint="eastAsia" w:ascii="仿宋_GB2312" w:hAnsi="仿宋_GB2312" w:eastAsia="仿宋_GB2312" w:cs="仿宋_GB2312"/>
          <w:b w:val="0"/>
          <w:bCs w:val="0"/>
          <w:spacing w:val="-4"/>
          <w:sz w:val="32"/>
          <w:szCs w:val="32"/>
          <w:lang w:eastAsia="zh-CN"/>
        </w:rPr>
        <w:t>）</w:t>
      </w:r>
      <w:r>
        <w:rPr>
          <w:rStyle w:val="19"/>
          <w:rFonts w:hint="eastAsia" w:ascii="仿宋_GB2312" w:hAnsi="仿宋_GB2312" w:eastAsia="仿宋_GB2312" w:cs="仿宋_GB2312"/>
          <w:b w:val="0"/>
          <w:bCs w:val="0"/>
          <w:spacing w:val="-4"/>
          <w:sz w:val="32"/>
          <w:szCs w:val="32"/>
        </w:rPr>
        <w:t>激励约束。绩效评价结果应与预算安排、政策调整、改进管理实质性挂钩，体现奖优罚劣和激励相容导向，有效要安排、低效要压减、无效要问责。</w:t>
      </w:r>
      <w:r>
        <w:rPr>
          <w:rStyle w:val="19"/>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lang w:eastAsia="zh-CN"/>
        </w:rPr>
        <w:t>（</w:t>
      </w:r>
      <w:r>
        <w:rPr>
          <w:rStyle w:val="19"/>
          <w:rFonts w:hint="eastAsia" w:ascii="仿宋_GB2312" w:hAnsi="仿宋_GB2312" w:eastAsia="仿宋_GB2312" w:cs="仿宋_GB2312"/>
          <w:b w:val="0"/>
          <w:bCs w:val="0"/>
          <w:spacing w:val="-4"/>
          <w:sz w:val="32"/>
          <w:szCs w:val="32"/>
          <w:lang w:val="en-US" w:eastAsia="zh-CN"/>
        </w:rPr>
        <w:t>4</w:t>
      </w:r>
      <w:r>
        <w:rPr>
          <w:rStyle w:val="19"/>
          <w:rFonts w:hint="eastAsia" w:ascii="仿宋_GB2312" w:hAnsi="仿宋_GB2312" w:eastAsia="仿宋_GB2312" w:cs="仿宋_GB2312"/>
          <w:b w:val="0"/>
          <w:bCs w:val="0"/>
          <w:spacing w:val="-4"/>
          <w:sz w:val="32"/>
          <w:szCs w:val="32"/>
          <w:lang w:eastAsia="zh-CN"/>
        </w:rPr>
        <w:t>）</w:t>
      </w:r>
      <w:r>
        <w:rPr>
          <w:rStyle w:val="19"/>
          <w:rFonts w:hint="eastAsia" w:ascii="仿宋_GB2312" w:hAnsi="仿宋_GB2312" w:eastAsia="仿宋_GB2312" w:cs="仿宋_GB2312"/>
          <w:b w:val="0"/>
          <w:bCs w:val="0"/>
          <w:spacing w:val="-4"/>
          <w:sz w:val="32"/>
          <w:szCs w:val="32"/>
        </w:rPr>
        <w:t>公开透明。绩效评价结果应依法依规公开，并自觉接受社会监督。</w:t>
      </w:r>
    </w:p>
    <w:p>
      <w:pPr>
        <w:spacing w:line="540" w:lineRule="exact"/>
        <w:ind w:firstLine="624" w:firstLineChars="200"/>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2.评价指标体系（附表说明）</w:t>
      </w:r>
      <w:r>
        <w:rPr>
          <w:rStyle w:val="19"/>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依据财政部《关于印发〈项目支出绩效评价管理办法〉的通知》第三章“绩效评价指标、评价标准和方法”第十三条），参考其中的指标分级，设定具体项目指标体系框架，指标体系按层级分为“一级指标、二级指标、三级指标”。综合考虑该项目的实施情况、绩效目标和决策、过程、产出、效果指标等因素，对指标体系进行了修改，最终制定了该项目绩效评价体系。</w:t>
      </w:r>
      <w:r>
        <w:rPr>
          <w:rStyle w:val="19"/>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3.评价方法</w:t>
      </w:r>
      <w:r>
        <w:rPr>
          <w:rStyle w:val="19"/>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依据财政部《关于印发〈项目支出绩效评价管理办法〉的通知》第三章“绩效评价指标、评价标准和方法”第十六条）规定的绩效评价方法，结合项目实际情况，本次评价坚持“客观、公正、科学、规范”的原则，采用业务处室自评和工作组复评的方式，本次绩效评价工作综合采用比较分析、因素分析、成本效益等方法，采取全面评价与重点评价相结合，定量与定性评价相结合的比较法的方式进行。</w:t>
      </w:r>
      <w:r>
        <w:rPr>
          <w:rStyle w:val="19"/>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4.评价标准</w:t>
      </w:r>
      <w:r>
        <w:rPr>
          <w:rStyle w:val="19"/>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定量指标得分按照以下方法评定：①与年初指标值相比，完成指标值的，记该指标所赋全部分值；②对完成值高于指标值较多的，要分析原因，如果是由于年初指标值设定明显偏低造成的，要按照偏离度适度调减分值；③未完成指标值的，按照完成值与指标值的比例记分。此处结合依据财政部《关于印发〈项目支出绩效评价管理办法〉的通知》第三章“绩效评价指标、评价标准和方法”第十八条）：评价结果采取评分和评级相结合的方式，具体分值和等级可根据不同评价内容设定。总分一般设置为100分，等级一般划分为四档：90（含）</w:t>
      </w:r>
      <w:r>
        <w:rPr>
          <w:rStyle w:val="19"/>
          <w:rFonts w:hint="eastAsia" w:ascii="仿宋_GB2312" w:hAnsi="仿宋_GB2312" w:eastAsia="仿宋_GB2312" w:cs="仿宋_GB2312"/>
          <w:b w:val="0"/>
          <w:bCs w:val="0"/>
          <w:spacing w:val="-4"/>
          <w:sz w:val="32"/>
          <w:szCs w:val="32"/>
          <w:lang w:val="en-US" w:eastAsia="zh-CN"/>
        </w:rPr>
        <w:t>-</w:t>
      </w:r>
      <w:r>
        <w:rPr>
          <w:rStyle w:val="19"/>
          <w:rFonts w:hint="eastAsia" w:ascii="仿宋_GB2312" w:hAnsi="仿宋_GB2312" w:eastAsia="仿宋_GB2312" w:cs="仿宋_GB2312"/>
          <w:b w:val="0"/>
          <w:bCs w:val="0"/>
          <w:spacing w:val="-4"/>
          <w:sz w:val="32"/>
          <w:szCs w:val="32"/>
        </w:rPr>
        <w:t>100分为优、80（含）</w:t>
      </w:r>
      <w:r>
        <w:rPr>
          <w:rStyle w:val="19"/>
          <w:rFonts w:hint="eastAsia" w:ascii="仿宋_GB2312" w:hAnsi="仿宋_GB2312" w:eastAsia="仿宋_GB2312" w:cs="仿宋_GB2312"/>
          <w:b w:val="0"/>
          <w:bCs w:val="0"/>
          <w:spacing w:val="-4"/>
          <w:sz w:val="32"/>
          <w:szCs w:val="32"/>
          <w:lang w:val="en-US" w:eastAsia="zh-CN"/>
        </w:rPr>
        <w:t>-</w:t>
      </w:r>
      <w:r>
        <w:rPr>
          <w:rStyle w:val="19"/>
          <w:rFonts w:hint="eastAsia" w:ascii="仿宋_GB2312" w:hAnsi="仿宋_GB2312" w:eastAsia="仿宋_GB2312" w:cs="仿宋_GB2312"/>
          <w:b w:val="0"/>
          <w:bCs w:val="0"/>
          <w:spacing w:val="-4"/>
          <w:sz w:val="32"/>
          <w:szCs w:val="32"/>
        </w:rPr>
        <w:t>90分为良、60（含）</w:t>
      </w:r>
      <w:r>
        <w:rPr>
          <w:rStyle w:val="19"/>
          <w:rFonts w:hint="eastAsia" w:ascii="仿宋_GB2312" w:hAnsi="仿宋_GB2312" w:eastAsia="仿宋_GB2312" w:cs="仿宋_GB2312"/>
          <w:b w:val="0"/>
          <w:bCs w:val="0"/>
          <w:spacing w:val="-4"/>
          <w:sz w:val="32"/>
          <w:szCs w:val="32"/>
          <w:lang w:val="en-US" w:eastAsia="zh-CN"/>
        </w:rPr>
        <w:t>-</w:t>
      </w:r>
      <w:r>
        <w:rPr>
          <w:rStyle w:val="19"/>
          <w:rFonts w:hint="eastAsia" w:ascii="仿宋_GB2312" w:hAnsi="仿宋_GB2312" w:eastAsia="仿宋_GB2312" w:cs="仿宋_GB2312"/>
          <w:b w:val="0"/>
          <w:bCs w:val="0"/>
          <w:spacing w:val="-4"/>
          <w:sz w:val="32"/>
          <w:szCs w:val="32"/>
        </w:rPr>
        <w:t>80分为中、60分以下为差。</w:t>
      </w:r>
      <w:r>
        <w:rPr>
          <w:rStyle w:val="19"/>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定性指标得分按照以下方法评定：根据指标完成情况分为达成年度指标、部分达成年度指标并具有一定效果、未达成年度指标且效果较差三档，分别按照该指标对应分值区间100%</w:t>
      </w:r>
      <w:r>
        <w:rPr>
          <w:rStyle w:val="19"/>
          <w:rFonts w:hint="eastAsia" w:ascii="仿宋_GB2312" w:hAnsi="仿宋_GB2312" w:eastAsia="仿宋_GB2312" w:cs="仿宋_GB2312"/>
          <w:b w:val="0"/>
          <w:bCs w:val="0"/>
          <w:spacing w:val="-4"/>
          <w:sz w:val="32"/>
          <w:szCs w:val="32"/>
          <w:lang w:val="en-US" w:eastAsia="zh-CN"/>
        </w:rPr>
        <w:t>-</w:t>
      </w:r>
      <w:r>
        <w:rPr>
          <w:rStyle w:val="19"/>
          <w:rFonts w:hint="eastAsia" w:ascii="仿宋_GB2312" w:hAnsi="仿宋_GB2312" w:eastAsia="仿宋_GB2312" w:cs="仿宋_GB2312"/>
          <w:b w:val="0"/>
          <w:bCs w:val="0"/>
          <w:spacing w:val="-4"/>
          <w:sz w:val="32"/>
          <w:szCs w:val="32"/>
        </w:rPr>
        <w:t>80%（含）、80%</w:t>
      </w:r>
      <w:r>
        <w:rPr>
          <w:rStyle w:val="19"/>
          <w:rFonts w:hint="eastAsia" w:ascii="仿宋_GB2312" w:hAnsi="仿宋_GB2312" w:eastAsia="仿宋_GB2312" w:cs="仿宋_GB2312"/>
          <w:b w:val="0"/>
          <w:bCs w:val="0"/>
          <w:spacing w:val="-4"/>
          <w:sz w:val="32"/>
          <w:szCs w:val="32"/>
          <w:lang w:val="en-US" w:eastAsia="zh-CN"/>
        </w:rPr>
        <w:t>-</w:t>
      </w:r>
      <w:r>
        <w:rPr>
          <w:rStyle w:val="19"/>
          <w:rFonts w:hint="eastAsia" w:ascii="仿宋_GB2312" w:hAnsi="仿宋_GB2312" w:eastAsia="仿宋_GB2312" w:cs="仿宋_GB2312"/>
          <w:b w:val="0"/>
          <w:bCs w:val="0"/>
          <w:spacing w:val="-4"/>
          <w:sz w:val="32"/>
          <w:szCs w:val="32"/>
        </w:rPr>
        <w:t>60%（含）、60%</w:t>
      </w:r>
      <w:r>
        <w:rPr>
          <w:rStyle w:val="19"/>
          <w:rFonts w:hint="eastAsia" w:ascii="仿宋_GB2312" w:hAnsi="仿宋_GB2312" w:eastAsia="仿宋_GB2312" w:cs="仿宋_GB2312"/>
          <w:b w:val="0"/>
          <w:bCs w:val="0"/>
          <w:spacing w:val="-4"/>
          <w:sz w:val="32"/>
          <w:szCs w:val="32"/>
          <w:lang w:val="en-US" w:eastAsia="zh-CN"/>
        </w:rPr>
        <w:t>-</w:t>
      </w:r>
      <w:r>
        <w:rPr>
          <w:rStyle w:val="19"/>
          <w:rFonts w:hint="eastAsia" w:ascii="仿宋_GB2312" w:hAnsi="仿宋_GB2312" w:eastAsia="仿宋_GB2312" w:cs="仿宋_GB2312"/>
          <w:b w:val="0"/>
          <w:bCs w:val="0"/>
          <w:spacing w:val="-4"/>
          <w:sz w:val="32"/>
          <w:szCs w:val="32"/>
        </w:rPr>
        <w:t>0%合理确定分值。</w:t>
      </w:r>
      <w:r>
        <w:rPr>
          <w:rStyle w:val="19"/>
          <w:rFonts w:hint="eastAsia" w:ascii="楷体" w:hAnsi="楷体" w:eastAsia="楷体"/>
          <w:spacing w:val="-4"/>
          <w:sz w:val="32"/>
          <w:szCs w:val="32"/>
        </w:rPr>
        <w:br w:type="textWrapping"/>
      </w:r>
      <w:r>
        <w:rPr>
          <w:rStyle w:val="19"/>
          <w:rFonts w:hint="eastAsia" w:ascii="楷体" w:hAnsi="楷体" w:eastAsia="楷体"/>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2023年度我委严格按照年初预算安排资金执行，积极落实《</w:t>
      </w:r>
      <w:r>
        <w:rPr>
          <w:rStyle w:val="19"/>
          <w:rFonts w:hint="eastAsia" w:ascii="仿宋_GB2312" w:hAnsi="仿宋_GB2312" w:eastAsia="仿宋_GB2312" w:cs="仿宋_GB2312"/>
          <w:b w:val="0"/>
          <w:bCs w:val="0"/>
          <w:spacing w:val="-4"/>
          <w:sz w:val="32"/>
          <w:szCs w:val="32"/>
          <w:lang w:eastAsia="zh-CN"/>
        </w:rPr>
        <w:t>全面小康志</w:t>
      </w:r>
      <w:r>
        <w:rPr>
          <w:rStyle w:val="19"/>
          <w:rFonts w:hint="eastAsia" w:ascii="仿宋_GB2312" w:hAnsi="仿宋_GB2312" w:eastAsia="仿宋_GB2312" w:cs="仿宋_GB2312"/>
          <w:b w:val="0"/>
          <w:bCs w:val="0"/>
          <w:spacing w:val="-4"/>
          <w:sz w:val="32"/>
          <w:szCs w:val="32"/>
        </w:rPr>
        <w:t>》专项资金，严格按照制度规定进行资金管理，做到了专款专用，没有滞留、截留、挤占和挪用的现象。项目财务管理方面，财务管理制度健全，严格执行财务管理制度，账务处理及时，会计核算规范。并按以上原则、体系和标准进行绩效评价。</w:t>
      </w:r>
    </w:p>
    <w:p>
      <w:pPr>
        <w:spacing w:line="540" w:lineRule="exact"/>
        <w:ind w:firstLine="564" w:firstLineChars="181"/>
        <w:rPr>
          <w:rStyle w:val="19"/>
          <w:rFonts w:hint="eastAsia" w:ascii="楷体_GB2312" w:hAnsi="楷体_GB2312" w:eastAsia="楷体_GB2312" w:cs="楷体_GB2312"/>
          <w:b w:val="0"/>
          <w:bCs w:val="0"/>
          <w:spacing w:val="-4"/>
          <w:sz w:val="32"/>
          <w:szCs w:val="32"/>
        </w:rPr>
      </w:pPr>
      <w:r>
        <w:rPr>
          <w:rStyle w:val="19"/>
          <w:rFonts w:hint="eastAsia" w:ascii="楷体_GB2312" w:hAnsi="楷体_GB2312" w:eastAsia="楷体_GB2312" w:cs="楷体_GB2312"/>
          <w:b w:val="0"/>
          <w:bCs w:val="0"/>
          <w:spacing w:val="-4"/>
          <w:sz w:val="32"/>
          <w:szCs w:val="32"/>
        </w:rPr>
        <w:t>（三）绩效评价工作过程。</w:t>
      </w:r>
    </w:p>
    <w:p>
      <w:pPr>
        <w:keepNext w:val="0"/>
        <w:keepLines w:val="0"/>
        <w:widowControl/>
        <w:suppressLineNumbers w:val="0"/>
        <w:ind w:firstLine="960" w:firstLineChars="300"/>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本次绩效自评工作流程分为三个阶段，具体工作如下：</w:t>
      </w:r>
    </w:p>
    <w:p>
      <w:pPr>
        <w:spacing w:line="240" w:lineRule="auto"/>
        <w:ind w:firstLine="640"/>
        <w:rPr>
          <w:rStyle w:val="19"/>
          <w:rFonts w:hint="eastAsia" w:ascii="黑体" w:hAnsi="黑体" w:eastAsia="黑体"/>
          <w:b w:val="0"/>
          <w:spacing w:val="-4"/>
          <w:sz w:val="32"/>
          <w:szCs w:val="32"/>
          <w:lang w:eastAsia="zh-CN"/>
        </w:rPr>
      </w:pPr>
      <w:r>
        <w:rPr>
          <w:rStyle w:val="19"/>
          <w:rFonts w:hint="eastAsia" w:ascii="黑体" w:hAnsi="黑体" w:eastAsia="黑体"/>
          <w:b w:val="0"/>
          <w:spacing w:val="-4"/>
          <w:sz w:val="32"/>
          <w:szCs w:val="32"/>
          <w:lang w:eastAsia="zh-CN"/>
        </w:rPr>
        <w:drawing>
          <wp:anchor distT="0" distB="0" distL="114935" distR="114935" simplePos="0" relativeHeight="251659264" behindDoc="0" locked="0" layoutInCell="1" allowOverlap="1">
            <wp:simplePos x="0" y="0"/>
            <wp:positionH relativeFrom="column">
              <wp:posOffset>242570</wp:posOffset>
            </wp:positionH>
            <wp:positionV relativeFrom="paragraph">
              <wp:posOffset>26670</wp:posOffset>
            </wp:positionV>
            <wp:extent cx="5026660" cy="3314700"/>
            <wp:effectExtent l="0" t="0" r="0" b="0"/>
            <wp:wrapSquare wrapText="bothSides"/>
            <wp:docPr id="3" name="图片 3" descr="a4f823991f62e4616402439a07914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4f823991f62e4616402439a07914452"/>
                    <pic:cNvPicPr>
                      <a:picLocks noChangeAspect="1"/>
                    </pic:cNvPicPr>
                  </pic:nvPicPr>
                  <pic:blipFill>
                    <a:blip r:embed="rId5"/>
                    <a:srcRect l="1542"/>
                    <a:stretch>
                      <a:fillRect/>
                    </a:stretch>
                  </pic:blipFill>
                  <pic:spPr>
                    <a:xfrm>
                      <a:off x="0" y="0"/>
                      <a:ext cx="5026660" cy="3314700"/>
                    </a:xfrm>
                    <a:prstGeom prst="rect">
                      <a:avLst/>
                    </a:prstGeom>
                  </pic:spPr>
                </pic:pic>
              </a:graphicData>
            </a:graphic>
          </wp:anchor>
        </w:drawing>
      </w:r>
    </w:p>
    <w:p>
      <w:pPr>
        <w:spacing w:line="540" w:lineRule="exact"/>
        <w:ind w:firstLine="624" w:firstLineChars="200"/>
        <w:rPr>
          <w:rStyle w:val="19"/>
          <w:rFonts w:hint="eastAsia" w:ascii="黑体" w:hAnsi="黑体" w:eastAsia="黑体" w:cs="黑体"/>
          <w:b w:val="0"/>
          <w:bCs/>
          <w:spacing w:val="-4"/>
          <w:sz w:val="32"/>
          <w:szCs w:val="32"/>
        </w:rPr>
      </w:pPr>
      <w:r>
        <w:rPr>
          <w:rStyle w:val="19"/>
          <w:rFonts w:hint="eastAsia" w:ascii="黑体" w:hAnsi="黑体" w:eastAsia="黑体" w:cs="黑体"/>
          <w:b w:val="0"/>
          <w:bCs/>
          <w:spacing w:val="-4"/>
          <w:sz w:val="32"/>
          <w:szCs w:val="32"/>
        </w:rPr>
        <w:t>三、综合评价情况及评价结论</w:t>
      </w:r>
    </w:p>
    <w:p>
      <w:pPr>
        <w:spacing w:line="540" w:lineRule="exact"/>
        <w:ind w:firstLine="624" w:firstLineChars="200"/>
        <w:rPr>
          <w:rStyle w:val="19"/>
          <w:rFonts w:hint="eastAsia" w:ascii="仿宋_GB2312" w:hAnsi="仿宋_GB2312" w:eastAsia="仿宋_GB2312" w:cs="仿宋_GB2312"/>
          <w:b w:val="0"/>
          <w:bCs w:val="0"/>
          <w:spacing w:val="-4"/>
          <w:sz w:val="32"/>
          <w:szCs w:val="32"/>
          <w:lang w:val="en-US" w:eastAsia="zh-CN"/>
        </w:rPr>
      </w:pPr>
      <w:r>
        <w:rPr>
          <w:rStyle w:val="19"/>
          <w:rFonts w:hint="eastAsia" w:ascii="仿宋_GB2312" w:hAnsi="仿宋_GB2312" w:eastAsia="仿宋_GB2312" w:cs="仿宋_GB2312"/>
          <w:b w:val="0"/>
          <w:bCs w:val="0"/>
          <w:spacing w:val="-4"/>
          <w:sz w:val="32"/>
          <w:szCs w:val="32"/>
          <w:lang w:val="en-US" w:eastAsia="zh-CN"/>
        </w:rPr>
        <w:t>本项目是四年期项目，总预算450万元，分四年拨付到位，2023年</w:t>
      </w:r>
      <w:r>
        <w:rPr>
          <w:rStyle w:val="19"/>
          <w:rFonts w:hint="eastAsia" w:ascii="仿宋_GB2312" w:hAnsi="仿宋_GB2312" w:eastAsia="仿宋_GB2312" w:cs="仿宋_GB2312"/>
          <w:b w:val="0"/>
          <w:bCs w:val="0"/>
          <w:spacing w:val="-4"/>
          <w:sz w:val="32"/>
          <w:szCs w:val="32"/>
        </w:rPr>
        <w:t>资金总体评价结论：本项目预算资金为1</w:t>
      </w:r>
      <w:r>
        <w:rPr>
          <w:rStyle w:val="19"/>
          <w:rFonts w:hint="eastAsia" w:ascii="仿宋_GB2312" w:hAnsi="仿宋_GB2312" w:eastAsia="仿宋_GB2312" w:cs="仿宋_GB2312"/>
          <w:b w:val="0"/>
          <w:bCs w:val="0"/>
          <w:spacing w:val="-4"/>
          <w:sz w:val="32"/>
          <w:szCs w:val="32"/>
          <w:lang w:val="en-US" w:eastAsia="zh-CN"/>
        </w:rPr>
        <w:t>1</w:t>
      </w:r>
      <w:r>
        <w:rPr>
          <w:rStyle w:val="19"/>
          <w:rFonts w:hint="eastAsia" w:ascii="仿宋_GB2312" w:hAnsi="仿宋_GB2312" w:eastAsia="仿宋_GB2312" w:cs="仿宋_GB2312"/>
          <w:b w:val="0"/>
          <w:bCs w:val="0"/>
          <w:spacing w:val="-4"/>
          <w:sz w:val="32"/>
          <w:szCs w:val="32"/>
        </w:rPr>
        <w:t>0.00万元，到位资金为1</w:t>
      </w:r>
      <w:r>
        <w:rPr>
          <w:rStyle w:val="19"/>
          <w:rFonts w:hint="eastAsia" w:ascii="仿宋_GB2312" w:hAnsi="仿宋_GB2312" w:eastAsia="仿宋_GB2312" w:cs="仿宋_GB2312"/>
          <w:b w:val="0"/>
          <w:bCs w:val="0"/>
          <w:spacing w:val="-4"/>
          <w:sz w:val="32"/>
          <w:szCs w:val="32"/>
          <w:lang w:val="en-US" w:eastAsia="zh-CN"/>
        </w:rPr>
        <w:t>1</w:t>
      </w:r>
      <w:r>
        <w:rPr>
          <w:rStyle w:val="19"/>
          <w:rFonts w:hint="eastAsia" w:ascii="仿宋_GB2312" w:hAnsi="仿宋_GB2312" w:eastAsia="仿宋_GB2312" w:cs="仿宋_GB2312"/>
          <w:b w:val="0"/>
          <w:bCs w:val="0"/>
          <w:spacing w:val="-4"/>
          <w:sz w:val="32"/>
          <w:szCs w:val="32"/>
        </w:rPr>
        <w:t>0.00万元，实际执行率金额为1</w:t>
      </w:r>
      <w:r>
        <w:rPr>
          <w:rStyle w:val="19"/>
          <w:rFonts w:hint="eastAsia" w:ascii="仿宋_GB2312" w:hAnsi="仿宋_GB2312" w:eastAsia="仿宋_GB2312" w:cs="仿宋_GB2312"/>
          <w:b w:val="0"/>
          <w:bCs w:val="0"/>
          <w:spacing w:val="-4"/>
          <w:sz w:val="32"/>
          <w:szCs w:val="32"/>
          <w:lang w:val="en-US" w:eastAsia="zh-CN"/>
        </w:rPr>
        <w:t>1</w:t>
      </w:r>
      <w:r>
        <w:rPr>
          <w:rStyle w:val="19"/>
          <w:rFonts w:hint="eastAsia" w:ascii="仿宋_GB2312" w:hAnsi="仿宋_GB2312" w:eastAsia="仿宋_GB2312" w:cs="仿宋_GB2312"/>
          <w:b w:val="0"/>
          <w:bCs w:val="0"/>
          <w:spacing w:val="-4"/>
          <w:sz w:val="32"/>
          <w:szCs w:val="32"/>
        </w:rPr>
        <w:t>0.00万元，资金到位率100%，预算执行率为100%，</w:t>
      </w:r>
      <w:r>
        <w:rPr>
          <w:rStyle w:val="19"/>
          <w:rFonts w:hint="eastAsia" w:ascii="仿宋_GB2312" w:hAnsi="仿宋_GB2312" w:eastAsia="仿宋_GB2312" w:cs="仿宋_GB2312"/>
          <w:b w:val="0"/>
          <w:bCs w:val="0"/>
          <w:spacing w:val="-4"/>
          <w:sz w:val="32"/>
          <w:szCs w:val="32"/>
        </w:rPr>
        <w:t>该项目的预算执行率占总评分值10%（实际使用经费达预算经费的</w:t>
      </w:r>
      <w:r>
        <w:rPr>
          <w:rStyle w:val="19"/>
          <w:rFonts w:hint="eastAsia" w:ascii="仿宋_GB2312" w:hAnsi="仿宋_GB2312" w:eastAsia="仿宋_GB2312" w:cs="仿宋_GB2312"/>
          <w:b w:val="0"/>
          <w:bCs w:val="0"/>
          <w:spacing w:val="-4"/>
          <w:sz w:val="32"/>
          <w:szCs w:val="32"/>
          <w:lang w:val="en-US" w:eastAsia="zh-CN"/>
        </w:rPr>
        <w:t>100.00</w:t>
      </w:r>
      <w:r>
        <w:rPr>
          <w:rStyle w:val="19"/>
          <w:rFonts w:hint="eastAsia" w:ascii="仿宋_GB2312" w:hAnsi="仿宋_GB2312" w:eastAsia="仿宋_GB2312" w:cs="仿宋_GB2312"/>
          <w:b w:val="0"/>
          <w:bCs w:val="0"/>
          <w:spacing w:val="-4"/>
          <w:sz w:val="32"/>
          <w:szCs w:val="32"/>
        </w:rPr>
        <w:t>%），自评</w:t>
      </w:r>
      <w:r>
        <w:rPr>
          <w:rStyle w:val="19"/>
          <w:rFonts w:hint="eastAsia" w:ascii="仿宋_GB2312" w:hAnsi="仿宋_GB2312" w:eastAsia="仿宋_GB2312" w:cs="仿宋_GB2312"/>
          <w:b w:val="0"/>
          <w:bCs w:val="0"/>
          <w:spacing w:val="-4"/>
          <w:sz w:val="32"/>
          <w:szCs w:val="32"/>
          <w:lang w:val="en-US" w:eastAsia="zh-CN"/>
        </w:rPr>
        <w:t>10</w:t>
      </w:r>
      <w:r>
        <w:rPr>
          <w:rStyle w:val="19"/>
          <w:rFonts w:hint="eastAsia" w:ascii="仿宋_GB2312" w:hAnsi="仿宋_GB2312" w:eastAsia="仿宋_GB2312" w:cs="仿宋_GB2312"/>
          <w:b w:val="0"/>
          <w:bCs w:val="0"/>
          <w:spacing w:val="-4"/>
          <w:sz w:val="32"/>
          <w:szCs w:val="32"/>
        </w:rPr>
        <w:t>分，一级指标“产出指标”占总评分值</w:t>
      </w:r>
      <w:r>
        <w:rPr>
          <w:rStyle w:val="19"/>
          <w:rFonts w:hint="eastAsia" w:ascii="仿宋_GB2312" w:hAnsi="仿宋_GB2312" w:eastAsia="仿宋_GB2312" w:cs="仿宋_GB2312"/>
          <w:b w:val="0"/>
          <w:bCs w:val="0"/>
          <w:spacing w:val="-4"/>
          <w:sz w:val="32"/>
          <w:szCs w:val="32"/>
          <w:lang w:val="en-US" w:eastAsia="zh-CN"/>
        </w:rPr>
        <w:t>5</w:t>
      </w:r>
      <w:r>
        <w:rPr>
          <w:rStyle w:val="19"/>
          <w:rFonts w:hint="eastAsia" w:ascii="仿宋_GB2312" w:hAnsi="仿宋_GB2312" w:eastAsia="仿宋_GB2312" w:cs="仿宋_GB2312"/>
          <w:b w:val="0"/>
          <w:bCs w:val="0"/>
          <w:spacing w:val="-4"/>
          <w:sz w:val="32"/>
          <w:szCs w:val="32"/>
        </w:rPr>
        <w:t>0%，自评</w:t>
      </w:r>
      <w:r>
        <w:rPr>
          <w:rStyle w:val="19"/>
          <w:rFonts w:hint="eastAsia" w:ascii="仿宋_GB2312" w:hAnsi="仿宋_GB2312" w:eastAsia="仿宋_GB2312" w:cs="仿宋_GB2312"/>
          <w:b w:val="0"/>
          <w:bCs w:val="0"/>
          <w:spacing w:val="-4"/>
          <w:sz w:val="32"/>
          <w:szCs w:val="32"/>
          <w:lang w:val="en-US" w:eastAsia="zh-CN"/>
        </w:rPr>
        <w:t>50</w:t>
      </w:r>
      <w:r>
        <w:rPr>
          <w:rStyle w:val="19"/>
          <w:rFonts w:hint="eastAsia" w:ascii="仿宋_GB2312" w:hAnsi="仿宋_GB2312" w:eastAsia="仿宋_GB2312" w:cs="仿宋_GB2312"/>
          <w:b w:val="0"/>
          <w:bCs w:val="0"/>
          <w:spacing w:val="-4"/>
          <w:sz w:val="32"/>
          <w:szCs w:val="32"/>
        </w:rPr>
        <w:t>分；一级指标“</w:t>
      </w:r>
      <w:r>
        <w:rPr>
          <w:rStyle w:val="19"/>
          <w:rFonts w:hint="eastAsia" w:ascii="仿宋_GB2312" w:hAnsi="仿宋_GB2312" w:eastAsia="仿宋_GB2312" w:cs="仿宋_GB2312"/>
          <w:b w:val="0"/>
          <w:bCs w:val="0"/>
          <w:spacing w:val="-4"/>
          <w:sz w:val="32"/>
          <w:szCs w:val="32"/>
          <w:lang w:val="en-US" w:eastAsia="zh-CN"/>
        </w:rPr>
        <w:t>成本</w:t>
      </w:r>
      <w:r>
        <w:rPr>
          <w:rStyle w:val="19"/>
          <w:rFonts w:hint="eastAsia" w:ascii="仿宋_GB2312" w:hAnsi="仿宋_GB2312" w:eastAsia="仿宋_GB2312" w:cs="仿宋_GB2312"/>
          <w:b w:val="0"/>
          <w:bCs w:val="0"/>
          <w:spacing w:val="-4"/>
          <w:sz w:val="32"/>
          <w:szCs w:val="32"/>
        </w:rPr>
        <w:t>指标”占总评分值</w:t>
      </w:r>
      <w:r>
        <w:rPr>
          <w:rStyle w:val="19"/>
          <w:rFonts w:hint="eastAsia" w:ascii="仿宋_GB2312" w:hAnsi="仿宋_GB2312" w:eastAsia="仿宋_GB2312" w:cs="仿宋_GB2312"/>
          <w:b w:val="0"/>
          <w:bCs w:val="0"/>
          <w:spacing w:val="-4"/>
          <w:sz w:val="32"/>
          <w:szCs w:val="32"/>
          <w:lang w:val="en-US" w:eastAsia="zh-CN"/>
        </w:rPr>
        <w:t>4</w:t>
      </w:r>
      <w:r>
        <w:rPr>
          <w:rStyle w:val="19"/>
          <w:rFonts w:hint="eastAsia" w:ascii="仿宋_GB2312" w:hAnsi="仿宋_GB2312" w:eastAsia="仿宋_GB2312" w:cs="仿宋_GB2312"/>
          <w:b w:val="0"/>
          <w:bCs w:val="0"/>
          <w:spacing w:val="-4"/>
          <w:sz w:val="32"/>
          <w:szCs w:val="32"/>
        </w:rPr>
        <w:t>0%，自评</w:t>
      </w:r>
      <w:r>
        <w:rPr>
          <w:rStyle w:val="19"/>
          <w:rFonts w:hint="eastAsia" w:ascii="仿宋_GB2312" w:hAnsi="仿宋_GB2312" w:eastAsia="仿宋_GB2312" w:cs="仿宋_GB2312"/>
          <w:b w:val="0"/>
          <w:bCs w:val="0"/>
          <w:spacing w:val="-4"/>
          <w:sz w:val="32"/>
          <w:szCs w:val="32"/>
          <w:lang w:val="en-US" w:eastAsia="zh-CN"/>
        </w:rPr>
        <w:t>40</w:t>
      </w:r>
      <w:r>
        <w:rPr>
          <w:rStyle w:val="19"/>
          <w:rFonts w:hint="eastAsia" w:ascii="仿宋_GB2312" w:hAnsi="仿宋_GB2312" w:eastAsia="仿宋_GB2312" w:cs="仿宋_GB2312"/>
          <w:b w:val="0"/>
          <w:bCs w:val="0"/>
          <w:spacing w:val="-4"/>
          <w:sz w:val="32"/>
          <w:szCs w:val="32"/>
        </w:rPr>
        <w:t>分；该项目自评总分</w:t>
      </w:r>
      <w:r>
        <w:rPr>
          <w:rStyle w:val="19"/>
          <w:rFonts w:hint="eastAsia" w:ascii="仿宋_GB2312" w:hAnsi="仿宋_GB2312" w:eastAsia="仿宋_GB2312" w:cs="仿宋_GB2312"/>
          <w:b w:val="0"/>
          <w:bCs w:val="0"/>
          <w:spacing w:val="-4"/>
          <w:sz w:val="32"/>
          <w:szCs w:val="32"/>
          <w:lang w:val="en-US" w:eastAsia="zh-CN"/>
        </w:rPr>
        <w:t>100</w:t>
      </w:r>
      <w:r>
        <w:rPr>
          <w:rStyle w:val="19"/>
          <w:rFonts w:hint="eastAsia" w:ascii="仿宋_GB2312" w:hAnsi="仿宋_GB2312" w:eastAsia="仿宋_GB2312" w:cs="仿宋_GB2312"/>
          <w:b w:val="0"/>
          <w:bCs w:val="0"/>
          <w:spacing w:val="-4"/>
          <w:sz w:val="32"/>
          <w:szCs w:val="32"/>
        </w:rPr>
        <w:t>分。</w:t>
      </w:r>
    </w:p>
    <w:p>
      <w:pPr>
        <w:spacing w:line="540" w:lineRule="exact"/>
        <w:ind w:firstLine="567"/>
        <w:jc w:val="center"/>
        <w:rPr>
          <w:rStyle w:val="19"/>
          <w:rFonts w:hint="eastAsia" w:ascii="黑体" w:hAnsi="黑体" w:eastAsia="黑体" w:cs="黑体"/>
          <w:spacing w:val="-4"/>
          <w:sz w:val="28"/>
          <w:szCs w:val="28"/>
          <w:vertAlign w:val="baseline"/>
          <w:lang w:val="en-US" w:eastAsia="zh-CN"/>
        </w:rPr>
      </w:pPr>
      <w:r>
        <w:rPr>
          <w:rStyle w:val="19"/>
          <w:rFonts w:hint="eastAsia" w:ascii="黑体" w:hAnsi="黑体" w:eastAsia="黑体" w:cs="黑体"/>
          <w:b w:val="0"/>
          <w:bCs w:val="0"/>
          <w:spacing w:val="-4"/>
          <w:sz w:val="28"/>
          <w:szCs w:val="28"/>
          <w:lang w:val="en-US" w:eastAsia="zh-CN"/>
        </w:rPr>
        <w:t>表1：2023年《全面小康志》出版项目预算安排表</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4382"/>
        <w:gridCol w:w="4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382" w:type="dxa"/>
            <w:shd w:val="clear" w:color="auto" w:fill="4F81BD" w:themeFill="accent1"/>
          </w:tcPr>
          <w:p>
            <w:pPr>
              <w:spacing w:line="540" w:lineRule="exact"/>
              <w:jc w:val="center"/>
              <w:rPr>
                <w:rStyle w:val="19"/>
                <w:rFonts w:hint="default" w:ascii="楷体" w:hAnsi="楷体" w:eastAsia="楷体"/>
                <w:spacing w:val="-4"/>
                <w:sz w:val="32"/>
                <w:szCs w:val="32"/>
                <w:vertAlign w:val="baseline"/>
                <w:lang w:val="en-US" w:eastAsia="zh-CN"/>
              </w:rPr>
            </w:pPr>
            <w:r>
              <w:rPr>
                <w:rStyle w:val="19"/>
                <w:rFonts w:hint="eastAsia" w:ascii="楷体" w:hAnsi="楷体" w:eastAsia="楷体"/>
                <w:spacing w:val="-4"/>
                <w:sz w:val="32"/>
                <w:szCs w:val="32"/>
                <w:vertAlign w:val="baseline"/>
                <w:lang w:val="en-US" w:eastAsia="zh-CN"/>
              </w:rPr>
              <w:t>资金来源</w:t>
            </w:r>
          </w:p>
        </w:tc>
        <w:tc>
          <w:tcPr>
            <w:tcW w:w="4382" w:type="dxa"/>
            <w:shd w:val="clear" w:color="auto" w:fill="4F81BD" w:themeFill="accent1"/>
          </w:tcPr>
          <w:p>
            <w:pPr>
              <w:spacing w:line="540" w:lineRule="exact"/>
              <w:jc w:val="center"/>
              <w:rPr>
                <w:rStyle w:val="19"/>
                <w:rFonts w:hint="eastAsia" w:ascii="楷体" w:hAnsi="楷体" w:eastAsia="楷体"/>
                <w:spacing w:val="-4"/>
                <w:sz w:val="32"/>
                <w:szCs w:val="32"/>
                <w:vertAlign w:val="baseline"/>
                <w:lang w:val="en-US" w:eastAsia="zh-CN"/>
              </w:rPr>
            </w:pPr>
            <w:r>
              <w:rPr>
                <w:rStyle w:val="19"/>
                <w:rFonts w:hint="eastAsia" w:ascii="楷体" w:hAnsi="楷体" w:eastAsia="楷体"/>
                <w:spacing w:val="-4"/>
                <w:sz w:val="32"/>
                <w:szCs w:val="32"/>
                <w:vertAlign w:val="baseline"/>
                <w:lang w:val="en-US" w:eastAsia="zh-CN"/>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382" w:type="dxa"/>
          </w:tcPr>
          <w:p>
            <w:pPr>
              <w:spacing w:line="540" w:lineRule="exact"/>
              <w:jc w:val="center"/>
              <w:rPr>
                <w:rStyle w:val="19"/>
                <w:rFonts w:hint="default" w:ascii="楷体" w:hAnsi="楷体" w:eastAsia="楷体"/>
                <w:spacing w:val="-4"/>
                <w:sz w:val="24"/>
                <w:szCs w:val="24"/>
                <w:vertAlign w:val="baseline"/>
                <w:lang w:val="en-US" w:eastAsia="zh-CN"/>
              </w:rPr>
            </w:pPr>
            <w:r>
              <w:rPr>
                <w:rStyle w:val="19"/>
                <w:rFonts w:hint="eastAsia" w:ascii="楷体" w:hAnsi="楷体" w:eastAsia="楷体"/>
                <w:spacing w:val="-4"/>
                <w:sz w:val="24"/>
                <w:szCs w:val="24"/>
                <w:vertAlign w:val="baseline"/>
                <w:lang w:val="en-US" w:eastAsia="zh-CN"/>
              </w:rPr>
              <w:t>一般公共预算财政拨款</w:t>
            </w:r>
          </w:p>
        </w:tc>
        <w:tc>
          <w:tcPr>
            <w:tcW w:w="4382" w:type="dxa"/>
          </w:tcPr>
          <w:p>
            <w:pPr>
              <w:spacing w:line="540" w:lineRule="exact"/>
              <w:jc w:val="center"/>
              <w:rPr>
                <w:rStyle w:val="19"/>
                <w:rFonts w:hint="default" w:ascii="楷体" w:hAnsi="楷体" w:eastAsia="楷体"/>
                <w:spacing w:val="-4"/>
                <w:sz w:val="24"/>
                <w:szCs w:val="24"/>
                <w:vertAlign w:val="baseline"/>
                <w:lang w:val="en-US" w:eastAsia="zh-CN"/>
              </w:rPr>
            </w:pPr>
            <w:r>
              <w:rPr>
                <w:rStyle w:val="19"/>
                <w:rFonts w:hint="eastAsia" w:ascii="楷体" w:hAnsi="楷体" w:eastAsia="楷体"/>
                <w:spacing w:val="-4"/>
                <w:sz w:val="24"/>
                <w:szCs w:val="24"/>
                <w:vertAlign w:val="baseline"/>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382" w:type="dxa"/>
          </w:tcPr>
          <w:p>
            <w:pPr>
              <w:spacing w:line="540" w:lineRule="exact"/>
              <w:jc w:val="center"/>
              <w:rPr>
                <w:rStyle w:val="19"/>
                <w:rFonts w:hint="default" w:ascii="楷体" w:hAnsi="楷体" w:eastAsia="楷体"/>
                <w:spacing w:val="-4"/>
                <w:sz w:val="24"/>
                <w:szCs w:val="24"/>
                <w:vertAlign w:val="baseline"/>
                <w:lang w:val="en-US" w:eastAsia="zh-CN"/>
              </w:rPr>
            </w:pPr>
            <w:r>
              <w:rPr>
                <w:rStyle w:val="19"/>
                <w:rFonts w:hint="eastAsia" w:ascii="楷体" w:hAnsi="楷体" w:eastAsia="楷体"/>
                <w:spacing w:val="-4"/>
                <w:sz w:val="24"/>
                <w:szCs w:val="24"/>
                <w:vertAlign w:val="baseline"/>
                <w:lang w:val="en-US" w:eastAsia="zh-CN"/>
              </w:rPr>
              <w:t>其中：申请当年预算拨款</w:t>
            </w:r>
          </w:p>
        </w:tc>
        <w:tc>
          <w:tcPr>
            <w:tcW w:w="4382" w:type="dxa"/>
          </w:tcPr>
          <w:p>
            <w:pPr>
              <w:spacing w:line="540" w:lineRule="exact"/>
              <w:jc w:val="center"/>
              <w:rPr>
                <w:rStyle w:val="19"/>
                <w:rFonts w:hint="eastAsia" w:ascii="楷体" w:hAnsi="楷体" w:eastAsia="楷体"/>
                <w:spacing w:val="-4"/>
                <w:sz w:val="24"/>
                <w:szCs w:val="24"/>
                <w:vertAlign w:val="baseline"/>
              </w:rPr>
            </w:pPr>
            <w:r>
              <w:rPr>
                <w:rStyle w:val="19"/>
                <w:rFonts w:hint="eastAsia" w:ascii="楷体" w:hAnsi="楷体" w:eastAsia="楷体"/>
                <w:spacing w:val="-4"/>
                <w:sz w:val="24"/>
                <w:szCs w:val="24"/>
                <w:vertAlign w:val="baseline"/>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382" w:type="dxa"/>
          </w:tcPr>
          <w:p>
            <w:pPr>
              <w:spacing w:line="540" w:lineRule="exact"/>
              <w:jc w:val="center"/>
              <w:rPr>
                <w:rStyle w:val="19"/>
                <w:rFonts w:hint="default" w:ascii="楷体" w:hAnsi="楷体" w:eastAsia="楷体"/>
                <w:spacing w:val="-4"/>
                <w:sz w:val="24"/>
                <w:szCs w:val="24"/>
                <w:vertAlign w:val="baseline"/>
                <w:lang w:val="en-US" w:eastAsia="zh-CN"/>
              </w:rPr>
            </w:pPr>
            <w:r>
              <w:rPr>
                <w:rStyle w:val="19"/>
                <w:rFonts w:hint="eastAsia" w:ascii="楷体" w:hAnsi="楷体" w:eastAsia="楷体"/>
                <w:spacing w:val="-4"/>
                <w:sz w:val="24"/>
                <w:szCs w:val="24"/>
                <w:vertAlign w:val="baseline"/>
                <w:lang w:val="en-US" w:eastAsia="zh-CN"/>
              </w:rPr>
              <w:t>政府性基金预算财政拨款</w:t>
            </w:r>
          </w:p>
        </w:tc>
        <w:tc>
          <w:tcPr>
            <w:tcW w:w="4382" w:type="dxa"/>
          </w:tcPr>
          <w:p>
            <w:pPr>
              <w:spacing w:line="540" w:lineRule="exact"/>
              <w:jc w:val="center"/>
              <w:rPr>
                <w:rStyle w:val="19"/>
                <w:rFonts w:hint="eastAsia" w:ascii="楷体" w:hAnsi="楷体" w:eastAsia="楷体"/>
                <w:spacing w:val="-4"/>
                <w:sz w:val="24"/>
                <w:szCs w:val="24"/>
                <w:vertAlign w:val="baseline"/>
                <w:lang w:val="en-US" w:eastAsia="zh-CN"/>
              </w:rPr>
            </w:pPr>
            <w:r>
              <w:rPr>
                <w:rStyle w:val="19"/>
                <w:rFonts w:hint="eastAsia" w:ascii="楷体" w:hAnsi="楷体" w:eastAsia="楷体"/>
                <w:spacing w:val="-4"/>
                <w:sz w:val="24"/>
                <w:szCs w:val="24"/>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382" w:type="dxa"/>
          </w:tcPr>
          <w:p>
            <w:pPr>
              <w:spacing w:line="540" w:lineRule="exact"/>
              <w:jc w:val="center"/>
              <w:rPr>
                <w:rStyle w:val="19"/>
                <w:rFonts w:hint="default" w:ascii="楷体" w:hAnsi="楷体" w:eastAsia="楷体"/>
                <w:spacing w:val="-4"/>
                <w:sz w:val="24"/>
                <w:szCs w:val="24"/>
                <w:vertAlign w:val="baseline"/>
                <w:lang w:val="en-US" w:eastAsia="zh-CN"/>
              </w:rPr>
            </w:pPr>
            <w:r>
              <w:rPr>
                <w:rStyle w:val="19"/>
                <w:rFonts w:hint="eastAsia" w:ascii="楷体" w:hAnsi="楷体" w:eastAsia="楷体"/>
                <w:spacing w:val="-4"/>
                <w:sz w:val="24"/>
                <w:szCs w:val="24"/>
                <w:vertAlign w:val="baseline"/>
                <w:lang w:val="en-US" w:eastAsia="zh-CN"/>
              </w:rPr>
              <w:t>其他资金</w:t>
            </w:r>
          </w:p>
        </w:tc>
        <w:tc>
          <w:tcPr>
            <w:tcW w:w="4382" w:type="dxa"/>
          </w:tcPr>
          <w:p>
            <w:pPr>
              <w:spacing w:line="540" w:lineRule="exact"/>
              <w:jc w:val="center"/>
              <w:rPr>
                <w:rStyle w:val="19"/>
                <w:rFonts w:hint="eastAsia" w:ascii="楷体" w:hAnsi="楷体" w:eastAsia="楷体"/>
                <w:spacing w:val="-4"/>
                <w:sz w:val="24"/>
                <w:szCs w:val="24"/>
                <w:vertAlign w:val="baseline"/>
                <w:lang w:val="en-US" w:eastAsia="zh-CN"/>
              </w:rPr>
            </w:pPr>
            <w:r>
              <w:rPr>
                <w:rStyle w:val="19"/>
                <w:rFonts w:hint="eastAsia" w:ascii="楷体" w:hAnsi="楷体" w:eastAsia="楷体"/>
                <w:spacing w:val="-4"/>
                <w:sz w:val="24"/>
                <w:szCs w:val="24"/>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382" w:type="dxa"/>
          </w:tcPr>
          <w:p>
            <w:pPr>
              <w:spacing w:line="540" w:lineRule="exact"/>
              <w:jc w:val="center"/>
              <w:rPr>
                <w:rStyle w:val="19"/>
                <w:rFonts w:hint="default" w:ascii="楷体" w:hAnsi="楷体" w:eastAsia="楷体"/>
                <w:spacing w:val="-4"/>
                <w:sz w:val="24"/>
                <w:szCs w:val="24"/>
                <w:vertAlign w:val="baseline"/>
                <w:lang w:val="en-US" w:eastAsia="zh-CN"/>
              </w:rPr>
            </w:pPr>
            <w:r>
              <w:rPr>
                <w:rStyle w:val="19"/>
                <w:rFonts w:hint="eastAsia" w:ascii="楷体" w:hAnsi="楷体" w:eastAsia="楷体"/>
                <w:spacing w:val="-4"/>
                <w:sz w:val="24"/>
                <w:szCs w:val="24"/>
                <w:vertAlign w:val="baseline"/>
                <w:lang w:val="en-US" w:eastAsia="zh-CN"/>
              </w:rPr>
              <w:t>其中：使用上年度财政拨款结转</w:t>
            </w:r>
          </w:p>
        </w:tc>
        <w:tc>
          <w:tcPr>
            <w:tcW w:w="4382" w:type="dxa"/>
          </w:tcPr>
          <w:p>
            <w:pPr>
              <w:spacing w:line="540" w:lineRule="exact"/>
              <w:jc w:val="center"/>
              <w:rPr>
                <w:rStyle w:val="19"/>
                <w:rFonts w:hint="eastAsia" w:ascii="楷体" w:hAnsi="楷体" w:eastAsia="楷体"/>
                <w:spacing w:val="-4"/>
                <w:sz w:val="24"/>
                <w:szCs w:val="24"/>
                <w:vertAlign w:val="baseline"/>
                <w:lang w:val="en-US" w:eastAsia="zh-CN"/>
              </w:rPr>
            </w:pPr>
            <w:r>
              <w:rPr>
                <w:rStyle w:val="19"/>
                <w:rFonts w:hint="eastAsia" w:ascii="楷体" w:hAnsi="楷体" w:eastAsia="楷体"/>
                <w:spacing w:val="-4"/>
                <w:sz w:val="24"/>
                <w:szCs w:val="24"/>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382" w:type="dxa"/>
          </w:tcPr>
          <w:p>
            <w:pPr>
              <w:spacing w:line="540" w:lineRule="exact"/>
              <w:jc w:val="center"/>
              <w:rPr>
                <w:rStyle w:val="19"/>
                <w:rFonts w:hint="eastAsia" w:ascii="楷体" w:hAnsi="楷体" w:eastAsia="楷体"/>
                <w:spacing w:val="-4"/>
                <w:sz w:val="32"/>
                <w:szCs w:val="32"/>
                <w:vertAlign w:val="baseline"/>
                <w:lang w:val="en-US" w:eastAsia="zh-CN"/>
              </w:rPr>
            </w:pPr>
            <w:r>
              <w:rPr>
                <w:rStyle w:val="19"/>
                <w:rFonts w:hint="eastAsia" w:ascii="楷体" w:hAnsi="楷体" w:eastAsia="楷体"/>
                <w:spacing w:val="-4"/>
                <w:sz w:val="32"/>
                <w:szCs w:val="32"/>
                <w:vertAlign w:val="baseline"/>
                <w:lang w:val="en-US" w:eastAsia="zh-CN"/>
              </w:rPr>
              <w:t>合计</w:t>
            </w:r>
          </w:p>
        </w:tc>
        <w:tc>
          <w:tcPr>
            <w:tcW w:w="4382" w:type="dxa"/>
          </w:tcPr>
          <w:p>
            <w:pPr>
              <w:spacing w:line="540" w:lineRule="exact"/>
              <w:jc w:val="center"/>
              <w:rPr>
                <w:rStyle w:val="19"/>
                <w:rFonts w:hint="default" w:ascii="楷体" w:hAnsi="楷体" w:eastAsia="楷体"/>
                <w:spacing w:val="-4"/>
                <w:sz w:val="24"/>
                <w:szCs w:val="24"/>
                <w:vertAlign w:val="baseline"/>
                <w:lang w:val="en-US" w:eastAsia="zh-CN"/>
              </w:rPr>
            </w:pPr>
            <w:r>
              <w:rPr>
                <w:rStyle w:val="19"/>
                <w:rFonts w:hint="eastAsia" w:ascii="楷体" w:hAnsi="楷体" w:eastAsia="楷体"/>
                <w:spacing w:val="-4"/>
                <w:sz w:val="24"/>
                <w:szCs w:val="24"/>
                <w:vertAlign w:val="baseline"/>
                <w:lang w:val="en-US" w:eastAsia="zh-CN"/>
              </w:rPr>
              <w:t>110</w:t>
            </w:r>
          </w:p>
        </w:tc>
      </w:tr>
    </w:tbl>
    <w:p>
      <w:pPr>
        <w:spacing w:line="540" w:lineRule="exact"/>
        <w:ind w:firstLine="567"/>
        <w:rPr>
          <w:rStyle w:val="19"/>
          <w:rFonts w:hint="eastAsia" w:ascii="楷体" w:hAnsi="楷体" w:eastAsia="楷体"/>
          <w:spacing w:val="-4"/>
          <w:sz w:val="32"/>
          <w:szCs w:val="32"/>
        </w:rPr>
      </w:pP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w:t>
      </w:r>
      <w:r>
        <w:rPr>
          <w:rStyle w:val="19"/>
          <w:rFonts w:hint="eastAsia"/>
          <w:spacing w:val="-4"/>
          <w:sz w:val="32"/>
          <w:szCs w:val="32"/>
        </w:rPr>
        <w:t>绩效评价指标分析</w:t>
      </w:r>
      <w:r>
        <w:rPr>
          <w:rStyle w:val="19"/>
          <w:rFonts w:hint="eastAsia" w:ascii="黑体" w:hAnsi="黑体" w:eastAsia="黑体"/>
          <w:b w:val="0"/>
          <w:spacing w:val="-4"/>
          <w:sz w:val="32"/>
          <w:szCs w:val="32"/>
        </w:rPr>
        <w:t xml:space="preserve"> </w:t>
      </w:r>
    </w:p>
    <w:p>
      <w:pPr>
        <w:spacing w:line="540" w:lineRule="exact"/>
        <w:ind w:firstLine="564" w:firstLineChars="181"/>
        <w:rPr>
          <w:rFonts w:hint="eastAsia" w:ascii="楷体_GB2312" w:hAnsi="楷体_GB2312" w:eastAsia="楷体_GB2312" w:cs="楷体_GB2312"/>
          <w:b w:val="0"/>
          <w:bCs/>
          <w:spacing w:val="-4"/>
          <w:sz w:val="32"/>
          <w:szCs w:val="32"/>
        </w:rPr>
      </w:pPr>
      <w:bookmarkStart w:id="0" w:name="_GoBack"/>
      <w:r>
        <w:rPr>
          <w:rFonts w:hint="eastAsia" w:ascii="楷体_GB2312" w:hAnsi="楷体_GB2312" w:eastAsia="楷体_GB2312" w:cs="楷体_GB2312"/>
          <w:b w:val="0"/>
          <w:bCs/>
          <w:spacing w:val="-4"/>
          <w:sz w:val="32"/>
          <w:szCs w:val="32"/>
        </w:rPr>
        <w:t>（一）项目决策情况。</w:t>
      </w:r>
    </w:p>
    <w:bookmarkEnd w:id="0"/>
    <w:p>
      <w:pPr>
        <w:spacing w:line="540" w:lineRule="exact"/>
        <w:ind w:firstLine="579" w:firstLineChars="181"/>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新疆维吾尔自治区地方志编纂委员会</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 xml:space="preserve"> 年度加强项目资金的使用管理和监督，严格预算资金使用途径和进度，加大项目预算执行考核力度。对项目决策采取了以下具体管理措施。 </w:t>
      </w:r>
      <w:r>
        <w:rPr>
          <w:rFonts w:hint="eastAsia" w:ascii="仿宋_GB2312" w:hAnsi="仿宋_GB2312" w:eastAsia="仿宋_GB2312" w:cs="仿宋_GB2312"/>
          <w:sz w:val="32"/>
          <w:szCs w:val="32"/>
          <w:lang w:val="en-US" w:eastAsia="zh-CN"/>
        </w:rPr>
        <w:t>综合处财务室</w:t>
      </w:r>
      <w:r>
        <w:rPr>
          <w:rFonts w:hint="eastAsia" w:ascii="仿宋_GB2312" w:hAnsi="仿宋_GB2312" w:eastAsia="仿宋_GB2312" w:cs="仿宋_GB2312"/>
          <w:sz w:val="32"/>
          <w:szCs w:val="32"/>
        </w:rPr>
        <w:t>每月编报支出进度表，并编报预算执行月报表及 各项目进度情况说明，报</w:t>
      </w:r>
      <w:r>
        <w:rPr>
          <w:rFonts w:hint="eastAsia" w:ascii="仿宋_GB2312" w:hAnsi="仿宋_GB2312" w:eastAsia="仿宋_GB2312" w:cs="仿宋_GB2312"/>
          <w:sz w:val="32"/>
          <w:szCs w:val="32"/>
          <w:lang w:val="en-US" w:eastAsia="zh-CN"/>
        </w:rPr>
        <w:t>主要</w:t>
      </w:r>
      <w:r>
        <w:rPr>
          <w:rFonts w:hint="eastAsia" w:ascii="仿宋_GB2312" w:hAnsi="仿宋_GB2312" w:eastAsia="仿宋_GB2312" w:cs="仿宋_GB2312"/>
          <w:sz w:val="32"/>
          <w:szCs w:val="32"/>
        </w:rPr>
        <w:t>领导和</w:t>
      </w:r>
      <w:r>
        <w:rPr>
          <w:rFonts w:hint="eastAsia" w:ascii="仿宋_GB2312" w:hAnsi="仿宋_GB2312" w:eastAsia="仿宋_GB2312" w:cs="仿宋_GB2312"/>
          <w:sz w:val="32"/>
          <w:szCs w:val="32"/>
          <w:lang w:val="en-US" w:eastAsia="zh-CN"/>
        </w:rPr>
        <w:t>业务主管处室</w:t>
      </w:r>
      <w:r>
        <w:rPr>
          <w:rFonts w:hint="eastAsia" w:ascii="仿宋_GB2312" w:hAnsi="仿宋_GB2312" w:eastAsia="仿宋_GB2312" w:cs="仿宋_GB2312"/>
          <w:sz w:val="32"/>
          <w:szCs w:val="32"/>
        </w:rPr>
        <w:t>掌握项目资金的使用情况及项目实施进度。明确项目负责人和责任处室对 项目预算执行的职责，将项目执行情况作为月度主任办公会 的汇报和督办内容，确保预算执行用途和进度。同时，加大监督力度，明确机关</w:t>
      </w:r>
      <w:r>
        <w:rPr>
          <w:rFonts w:hint="eastAsia" w:ascii="仿宋_GB2312" w:hAnsi="仿宋_GB2312" w:eastAsia="仿宋_GB2312" w:cs="仿宋_GB2312"/>
          <w:sz w:val="32"/>
          <w:szCs w:val="32"/>
          <w:lang w:val="en-US" w:eastAsia="zh-CN"/>
        </w:rPr>
        <w:t>纪委</w:t>
      </w:r>
      <w:r>
        <w:rPr>
          <w:rFonts w:hint="eastAsia" w:ascii="仿宋_GB2312" w:hAnsi="仿宋_GB2312" w:eastAsia="仿宋_GB2312" w:cs="仿宋_GB2312"/>
          <w:sz w:val="32"/>
          <w:szCs w:val="32"/>
        </w:rPr>
        <w:t>履行重要项目资金使用监督责任，把项目预算执行情况与公务员履职尽责和季度评价、年度考核挂钩，建立考核评价机制</w:t>
      </w:r>
      <w:r>
        <w:rPr>
          <w:rFonts w:hint="eastAsia" w:ascii="仿宋_GB2312" w:hAnsi="仿宋_GB2312" w:eastAsia="仿宋_GB2312" w:cs="仿宋_GB2312"/>
          <w:sz w:val="32"/>
          <w:szCs w:val="32"/>
          <w:lang w:eastAsia="zh-CN"/>
        </w:rPr>
        <w:t>。</w:t>
      </w:r>
    </w:p>
    <w:p>
      <w:pPr>
        <w:spacing w:line="540" w:lineRule="exact"/>
        <w:ind w:firstLine="564" w:firstLineChars="181"/>
        <w:rPr>
          <w:rFonts w:hint="eastAsia" w:ascii="楷体_GB2312" w:hAnsi="楷体_GB2312" w:eastAsia="楷体_GB2312" w:cs="楷体_GB2312"/>
          <w:b w:val="0"/>
          <w:bCs/>
          <w:spacing w:val="-4"/>
          <w:sz w:val="32"/>
          <w:szCs w:val="32"/>
        </w:rPr>
      </w:pPr>
      <w:r>
        <w:rPr>
          <w:rFonts w:hint="eastAsia" w:ascii="楷体_GB2312" w:hAnsi="楷体_GB2312" w:eastAsia="楷体_GB2312" w:cs="楷体_GB2312"/>
          <w:b w:val="0"/>
          <w:bCs/>
          <w:spacing w:val="-4"/>
          <w:sz w:val="32"/>
          <w:szCs w:val="32"/>
        </w:rPr>
        <w:t>（二）项目过程情况。</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委明确任务、细化方案、倒排工期，努力推进《新疆全面小康志》编纂工作。7月18日召开《新疆全面小康志》编纂启动会议，7月24日召开《新疆全面小康志》编纂业务培训班，于2023年8月完成编纂方案、篇目大纲的拟定，工作整体推进稍有滞后。2023年9月7日完成公开招标工作，根据中标结果，确定乌鲁木齐一心悦读文化科技有限公司为中标供应商，同时签订合同约定2023年9月至12月31日完成《新疆全面小康志》编、章、节的类目、分目、条目，完成资料收集、编纂完成初稿。</w:t>
      </w:r>
    </w:p>
    <w:p>
      <w:pPr>
        <w:spacing w:line="540" w:lineRule="exact"/>
        <w:ind w:firstLine="564" w:firstLineChars="181"/>
        <w:rPr>
          <w:rFonts w:hint="eastAsia" w:ascii="楷体_GB2312" w:hAnsi="楷体_GB2312" w:eastAsia="楷体_GB2312" w:cs="楷体_GB2312"/>
          <w:b w:val="0"/>
          <w:bCs/>
          <w:spacing w:val="-4"/>
          <w:sz w:val="32"/>
          <w:szCs w:val="32"/>
        </w:rPr>
      </w:pPr>
      <w:r>
        <w:rPr>
          <w:rFonts w:hint="eastAsia" w:ascii="楷体_GB2312" w:hAnsi="楷体_GB2312" w:eastAsia="楷体_GB2312" w:cs="楷体_GB2312"/>
          <w:b w:val="0"/>
          <w:bCs/>
          <w:spacing w:val="-4"/>
          <w:sz w:val="32"/>
          <w:szCs w:val="32"/>
        </w:rPr>
        <w:t>（三）项目产出情况。</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项目产出权重50分，得分50分。</w:t>
      </w:r>
    </w:p>
    <w:p>
      <w:pPr>
        <w:spacing w:line="540" w:lineRule="exact"/>
        <w:ind w:firstLine="579" w:firstLineChars="18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该项目指标有1、召开评审会的次数大于等于4次，实际完成值4次，按计划完成；2、完成基本篇目大纲1部，实际完成1部，按计划完成；3、历史资料验收合格率大于等于95%，实际完成等于95%,按计划完成；4、参历史资料收集整理评审通过率大于等于95%，实际完成等于95%,按计划完成；5、历史资料收集整理及时性大于等于98%，实际完成等于98%,按计划完成。  </w:t>
      </w:r>
    </w:p>
    <w:p>
      <w:pPr>
        <w:spacing w:line="540" w:lineRule="exact"/>
        <w:ind w:firstLine="564" w:firstLineChars="181"/>
        <w:rPr>
          <w:rFonts w:hint="eastAsia" w:ascii="楷体_GB2312" w:hAnsi="楷体_GB2312" w:eastAsia="楷体_GB2312" w:cs="楷体_GB2312"/>
          <w:b w:val="0"/>
          <w:bCs/>
          <w:spacing w:val="-4"/>
          <w:sz w:val="32"/>
          <w:szCs w:val="32"/>
        </w:rPr>
      </w:pPr>
      <w:r>
        <w:rPr>
          <w:rFonts w:hint="eastAsia" w:ascii="楷体_GB2312" w:hAnsi="楷体_GB2312" w:eastAsia="楷体_GB2312" w:cs="楷体_GB2312"/>
          <w:b w:val="0"/>
          <w:bCs/>
          <w:spacing w:val="-4"/>
          <w:sz w:val="32"/>
          <w:szCs w:val="32"/>
        </w:rPr>
        <w:t>（四）项目效益情况。</w:t>
      </w:r>
    </w:p>
    <w:p>
      <w:pPr>
        <w:spacing w:line="540" w:lineRule="exact"/>
        <w:ind w:firstLine="567"/>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由于该项目主要用于前期资料收集整理阶段，未设置项目效益指标。</w:t>
      </w:r>
    </w:p>
    <w:p>
      <w:pPr>
        <w:spacing w:line="540" w:lineRule="exact"/>
        <w:ind w:firstLine="564" w:firstLineChars="181"/>
        <w:rPr>
          <w:rFonts w:hint="eastAsia" w:ascii="楷体_GB2312" w:hAnsi="楷体_GB2312" w:eastAsia="楷体_GB2312" w:cs="楷体_GB2312"/>
          <w:b w:val="0"/>
          <w:bCs/>
          <w:spacing w:val="-4"/>
          <w:sz w:val="32"/>
          <w:szCs w:val="32"/>
        </w:rPr>
      </w:pPr>
      <w:r>
        <w:rPr>
          <w:rFonts w:hint="eastAsia" w:ascii="楷体_GB2312" w:hAnsi="楷体_GB2312" w:eastAsia="楷体_GB2312" w:cs="楷体_GB2312"/>
          <w:b w:val="0"/>
          <w:bCs/>
          <w:spacing w:val="-4"/>
          <w:sz w:val="32"/>
          <w:szCs w:val="32"/>
        </w:rPr>
        <w:t>（五）满意度指标完成情况分析。</w:t>
      </w:r>
    </w:p>
    <w:p>
      <w:pPr>
        <w:spacing w:line="540" w:lineRule="exact"/>
        <w:ind w:firstLine="567"/>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由于该项目主要用于前期资料收集整理阶段，未设置满意度指标。</w:t>
      </w:r>
    </w:p>
    <w:p>
      <w:pPr>
        <w:spacing w:line="540" w:lineRule="exact"/>
        <w:ind w:firstLine="640"/>
        <w:rPr>
          <w:rStyle w:val="19"/>
          <w:rFonts w:ascii="黑体" w:hAnsi="黑体" w:eastAsia="黑体"/>
          <w:spacing w:val="-4"/>
          <w:sz w:val="32"/>
          <w:szCs w:val="32"/>
        </w:rPr>
      </w:pPr>
      <w:r>
        <w:rPr>
          <w:rStyle w:val="19"/>
          <w:rFonts w:hint="eastAsia" w:ascii="黑体" w:hAnsi="黑体" w:eastAsia="黑体"/>
          <w:b w:val="0"/>
          <w:spacing w:val="-4"/>
          <w:sz w:val="32"/>
          <w:szCs w:val="32"/>
          <w:lang w:eastAsia="zh-CN"/>
        </w:rPr>
        <w:t>五</w:t>
      </w:r>
      <w:r>
        <w:rPr>
          <w:rStyle w:val="19"/>
          <w:rFonts w:hint="eastAsia" w:ascii="黑体" w:hAnsi="黑体" w:eastAsia="黑体"/>
          <w:b w:val="0"/>
          <w:spacing w:val="-4"/>
          <w:sz w:val="32"/>
          <w:szCs w:val="32"/>
        </w:rPr>
        <w:t>、</w:t>
      </w:r>
      <w:r>
        <w:rPr>
          <w:rStyle w:val="19"/>
          <w:rFonts w:ascii="黑体" w:hAnsi="黑体" w:eastAsia="黑体"/>
          <w:b w:val="0"/>
          <w:spacing w:val="-4"/>
          <w:sz w:val="32"/>
          <w:szCs w:val="32"/>
        </w:rPr>
        <w:t>主要经验及做法、存在的问题及原因分析</w:t>
      </w:r>
    </w:p>
    <w:p>
      <w:pPr>
        <w:spacing w:line="540" w:lineRule="exact"/>
        <w:ind w:firstLine="624" w:firstLineChars="200"/>
        <w:rPr>
          <w:rStyle w:val="19"/>
          <w:rFonts w:hint="eastAsia" w:ascii="仿宋_GB2312" w:hAnsi="仿宋_GB2312" w:eastAsia="仿宋_GB2312" w:cs="仿宋_GB2312"/>
          <w:b w:val="0"/>
          <w:bCs w:val="0"/>
          <w:spacing w:val="-4"/>
          <w:sz w:val="32"/>
          <w:szCs w:val="32"/>
          <w:lang w:val="en-US" w:eastAsia="zh-CN"/>
        </w:rPr>
      </w:pPr>
      <w:r>
        <w:rPr>
          <w:rStyle w:val="19"/>
          <w:rFonts w:hint="eastAsia" w:ascii="仿宋_GB2312" w:hAnsi="仿宋_GB2312" w:eastAsia="仿宋_GB2312" w:cs="仿宋_GB2312"/>
          <w:b w:val="0"/>
          <w:bCs w:val="0"/>
          <w:spacing w:val="-4"/>
          <w:sz w:val="32"/>
          <w:szCs w:val="32"/>
          <w:lang w:eastAsia="zh-CN"/>
        </w:rPr>
        <w:t>（</w:t>
      </w:r>
      <w:r>
        <w:rPr>
          <w:rStyle w:val="19"/>
          <w:rFonts w:hint="eastAsia" w:ascii="仿宋_GB2312" w:hAnsi="仿宋_GB2312" w:eastAsia="仿宋_GB2312" w:cs="仿宋_GB2312"/>
          <w:b w:val="0"/>
          <w:bCs w:val="0"/>
          <w:spacing w:val="-4"/>
          <w:sz w:val="32"/>
          <w:szCs w:val="32"/>
          <w:lang w:val="en-US" w:eastAsia="zh-CN"/>
        </w:rPr>
        <w:t>一</w:t>
      </w:r>
      <w:r>
        <w:rPr>
          <w:rStyle w:val="19"/>
          <w:rFonts w:hint="eastAsia" w:ascii="仿宋_GB2312" w:hAnsi="仿宋_GB2312" w:eastAsia="仿宋_GB2312" w:cs="仿宋_GB2312"/>
          <w:b w:val="0"/>
          <w:bCs w:val="0"/>
          <w:spacing w:val="-4"/>
          <w:sz w:val="32"/>
          <w:szCs w:val="32"/>
          <w:lang w:eastAsia="zh-CN"/>
        </w:rPr>
        <w:t>）</w:t>
      </w:r>
      <w:r>
        <w:rPr>
          <w:rStyle w:val="19"/>
          <w:rFonts w:hint="eastAsia" w:ascii="仿宋_GB2312" w:hAnsi="仿宋_GB2312" w:eastAsia="仿宋_GB2312" w:cs="仿宋_GB2312"/>
          <w:b w:val="0"/>
          <w:bCs w:val="0"/>
          <w:spacing w:val="-4"/>
          <w:sz w:val="32"/>
          <w:szCs w:val="32"/>
          <w:lang w:val="en-US" w:eastAsia="zh-CN"/>
        </w:rPr>
        <w:t>主要经验及做法：</w:t>
      </w:r>
    </w:p>
    <w:p>
      <w:pPr>
        <w:spacing w:line="540" w:lineRule="exact"/>
        <w:ind w:firstLine="624" w:firstLineChars="200"/>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一是主要领导高度重视，召开</w:t>
      </w:r>
      <w:r>
        <w:rPr>
          <w:rStyle w:val="19"/>
          <w:rFonts w:hint="eastAsia" w:ascii="仿宋_GB2312" w:hAnsi="仿宋_GB2312" w:eastAsia="仿宋_GB2312" w:cs="仿宋_GB2312"/>
          <w:b w:val="0"/>
          <w:bCs w:val="0"/>
          <w:spacing w:val="-4"/>
          <w:sz w:val="32"/>
          <w:szCs w:val="32"/>
          <w:lang w:eastAsia="zh-CN"/>
        </w:rPr>
        <w:t>全面小康志</w:t>
      </w:r>
      <w:r>
        <w:rPr>
          <w:rStyle w:val="19"/>
          <w:rFonts w:hint="eastAsia" w:ascii="仿宋_GB2312" w:hAnsi="仿宋_GB2312" w:eastAsia="仿宋_GB2312" w:cs="仿宋_GB2312"/>
          <w:b w:val="0"/>
          <w:bCs w:val="0"/>
          <w:spacing w:val="-4"/>
          <w:sz w:val="32"/>
          <w:szCs w:val="32"/>
        </w:rPr>
        <w:t>编纂启动会，高位推动</w:t>
      </w:r>
      <w:r>
        <w:rPr>
          <w:rStyle w:val="19"/>
          <w:rFonts w:hint="eastAsia" w:ascii="仿宋_GB2312" w:hAnsi="仿宋_GB2312" w:eastAsia="仿宋_GB2312" w:cs="仿宋_GB2312"/>
          <w:b w:val="0"/>
          <w:bCs w:val="0"/>
          <w:spacing w:val="-4"/>
          <w:sz w:val="32"/>
          <w:szCs w:val="32"/>
          <w:lang w:eastAsia="zh-CN"/>
        </w:rPr>
        <w:t>全面小康志</w:t>
      </w:r>
      <w:r>
        <w:rPr>
          <w:rStyle w:val="19"/>
          <w:rFonts w:hint="eastAsia" w:ascii="仿宋_GB2312" w:hAnsi="仿宋_GB2312" w:eastAsia="仿宋_GB2312" w:cs="仿宋_GB2312"/>
          <w:b w:val="0"/>
          <w:bCs w:val="0"/>
          <w:spacing w:val="-4"/>
          <w:sz w:val="32"/>
          <w:szCs w:val="32"/>
        </w:rPr>
        <w:t>编纂工作。</w:t>
      </w:r>
      <w:r>
        <w:rPr>
          <w:rStyle w:val="19"/>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二是组织召开全区扶贫志和全面小康志编纂工作推进会和培训会，总结试点工作经验、成立了《</w:t>
      </w:r>
      <w:r>
        <w:rPr>
          <w:rStyle w:val="19"/>
          <w:rFonts w:hint="eastAsia" w:ascii="仿宋_GB2312" w:hAnsi="仿宋_GB2312" w:eastAsia="仿宋_GB2312" w:cs="仿宋_GB2312"/>
          <w:b w:val="0"/>
          <w:bCs w:val="0"/>
          <w:spacing w:val="-4"/>
          <w:sz w:val="32"/>
          <w:szCs w:val="32"/>
          <w:lang w:eastAsia="zh-CN"/>
        </w:rPr>
        <w:t>全面小康志</w:t>
      </w:r>
      <w:r>
        <w:rPr>
          <w:rStyle w:val="19"/>
          <w:rFonts w:hint="eastAsia" w:ascii="仿宋_GB2312" w:hAnsi="仿宋_GB2312" w:eastAsia="仿宋_GB2312" w:cs="仿宋_GB2312"/>
          <w:b w:val="0"/>
          <w:bCs w:val="0"/>
          <w:spacing w:val="-4"/>
          <w:sz w:val="32"/>
          <w:szCs w:val="32"/>
        </w:rPr>
        <w:t>》编纂委员会，及时组建专门编纂班子和编纂队伍。</w:t>
      </w:r>
      <w:r>
        <w:rPr>
          <w:rStyle w:val="19"/>
          <w:rFonts w:hint="eastAsia" w:ascii="仿宋_GB2312" w:hAnsi="仿宋_GB2312" w:eastAsia="仿宋_GB2312" w:cs="仿宋_GB2312"/>
          <w:b w:val="0"/>
          <w:bCs w:val="0"/>
          <w:spacing w:val="-4"/>
          <w:sz w:val="32"/>
          <w:szCs w:val="32"/>
        </w:rPr>
        <w:br w:type="textWrapping"/>
      </w:r>
      <w:r>
        <w:rPr>
          <w:rStyle w:val="19"/>
          <w:rFonts w:hint="eastAsia" w:ascii="仿宋_GB2312" w:hAnsi="仿宋_GB2312" w:eastAsia="仿宋_GB2312" w:cs="仿宋_GB2312"/>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rPr>
        <w:t>三是先后制定完善《自治区地方志编委会党组关于落实全面从严治党主体责任的实施细则》《自治区地方志编委会关于落实意识形态工作责任制的实施细则》《自治区地方志编委会专家库管理办法》，全面梳理2023年自治区地方志编委会重点志鉴（刊物）出版编纂责任、2023年自治区地方志编委会重点工作责任，共形成29项重点任务清单，跟踪督办完成党组研究的各类重点事项51件，完成率100%，有效推动各项工作规范有序、提质增效。</w:t>
      </w:r>
    </w:p>
    <w:p>
      <w:pPr>
        <w:spacing w:line="540" w:lineRule="exact"/>
        <w:ind w:firstLine="624" w:firstLineChars="200"/>
        <w:rPr>
          <w:rStyle w:val="19"/>
          <w:rFonts w:hint="eastAsia" w:ascii="仿宋_GB2312" w:hAnsi="仿宋_GB2312" w:eastAsia="仿宋_GB2312" w:cs="仿宋_GB2312"/>
          <w:b w:val="0"/>
          <w:bCs w:val="0"/>
          <w:spacing w:val="-4"/>
          <w:sz w:val="32"/>
          <w:szCs w:val="32"/>
          <w:lang w:val="en-US" w:eastAsia="zh-CN"/>
        </w:rPr>
      </w:pPr>
      <w:r>
        <w:rPr>
          <w:rStyle w:val="19"/>
          <w:rFonts w:hint="eastAsia" w:ascii="仿宋_GB2312" w:hAnsi="仿宋_GB2312" w:eastAsia="仿宋_GB2312" w:cs="仿宋_GB2312"/>
          <w:b w:val="0"/>
          <w:bCs w:val="0"/>
          <w:spacing w:val="-4"/>
          <w:sz w:val="32"/>
          <w:szCs w:val="32"/>
          <w:lang w:eastAsia="zh-CN"/>
        </w:rPr>
        <w:t>（</w:t>
      </w:r>
      <w:r>
        <w:rPr>
          <w:rStyle w:val="19"/>
          <w:rFonts w:hint="eastAsia" w:ascii="仿宋_GB2312" w:hAnsi="仿宋_GB2312" w:eastAsia="仿宋_GB2312" w:cs="仿宋_GB2312"/>
          <w:b w:val="0"/>
          <w:bCs w:val="0"/>
          <w:spacing w:val="-4"/>
          <w:sz w:val="32"/>
          <w:szCs w:val="32"/>
          <w:lang w:val="en-US" w:eastAsia="zh-CN"/>
        </w:rPr>
        <w:t>二</w:t>
      </w:r>
      <w:r>
        <w:rPr>
          <w:rStyle w:val="19"/>
          <w:rFonts w:hint="eastAsia" w:ascii="仿宋_GB2312" w:hAnsi="仿宋_GB2312" w:eastAsia="仿宋_GB2312" w:cs="仿宋_GB2312"/>
          <w:b w:val="0"/>
          <w:bCs w:val="0"/>
          <w:spacing w:val="-4"/>
          <w:sz w:val="32"/>
          <w:szCs w:val="32"/>
          <w:lang w:eastAsia="zh-CN"/>
        </w:rPr>
        <w:t>）</w:t>
      </w:r>
      <w:r>
        <w:rPr>
          <w:rStyle w:val="19"/>
          <w:rFonts w:hint="eastAsia" w:ascii="仿宋_GB2312" w:hAnsi="仿宋_GB2312" w:eastAsia="仿宋_GB2312" w:cs="仿宋_GB2312"/>
          <w:b w:val="0"/>
          <w:bCs w:val="0"/>
          <w:spacing w:val="-4"/>
          <w:sz w:val="32"/>
          <w:szCs w:val="32"/>
          <w:lang w:val="en-US" w:eastAsia="zh-CN"/>
        </w:rPr>
        <w:t>存在的问题</w:t>
      </w:r>
    </w:p>
    <w:p>
      <w:pPr>
        <w:spacing w:line="540" w:lineRule="exact"/>
        <w:ind w:firstLine="624" w:firstLineChars="200"/>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绩效目标是项目经费执行的重要方向和标准，是衡量和考核项目经费使用效果的重要依据。本项目部分绩效目标不够详细和量化，或只有笼统的建设内容</w:t>
      </w:r>
      <w:r>
        <w:rPr>
          <w:rStyle w:val="19"/>
          <w:rFonts w:hint="eastAsia" w:ascii="仿宋_GB2312" w:hAnsi="仿宋_GB2312" w:eastAsia="仿宋_GB2312" w:cs="仿宋_GB2312"/>
          <w:b w:val="0"/>
          <w:bCs w:val="0"/>
          <w:spacing w:val="-4"/>
          <w:sz w:val="32"/>
          <w:szCs w:val="32"/>
          <w:lang w:eastAsia="zh-CN"/>
        </w:rPr>
        <w:t>，</w:t>
      </w:r>
      <w:r>
        <w:rPr>
          <w:rStyle w:val="19"/>
          <w:rFonts w:hint="eastAsia" w:ascii="仿宋_GB2312" w:hAnsi="仿宋_GB2312" w:eastAsia="仿宋_GB2312" w:cs="仿宋_GB2312"/>
          <w:b w:val="0"/>
          <w:bCs w:val="0"/>
          <w:spacing w:val="-4"/>
          <w:sz w:val="32"/>
          <w:szCs w:val="32"/>
        </w:rPr>
        <w:t>未匹配目标参数，或项目实施进度只有总体期限但缺少分阶段的时间节点。既不利于项目提高项目管理水平，强化自我约束，合理有效使用项目经费</w:t>
      </w:r>
      <w:r>
        <w:rPr>
          <w:rStyle w:val="19"/>
          <w:rFonts w:hint="eastAsia" w:ascii="仿宋_GB2312" w:hAnsi="仿宋_GB2312" w:eastAsia="仿宋_GB2312" w:cs="仿宋_GB2312"/>
          <w:b w:val="0"/>
          <w:bCs w:val="0"/>
          <w:spacing w:val="-4"/>
          <w:sz w:val="32"/>
          <w:szCs w:val="32"/>
          <w:lang w:eastAsia="zh-CN"/>
        </w:rPr>
        <w:t>，</w:t>
      </w:r>
      <w:r>
        <w:rPr>
          <w:rStyle w:val="19"/>
          <w:rFonts w:hint="eastAsia" w:ascii="仿宋_GB2312" w:hAnsi="仿宋_GB2312" w:eastAsia="仿宋_GB2312" w:cs="仿宋_GB2312"/>
          <w:b w:val="0"/>
          <w:bCs w:val="0"/>
          <w:spacing w:val="-4"/>
          <w:sz w:val="32"/>
          <w:szCs w:val="32"/>
        </w:rPr>
        <w:t>极大限度地发挥资金使用效益，也不利于对项目进行监督、指导、考核、检查和绩效自评。</w:t>
      </w:r>
    </w:p>
    <w:p>
      <w:pPr>
        <w:spacing w:line="540" w:lineRule="exact"/>
        <w:ind w:firstLine="624" w:firstLineChars="200"/>
        <w:rPr>
          <w:rStyle w:val="19"/>
          <w:rFonts w:hint="eastAsia" w:ascii="仿宋_GB2312" w:hAnsi="仿宋_GB2312" w:eastAsia="仿宋_GB2312" w:cs="仿宋_GB2312"/>
          <w:b w:val="0"/>
          <w:bCs w:val="0"/>
          <w:spacing w:val="-4"/>
          <w:sz w:val="32"/>
          <w:szCs w:val="32"/>
          <w:lang w:val="en-US" w:eastAsia="zh-CN"/>
        </w:rPr>
      </w:pPr>
      <w:r>
        <w:rPr>
          <w:rStyle w:val="19"/>
          <w:rFonts w:hint="eastAsia" w:ascii="仿宋_GB2312" w:hAnsi="仿宋_GB2312" w:eastAsia="仿宋_GB2312" w:cs="仿宋_GB2312"/>
          <w:b w:val="0"/>
          <w:bCs w:val="0"/>
          <w:spacing w:val="-4"/>
          <w:sz w:val="32"/>
          <w:szCs w:val="32"/>
          <w:lang w:eastAsia="zh-CN"/>
        </w:rPr>
        <w:t>（</w:t>
      </w:r>
      <w:r>
        <w:rPr>
          <w:rStyle w:val="19"/>
          <w:rFonts w:hint="eastAsia" w:ascii="仿宋_GB2312" w:hAnsi="仿宋_GB2312" w:eastAsia="仿宋_GB2312" w:cs="仿宋_GB2312"/>
          <w:b w:val="0"/>
          <w:bCs w:val="0"/>
          <w:spacing w:val="-4"/>
          <w:sz w:val="32"/>
          <w:szCs w:val="32"/>
          <w:lang w:val="en-US" w:eastAsia="zh-CN"/>
        </w:rPr>
        <w:t>三</w:t>
      </w:r>
      <w:r>
        <w:rPr>
          <w:rStyle w:val="19"/>
          <w:rFonts w:hint="eastAsia" w:ascii="仿宋_GB2312" w:hAnsi="仿宋_GB2312" w:eastAsia="仿宋_GB2312" w:cs="仿宋_GB2312"/>
          <w:b w:val="0"/>
          <w:bCs w:val="0"/>
          <w:spacing w:val="-4"/>
          <w:sz w:val="32"/>
          <w:szCs w:val="32"/>
          <w:lang w:eastAsia="zh-CN"/>
        </w:rPr>
        <w:t>）</w:t>
      </w:r>
      <w:r>
        <w:rPr>
          <w:rStyle w:val="19"/>
          <w:rFonts w:hint="eastAsia" w:ascii="仿宋_GB2312" w:hAnsi="仿宋_GB2312" w:eastAsia="仿宋_GB2312" w:cs="仿宋_GB2312"/>
          <w:b w:val="0"/>
          <w:bCs w:val="0"/>
          <w:spacing w:val="-4"/>
          <w:sz w:val="32"/>
          <w:szCs w:val="32"/>
          <w:lang w:val="en-US" w:eastAsia="zh-CN"/>
        </w:rPr>
        <w:t>原因分析</w:t>
      </w:r>
    </w:p>
    <w:p>
      <w:pPr>
        <w:spacing w:line="540" w:lineRule="exact"/>
        <w:ind w:firstLine="624" w:firstLineChars="200"/>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lang w:val="en-US" w:eastAsia="zh-CN"/>
        </w:rPr>
        <w:t>一是</w:t>
      </w:r>
      <w:r>
        <w:rPr>
          <w:rStyle w:val="19"/>
          <w:rFonts w:hint="eastAsia" w:ascii="仿宋_GB2312" w:hAnsi="仿宋_GB2312" w:eastAsia="仿宋_GB2312" w:cs="仿宋_GB2312"/>
          <w:b w:val="0"/>
          <w:bCs w:val="0"/>
          <w:spacing w:val="-4"/>
          <w:sz w:val="32"/>
          <w:szCs w:val="32"/>
        </w:rPr>
        <w:t>部门绩效工作开展逐年逐步进行，评价工作的各个步骤在工作中不断学习及改进，有些指标的设定及取数标准在根据每年工作需要、项目的特殊性等诸多因数进行设定，存在一定的不确定性，一些定性、定量指标的评价无法做到完全的客观、准确。</w:t>
      </w:r>
    </w:p>
    <w:p>
      <w:pPr>
        <w:spacing w:line="540" w:lineRule="exact"/>
        <w:ind w:firstLine="624" w:firstLineChars="200"/>
        <w:rPr>
          <w:rStyle w:val="19"/>
          <w:rFonts w:hint="eastAsia" w:ascii="仿宋_GB2312" w:hAnsi="仿宋_GB2312" w:eastAsia="仿宋_GB2312" w:cs="仿宋_GB2312"/>
          <w:b w:val="0"/>
          <w:bCs w:val="0"/>
          <w:spacing w:val="-4"/>
          <w:sz w:val="32"/>
          <w:szCs w:val="32"/>
          <w:lang w:val="en-US" w:eastAsia="zh-CN"/>
        </w:rPr>
      </w:pPr>
      <w:r>
        <w:rPr>
          <w:rStyle w:val="19"/>
          <w:rFonts w:hint="eastAsia" w:ascii="仿宋_GB2312" w:hAnsi="仿宋_GB2312" w:eastAsia="仿宋_GB2312" w:cs="仿宋_GB2312"/>
          <w:b w:val="0"/>
          <w:bCs w:val="0"/>
          <w:spacing w:val="-4"/>
          <w:sz w:val="32"/>
          <w:szCs w:val="32"/>
          <w:lang w:val="en-US" w:eastAsia="zh-CN"/>
        </w:rPr>
        <w:t>二是</w:t>
      </w:r>
      <w:r>
        <w:rPr>
          <w:rStyle w:val="19"/>
          <w:rFonts w:hint="eastAsia" w:ascii="仿宋_GB2312" w:hAnsi="仿宋_GB2312" w:eastAsia="仿宋_GB2312" w:cs="仿宋_GB2312"/>
          <w:b w:val="0"/>
          <w:bCs w:val="0"/>
          <w:spacing w:val="-4"/>
          <w:sz w:val="32"/>
          <w:szCs w:val="32"/>
        </w:rPr>
        <w:t>部门项目资料比较分散，收集过程较困难，由于资料收集的限制，一些定性指标的评价无法做到完全的客观、准确</w:t>
      </w:r>
      <w:r>
        <w:rPr>
          <w:rStyle w:val="19"/>
          <w:rFonts w:hint="eastAsia" w:ascii="仿宋_GB2312" w:hAnsi="仿宋_GB2312" w:eastAsia="仿宋_GB2312" w:cs="仿宋_GB2312"/>
          <w:b w:val="0"/>
          <w:bCs w:val="0"/>
          <w:spacing w:val="-4"/>
          <w:sz w:val="32"/>
          <w:szCs w:val="32"/>
          <w:lang w:eastAsia="zh-CN"/>
        </w:rPr>
        <w:t>。</w:t>
      </w:r>
    </w:p>
    <w:p>
      <w:pPr>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lang w:eastAsia="zh-CN"/>
        </w:rPr>
        <w:t>六</w:t>
      </w:r>
      <w:r>
        <w:rPr>
          <w:rStyle w:val="19"/>
          <w:rFonts w:ascii="黑体" w:hAnsi="黑体" w:eastAsia="黑体"/>
          <w:b w:val="0"/>
          <w:spacing w:val="-4"/>
          <w:sz w:val="32"/>
          <w:szCs w:val="32"/>
        </w:rPr>
        <w:t>、有关建议</w:t>
      </w:r>
    </w:p>
    <w:p>
      <w:pPr>
        <w:spacing w:line="540" w:lineRule="exact"/>
        <w:ind w:firstLine="624" w:firstLineChars="200"/>
        <w:rPr>
          <w:rStyle w:val="19"/>
          <w:rFonts w:hint="eastAsia" w:ascii="仿宋_GB2312" w:hAnsi="仿宋_GB2312" w:eastAsia="仿宋_GB2312" w:cs="仿宋_GB2312"/>
          <w:b w:val="0"/>
          <w:bCs w:val="0"/>
          <w:spacing w:val="-4"/>
          <w:sz w:val="32"/>
          <w:szCs w:val="32"/>
        </w:rPr>
      </w:pPr>
      <w:r>
        <w:rPr>
          <w:rStyle w:val="19"/>
          <w:rFonts w:hint="eastAsia" w:ascii="仿宋_GB2312" w:hAnsi="仿宋_GB2312" w:eastAsia="仿宋_GB2312" w:cs="仿宋_GB2312"/>
          <w:b w:val="0"/>
          <w:bCs w:val="0"/>
          <w:spacing w:val="-4"/>
          <w:sz w:val="32"/>
          <w:szCs w:val="32"/>
        </w:rPr>
        <w:t>希望财政部门强化培训，广泛宣传，提升绩效评价工作的重要性，让绩效管理意识深入至各个单位。</w:t>
      </w:r>
    </w:p>
    <w:p>
      <w:pPr>
        <w:spacing w:line="540" w:lineRule="exact"/>
        <w:ind w:firstLine="567"/>
        <w:rPr>
          <w:rStyle w:val="19"/>
          <w:rFonts w:ascii="黑体" w:hAnsi="黑体" w:eastAsia="黑体"/>
          <w:b w:val="0"/>
          <w:spacing w:val="-4"/>
          <w:sz w:val="32"/>
          <w:szCs w:val="32"/>
        </w:rPr>
      </w:pPr>
      <w:r>
        <w:rPr>
          <w:rStyle w:val="19"/>
          <w:rFonts w:hint="eastAsia" w:ascii="黑体" w:hAnsi="黑体" w:eastAsia="黑体"/>
          <w:b w:val="0"/>
          <w:spacing w:val="-4"/>
          <w:sz w:val="32"/>
          <w:szCs w:val="32"/>
          <w:lang w:eastAsia="zh-CN"/>
        </w:rPr>
        <w:t>七</w:t>
      </w:r>
      <w:r>
        <w:rPr>
          <w:rStyle w:val="19"/>
          <w:rFonts w:hint="eastAsia" w:ascii="黑体" w:hAnsi="黑体" w:eastAsia="黑体"/>
          <w:b w:val="0"/>
          <w:spacing w:val="-4"/>
          <w:sz w:val="32"/>
          <w:szCs w:val="32"/>
        </w:rPr>
        <w:t>、其他需要说明的问题</w:t>
      </w:r>
    </w:p>
    <w:p>
      <w:pPr>
        <w:spacing w:line="540" w:lineRule="exact"/>
        <w:ind w:firstLine="627" w:firstLineChars="200"/>
        <w:rPr>
          <w:rStyle w:val="19"/>
          <w:rFonts w:ascii="楷体" w:hAnsi="楷体" w:eastAsia="楷体"/>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auto"/>
    <w:pitch w:val="default"/>
    <w:sig w:usb0="00000283" w:usb1="288F0000" w:usb2="00000006" w:usb3="00000000" w:csb0="00040001" w:csb1="00000000"/>
  </w:font>
  <w:font w:name="微软雅黑 Light">
    <w:panose1 w:val="020B0502040204020203"/>
    <w:charset w:val="86"/>
    <w:family w:val="auto"/>
    <w:pitch w:val="default"/>
    <w:sig w:usb0="80000287" w:usb1="2ACF001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xZjA5M2M3OWEwNTM2Njg2Nzg3NjJkM2E5NTVjOWU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3AD764F"/>
    <w:rsid w:val="0CB44F22"/>
    <w:rsid w:val="17342382"/>
    <w:rsid w:val="181E41CA"/>
    <w:rsid w:val="1B8B6C47"/>
    <w:rsid w:val="346F27C6"/>
    <w:rsid w:val="34B92637"/>
    <w:rsid w:val="36276EAB"/>
    <w:rsid w:val="3F6A4CC2"/>
    <w:rsid w:val="436A373C"/>
    <w:rsid w:val="4496003E"/>
    <w:rsid w:val="47CB0796"/>
    <w:rsid w:val="4C3D1751"/>
    <w:rsid w:val="4D2606A1"/>
    <w:rsid w:val="55B1434A"/>
    <w:rsid w:val="585F2127"/>
    <w:rsid w:val="5C1A50E1"/>
    <w:rsid w:val="6FA54836"/>
    <w:rsid w:val="72693BEA"/>
    <w:rsid w:val="74422938"/>
    <w:rsid w:val="76087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basedOn w:val="16"/>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3</TotalTime>
  <ScaleCrop>false</ScaleCrop>
  <LinksUpToDate>false</LinksUpToDate>
  <CharactersWithSpaces>760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2024-08-27T03:24:00Z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255446C089984BDEB978C09E2EBBDD36_13</vt:lpwstr>
  </property>
</Properties>
</file>