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10E3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18D738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50E923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新疆维吾尔自治区残疾人联合会信息中心</w:t>
      </w:r>
    </w:p>
    <w:p w14:paraId="31F7277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lang w:val="en-US" w:eastAsia="zh-CN"/>
        </w:rPr>
        <w:t>部门</w:t>
      </w:r>
      <w:r>
        <w:rPr>
          <w:rFonts w:hint="eastAsia" w:ascii="方正小标宋_GBK" w:hAnsi="宋体" w:eastAsia="方正小标宋_GBK"/>
          <w:color w:val="auto"/>
          <w:sz w:val="44"/>
          <w:szCs w:val="44"/>
          <w:highlight w:val="none"/>
        </w:rPr>
        <w:t>决算</w:t>
      </w:r>
    </w:p>
    <w:p w14:paraId="26F2644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2EA61C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A2B64A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548045E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val="en-US"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20C0A0E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5533B7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52477D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380EF8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842D60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EE5F05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E6A093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04138A3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DF0077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1B9C6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07F806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7F257DA8">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5B2E3F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37852D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F49E8F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6E17B94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9393CD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35564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19855B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14F3BE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B0B9B9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606A3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561829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71D105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2889CB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D0F45B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72F29E8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A153ED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ED451F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66CF51C9">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45D0A350">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9B78C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第一部分</w:t>
      </w:r>
      <w:r>
        <w:rPr>
          <w:rFonts w:hint="eastAsia" w:ascii="黑体" w:hAnsi="黑体" w:eastAsia="黑体"/>
          <w:color w:val="auto"/>
          <w:sz w:val="32"/>
          <w:szCs w:val="32"/>
          <w:highlight w:val="none"/>
        </w:rPr>
        <w:t xml:space="preserve"> </w:t>
      </w:r>
      <w:r>
        <w:rPr>
          <w:rFonts w:hint="eastAsia" w:ascii="黑体" w:hAnsi="黑体" w:eastAsia="黑体"/>
          <w:color w:val="auto"/>
          <w:sz w:val="32"/>
          <w:szCs w:val="32"/>
          <w:highlight w:val="none"/>
          <w:lang w:val="en-US" w:eastAsia="zh-CN"/>
        </w:rPr>
        <w:t>单位</w:t>
      </w:r>
      <w:r>
        <w:rPr>
          <w:rFonts w:hint="eastAsia" w:ascii="黑体" w:hAnsi="黑体" w:eastAsia="黑体"/>
          <w:color w:val="auto"/>
          <w:sz w:val="32"/>
          <w:szCs w:val="32"/>
          <w:highlight w:val="none"/>
        </w:rPr>
        <w:t>概况</w:t>
      </w:r>
      <w:bookmarkEnd w:id="0"/>
      <w:bookmarkEnd w:id="1"/>
    </w:p>
    <w:p w14:paraId="785381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0567B1F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新疆维吾尔自治区残疾人联合会信息中心成立于 2010年，为新疆维吾尔自治区残疾人联合会所属正处级全额拨款事业单位。其主要职责:</w:t>
      </w:r>
      <w:r>
        <w:rPr>
          <w:rFonts w:hint="eastAsia" w:ascii="仿宋_GB2312" w:eastAsia="仿宋_GB2312"/>
          <w:color w:val="auto"/>
          <w:sz w:val="32"/>
          <w:szCs w:val="32"/>
          <w:highlight w:val="none"/>
          <w:lang w:val="en-US" w:eastAsia="zh-CN"/>
        </w:rPr>
        <w:t>承担</w:t>
      </w:r>
      <w:r>
        <w:rPr>
          <w:rFonts w:hint="eastAsia" w:ascii="仿宋_GB2312" w:eastAsia="仿宋_GB2312"/>
          <w:color w:val="auto"/>
          <w:sz w:val="32"/>
          <w:szCs w:val="32"/>
          <w:highlight w:val="none"/>
        </w:rPr>
        <w:t>自治区残联</w:t>
      </w:r>
      <w:r>
        <w:rPr>
          <w:rFonts w:hint="eastAsia" w:ascii="仿宋_GB2312" w:eastAsia="仿宋_GB2312"/>
          <w:color w:val="auto"/>
          <w:sz w:val="32"/>
          <w:szCs w:val="32"/>
          <w:highlight w:val="none"/>
          <w:lang w:val="en-US" w:eastAsia="zh-CN"/>
        </w:rPr>
        <w:t>的信息化建设等工作</w:t>
      </w:r>
      <w:r>
        <w:rPr>
          <w:rFonts w:hint="eastAsia" w:ascii="仿宋_GB2312" w:eastAsia="仿宋_GB2312"/>
          <w:color w:val="auto"/>
          <w:sz w:val="32"/>
          <w:szCs w:val="32"/>
          <w:highlight w:val="none"/>
          <w:lang w:eastAsia="zh-CN"/>
        </w:rPr>
        <w:t>。</w:t>
      </w:r>
    </w:p>
    <w:p w14:paraId="6915B3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4D80C3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新疆维吾尔自治区残疾人联合会信息中心2023年度，</w:t>
      </w:r>
      <w:r>
        <w:rPr>
          <w:rFonts w:hint="eastAsia" w:ascii="仿宋_GB2312" w:eastAsia="仿宋_GB2312"/>
          <w:color w:val="auto"/>
          <w:sz w:val="32"/>
          <w:szCs w:val="32"/>
          <w:highlight w:val="none"/>
          <w:lang w:val="en-US" w:eastAsia="zh-CN"/>
        </w:rPr>
        <w:t>实有人数5人，其中：在职人员5人，离休人员0人，退休人员0人。</w:t>
      </w:r>
    </w:p>
    <w:p w14:paraId="53EF0A7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单位无下属预算单位，下设 1 个处室，分别是：办公室。</w:t>
      </w:r>
    </w:p>
    <w:p w14:paraId="007805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08458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77BB5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319.90万元，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319.90万元，使用非财政拨款结余0.00万元，年初结转和结余0.00万元。</w:t>
      </w:r>
    </w:p>
    <w:p w14:paraId="6AAA53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319.90万元，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319.89万元，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0.00万元，年末结转和结余0.01万元。</w:t>
      </w:r>
    </w:p>
    <w:p w14:paraId="6BF125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减少42.20万元</w:t>
      </w:r>
      <w:r>
        <w:rPr>
          <w:rFonts w:hint="eastAsia" w:ascii="仿宋_GB2312" w:eastAsia="仿宋_GB2312"/>
          <w:color w:val="auto"/>
          <w:spacing w:val="0"/>
          <w:sz w:val="32"/>
          <w:szCs w:val="32"/>
          <w:highlight w:val="none"/>
          <w:lang w:eastAsia="zh-CN"/>
        </w:rPr>
        <w:t>，下降11.65%，主要原因是：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减少</w:t>
      </w:r>
      <w:r>
        <w:rPr>
          <w:rFonts w:hint="eastAsia" w:ascii="仿宋_GB2312" w:hAnsi="仿宋_GB2312" w:eastAsia="仿宋_GB2312" w:cs="仿宋_GB2312"/>
          <w:color w:val="auto"/>
          <w:kern w:val="2"/>
          <w:sz w:val="32"/>
          <w:szCs w:val="32"/>
          <w:highlight w:val="none"/>
          <w:lang w:val="zh-CN" w:eastAsia="zh-CN" w:bidi="ar-SA"/>
        </w:rPr>
        <w:t>国产商用密码应用和机房UPS不间断电源设备采购项目。</w:t>
      </w:r>
    </w:p>
    <w:p w14:paraId="2F059E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02C5E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319.90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319.88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w:t>
      </w:r>
    </w:p>
    <w:p w14:paraId="2D065B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6AF035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本年支出319.89万元，其中：基本支出99.21万元，占31.01%；项目支出220.68万元，占68.99%；上缴上级支出0.00万元，占0.00%；经营支出0.00万元，占0.00%；对附属单位补助支出0.00万元，占0.00%。</w:t>
      </w:r>
    </w:p>
    <w:p w14:paraId="12B139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8168E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319.88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319.88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319.88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319.88</w:t>
      </w:r>
      <w:r>
        <w:rPr>
          <w:rFonts w:hint="eastAsia" w:ascii="仿宋_GB2312" w:eastAsia="仿宋_GB2312"/>
          <w:color w:val="auto"/>
          <w:spacing w:val="0"/>
          <w:sz w:val="32"/>
          <w:szCs w:val="32"/>
          <w:highlight w:val="none"/>
          <w:lang w:eastAsia="zh-CN"/>
        </w:rPr>
        <w:t>万元。</w:t>
      </w:r>
    </w:p>
    <w:p w14:paraId="007173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减少42.20万元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下降11.65%,</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减少</w:t>
      </w:r>
      <w:r>
        <w:rPr>
          <w:rFonts w:hint="eastAsia" w:ascii="仿宋_GB2312" w:hAnsi="仿宋_GB2312" w:eastAsia="仿宋_GB2312" w:cs="仿宋_GB2312"/>
          <w:color w:val="auto"/>
          <w:kern w:val="2"/>
          <w:sz w:val="32"/>
          <w:szCs w:val="32"/>
          <w:highlight w:val="none"/>
          <w:lang w:val="zh-CN" w:eastAsia="zh-CN" w:bidi="ar-SA"/>
        </w:rPr>
        <w:t>国产商用密码应用和机房UPS不间断电源设备采购项目。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323.20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319.88</w:t>
      </w:r>
      <w:r>
        <w:rPr>
          <w:rFonts w:hint="eastAsia" w:ascii="仿宋_GB2312" w:eastAsia="仿宋_GB2312"/>
          <w:color w:val="auto"/>
          <w:spacing w:val="0"/>
          <w:sz w:val="32"/>
          <w:szCs w:val="32"/>
          <w:highlight w:val="none"/>
          <w:lang w:eastAsia="zh-CN"/>
        </w:rPr>
        <w:t>万元，预决算差异率-1.03%，主要原因是：</w:t>
      </w:r>
      <w:r>
        <w:rPr>
          <w:rFonts w:hint="eastAsia" w:ascii="仿宋_GB2312" w:eastAsia="仿宋_GB2312"/>
          <w:color w:val="auto"/>
          <w:spacing w:val="0"/>
          <w:sz w:val="32"/>
          <w:szCs w:val="32"/>
          <w:highlight w:val="none"/>
          <w:lang w:eastAsia="zh-CN"/>
        </w:rPr>
        <w:t>部分</w:t>
      </w:r>
      <w:r>
        <w:rPr>
          <w:rFonts w:hint="eastAsia" w:ascii="仿宋_GB2312" w:eastAsia="仿宋_GB2312"/>
          <w:color w:val="auto"/>
          <w:spacing w:val="0"/>
          <w:sz w:val="32"/>
          <w:szCs w:val="32"/>
          <w:highlight w:val="none"/>
          <w:lang w:val="en-US" w:eastAsia="zh-CN"/>
        </w:rPr>
        <w:t>招标采购</w:t>
      </w:r>
      <w:r>
        <w:rPr>
          <w:rFonts w:hint="eastAsia" w:ascii="仿宋_GB2312" w:eastAsia="仿宋_GB2312"/>
          <w:color w:val="auto"/>
          <w:spacing w:val="0"/>
          <w:sz w:val="32"/>
          <w:szCs w:val="32"/>
          <w:highlight w:val="none"/>
          <w:lang w:eastAsia="zh-CN"/>
        </w:rPr>
        <w:t>项目预算金额与</w:t>
      </w:r>
      <w:r>
        <w:rPr>
          <w:rFonts w:hint="eastAsia" w:ascii="仿宋_GB2312" w:eastAsia="仿宋_GB2312"/>
          <w:color w:val="auto"/>
          <w:spacing w:val="0"/>
          <w:sz w:val="32"/>
          <w:szCs w:val="32"/>
          <w:highlight w:val="none"/>
          <w:lang w:val="en-US" w:eastAsia="zh-CN"/>
        </w:rPr>
        <w:t>中</w:t>
      </w:r>
      <w:r>
        <w:rPr>
          <w:rFonts w:hint="eastAsia" w:ascii="仿宋_GB2312" w:eastAsia="仿宋_GB2312"/>
          <w:color w:val="auto"/>
          <w:spacing w:val="0"/>
          <w:sz w:val="32"/>
          <w:szCs w:val="32"/>
          <w:highlight w:val="none"/>
          <w:lang w:eastAsia="zh-CN"/>
        </w:rPr>
        <w:t>标价有差额。</w:t>
      </w:r>
    </w:p>
    <w:p w14:paraId="7ECB093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FFCC3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2A20F9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2023年度一般公共预算财政拨款支出319.88万元，占本年支出合计的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减少42.20万元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下降11.65%,</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减少</w:t>
      </w:r>
      <w:r>
        <w:rPr>
          <w:rFonts w:hint="eastAsia" w:ascii="仿宋_GB2312" w:hAnsi="仿宋_GB2312" w:eastAsia="仿宋_GB2312" w:cs="仿宋_GB2312"/>
          <w:color w:val="auto"/>
          <w:kern w:val="2"/>
          <w:sz w:val="32"/>
          <w:szCs w:val="32"/>
          <w:highlight w:val="none"/>
          <w:lang w:val="zh-CN" w:eastAsia="zh-CN" w:bidi="ar-SA"/>
        </w:rPr>
        <w:t>国产商用密码应用和机房UPS不间断电源设备采购项目。</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323.20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319.88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-1.03%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eastAsia="zh-CN"/>
        </w:rPr>
        <w:t>部分</w:t>
      </w:r>
      <w:r>
        <w:rPr>
          <w:rFonts w:hint="eastAsia" w:ascii="仿宋_GB2312" w:eastAsia="仿宋_GB2312"/>
          <w:color w:val="auto"/>
          <w:spacing w:val="0"/>
          <w:sz w:val="32"/>
          <w:szCs w:val="32"/>
          <w:highlight w:val="none"/>
          <w:lang w:val="en-US" w:eastAsia="zh-CN"/>
        </w:rPr>
        <w:t>招标采购</w:t>
      </w:r>
      <w:r>
        <w:rPr>
          <w:rFonts w:hint="eastAsia" w:ascii="仿宋_GB2312" w:eastAsia="仿宋_GB2312"/>
          <w:color w:val="auto"/>
          <w:spacing w:val="0"/>
          <w:sz w:val="32"/>
          <w:szCs w:val="32"/>
          <w:highlight w:val="none"/>
          <w:lang w:eastAsia="zh-CN"/>
        </w:rPr>
        <w:t>项目预算金额与</w:t>
      </w:r>
      <w:r>
        <w:rPr>
          <w:rFonts w:hint="eastAsia" w:ascii="仿宋_GB2312" w:eastAsia="仿宋_GB2312"/>
          <w:color w:val="auto"/>
          <w:spacing w:val="0"/>
          <w:sz w:val="32"/>
          <w:szCs w:val="32"/>
          <w:highlight w:val="none"/>
          <w:lang w:val="en-US" w:eastAsia="zh-CN"/>
        </w:rPr>
        <w:t>中</w:t>
      </w:r>
      <w:r>
        <w:rPr>
          <w:rFonts w:hint="eastAsia" w:ascii="仿宋_GB2312" w:eastAsia="仿宋_GB2312"/>
          <w:color w:val="auto"/>
          <w:spacing w:val="0"/>
          <w:sz w:val="32"/>
          <w:szCs w:val="32"/>
          <w:highlight w:val="none"/>
          <w:lang w:eastAsia="zh-CN"/>
        </w:rPr>
        <w:t>标价有差额。</w:t>
      </w:r>
    </w:p>
    <w:p w14:paraId="5023214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69903BD3">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304.84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95.30%</w:t>
      </w:r>
      <w:r>
        <w:rPr>
          <w:rFonts w:hint="default" w:ascii="仿宋_GB2312" w:hAnsi="Times New Roman" w:eastAsia="仿宋_GB2312" w:cs="Times New Roman"/>
          <w:color w:val="auto"/>
          <w:spacing w:val="0"/>
          <w:kern w:val="2"/>
          <w:sz w:val="32"/>
          <w:szCs w:val="32"/>
          <w:highlight w:val="none"/>
          <w:lang w:val="zh-CN" w:eastAsia="zh-CN" w:bidi="ar-SA"/>
        </w:rPr>
        <w:t>；</w:t>
      </w:r>
    </w:p>
    <w:p w14:paraId="46E5FFC6">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2.57%</w:t>
      </w:r>
      <w:r>
        <w:rPr>
          <w:rFonts w:hint="default" w:ascii="仿宋_GB2312" w:hAnsi="Times New Roman" w:eastAsia="仿宋_GB2312" w:cs="Times New Roman"/>
          <w:color w:val="auto"/>
          <w:spacing w:val="0"/>
          <w:kern w:val="2"/>
          <w:sz w:val="32"/>
          <w:szCs w:val="32"/>
          <w:highlight w:val="none"/>
          <w:lang w:val="zh-CN" w:eastAsia="zh-CN" w:bidi="ar-SA"/>
        </w:rPr>
        <w:t>；</w:t>
      </w:r>
    </w:p>
    <w:p w14:paraId="3E397F9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2.13%</w:t>
      </w:r>
      <w:r>
        <w:rPr>
          <w:rFonts w:hint="default" w:ascii="仿宋_GB2312" w:hAnsi="Times New Roman" w:eastAsia="仿宋_GB2312" w:cs="Times New Roman"/>
          <w:color w:val="auto"/>
          <w:spacing w:val="0"/>
          <w:kern w:val="2"/>
          <w:sz w:val="32"/>
          <w:szCs w:val="32"/>
          <w:highlight w:val="none"/>
          <w:lang w:val="zh-CN" w:eastAsia="zh-CN" w:bidi="ar-SA"/>
        </w:rPr>
        <w:t>；</w:t>
      </w:r>
    </w:p>
    <w:p w14:paraId="200B0E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DD601B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1.社会保障和就业支出（类）残疾人事业（款）机关服务（项）:支出决算数为75.08万元，比上年决算增加2.48万元，增长3.42%，主要原因是：2023年</w:t>
      </w:r>
      <w:r>
        <w:rPr>
          <w:rFonts w:hint="eastAsia" w:ascii="仿宋_GB2312" w:eastAsia="仿宋_GB2312"/>
          <w:sz w:val="32"/>
          <w:szCs w:val="32"/>
          <w:highlight w:val="none"/>
        </w:rPr>
        <w:t>在职人员</w:t>
      </w:r>
      <w:r>
        <w:rPr>
          <w:rFonts w:hint="eastAsia" w:ascii="仿宋_GB2312" w:eastAsia="仿宋_GB2312"/>
          <w:sz w:val="32"/>
          <w:szCs w:val="32"/>
          <w:highlight w:val="none"/>
          <w:lang w:val="en-US" w:eastAsia="zh-CN"/>
        </w:rPr>
        <w:t>级别及工资调整。</w:t>
      </w:r>
    </w:p>
    <w:p w14:paraId="2DD60C0F">
      <w:pPr>
        <w:ind w:firstLine="640" w:firstLineChars="200"/>
        <w:outlineLvl w:val="1"/>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2.卫生健康支出（类）行政事业单位医疗（款）事业单位医疗（项）:支出决算数为4.26万元，比上年决算增加0.19万元，增长4.67%，主要原因是：</w:t>
      </w:r>
      <w:r>
        <w:rPr>
          <w:rFonts w:hint="eastAsia" w:ascii="仿宋_GB2312" w:eastAsia="仿宋_GB2312"/>
          <w:sz w:val="32"/>
          <w:szCs w:val="32"/>
          <w:highlight w:val="none"/>
        </w:rPr>
        <w:t>在职人员事业单位医疗保险缴费基数增加。</w:t>
      </w:r>
    </w:p>
    <w:p w14:paraId="57C79A6F">
      <w:pPr>
        <w:ind w:firstLine="640" w:firstLineChars="200"/>
        <w:outlineLvl w:val="1"/>
        <w:rPr>
          <w:rFonts w:ascii="黑体" w:hAnsi="黑体" w:eastAsia="黑体" w:cs="宋体"/>
          <w:bCs/>
          <w:kern w:val="0"/>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3.卫生健康支出（类）行政事业单位医疗（款）公务员医疗补助（项）:支出决算数为3.97万元，比上年决算增加0.81万元，增长25.63%，主要原因是：</w:t>
      </w:r>
      <w:r>
        <w:rPr>
          <w:rFonts w:hint="eastAsia" w:ascii="仿宋_GB2312" w:eastAsia="仿宋_GB2312"/>
          <w:sz w:val="32"/>
          <w:szCs w:val="32"/>
          <w:highlight w:val="none"/>
        </w:rPr>
        <w:t>在职人员公务员医疗补助缴费基数增加。</w:t>
      </w:r>
    </w:p>
    <w:p w14:paraId="5BA2599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4.社会保障和就业支出（类）残疾人事业（款）其他残疾人事业支出（项）:支出决算数为220.68万元，比上年决算减少48.38万元，下降17.98%，主要原因是：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减少</w:t>
      </w:r>
      <w:r>
        <w:rPr>
          <w:rFonts w:hint="eastAsia" w:ascii="仿宋_GB2312" w:hAnsi="仿宋_GB2312" w:eastAsia="仿宋_GB2312" w:cs="仿宋_GB2312"/>
          <w:color w:val="auto"/>
          <w:kern w:val="2"/>
          <w:sz w:val="32"/>
          <w:szCs w:val="32"/>
          <w:highlight w:val="none"/>
          <w:lang w:val="zh-CN" w:eastAsia="zh-CN" w:bidi="ar-SA"/>
        </w:rPr>
        <w:t>国产商用密码应用和机房UPS不间断电源设备采购项目。</w:t>
      </w:r>
    </w:p>
    <w:p w14:paraId="060B2B3A">
      <w:pPr>
        <w:ind w:firstLine="640" w:firstLineChars="200"/>
        <w:outlineLvl w:val="1"/>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5.住房保障支出（类）住房改革支出（款）住房公积金（项）:支出决算数为6.81万元，比上年决算增加1.16万元，增长20.53%，主要原因是：</w:t>
      </w:r>
      <w:r>
        <w:rPr>
          <w:rFonts w:hint="eastAsia" w:ascii="仿宋_GB2312" w:eastAsia="仿宋_GB2312"/>
          <w:sz w:val="32"/>
          <w:szCs w:val="32"/>
          <w:highlight w:val="none"/>
        </w:rPr>
        <w:t>在职人员住房公积金缴费基数增加。</w:t>
      </w:r>
    </w:p>
    <w:p w14:paraId="55115D36">
      <w:p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6.社会保障和就业支出（类）行政事业单位养老支出（款）机关事业单位基本养老保险缴费支出（项）:支出决算数为9.08万元，比上年决算增加1.54万元，增长20.42%，主要原因是：</w:t>
      </w:r>
      <w:r>
        <w:rPr>
          <w:rFonts w:hint="eastAsia" w:ascii="仿宋_GB2312" w:eastAsia="仿宋_GB2312"/>
          <w:sz w:val="32"/>
          <w:szCs w:val="32"/>
          <w:highlight w:val="none"/>
        </w:rPr>
        <w:t>在职人员机关事业单位基本养老保险缴费基数增加。</w:t>
      </w:r>
    </w:p>
    <w:p w14:paraId="0F57997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3BC705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99.20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95.00</w:t>
      </w:r>
      <w:r>
        <w:rPr>
          <w:rFonts w:hint="eastAsia" w:ascii="仿宋_GB2312" w:eastAsia="仿宋_GB2312"/>
          <w:color w:val="auto"/>
          <w:sz w:val="32"/>
          <w:szCs w:val="32"/>
          <w:highlight w:val="none"/>
        </w:rPr>
        <w:t>万元，包括：基本工资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津贴补贴</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奖金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绩效工资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机关事业单位基本养老保险缴费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职工基本医疗保险缴费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公务员医疗补助缴费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其他社会保障缴费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住房公积金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其他工资福利支出</w:t>
      </w:r>
      <w:r>
        <w:rPr>
          <w:rFonts w:hint="eastAsia" w:ascii="仿宋_GB2312" w:eastAsia="仿宋_GB2312"/>
          <w:color w:val="auto"/>
          <w:sz w:val="32"/>
          <w:szCs w:val="32"/>
          <w:highlight w:val="none"/>
          <w:lang w:eastAsia="zh-CN"/>
        </w:rPr>
        <w:t>。</w:t>
      </w:r>
    </w:p>
    <w:p w14:paraId="15B571A1">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4.20</w:t>
      </w:r>
      <w:r>
        <w:rPr>
          <w:rFonts w:hint="eastAsia" w:ascii="仿宋_GB2312" w:eastAsia="仿宋_GB2312"/>
          <w:color w:val="auto"/>
          <w:sz w:val="32"/>
          <w:szCs w:val="32"/>
          <w:highlight w:val="none"/>
        </w:rPr>
        <w:t>万元，包括：办公费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水费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差旅费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工会经费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福利费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其他商品和服务支出</w:t>
      </w:r>
      <w:r>
        <w:rPr>
          <w:rFonts w:hint="eastAsia" w:ascii="仿宋_GB2312" w:eastAsia="仿宋_GB2312"/>
          <w:color w:val="auto"/>
          <w:sz w:val="32"/>
          <w:szCs w:val="32"/>
          <w:highlight w:val="none"/>
          <w:lang w:eastAsia="zh-CN"/>
        </w:rPr>
        <w:t>。</w:t>
      </w:r>
    </w:p>
    <w:p w14:paraId="0463EC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1389EE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主要原因是：我单位无财政拨款“三公”经费支出</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w:t>
      </w:r>
      <w:r>
        <w:rPr>
          <w:rFonts w:hint="eastAsia" w:ascii="仿宋_GB2312" w:eastAsia="仿宋_GB2312"/>
          <w:color w:val="auto"/>
          <w:sz w:val="32"/>
          <w:szCs w:val="32"/>
          <w:highlight w:val="none"/>
          <w:lang w:val="zh-CN"/>
        </w:rPr>
        <w:t>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rPr>
        <w:t>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公务接待费支出。</w:t>
      </w:r>
    </w:p>
    <w:p w14:paraId="54512045">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E91D21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rPr>
        <w:t>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788448D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原因是：本单位公务用车出借新疆维吾尔自治区残疾人联合会</w:t>
      </w:r>
      <w:r>
        <w:rPr>
          <w:rFonts w:hint="eastAsia" w:ascii="仿宋_GB2312" w:eastAsia="仿宋_GB2312"/>
          <w:color w:val="auto"/>
          <w:sz w:val="32"/>
          <w:szCs w:val="32"/>
          <w:highlight w:val="none"/>
          <w:lang w:val="en-US" w:eastAsia="zh-CN"/>
        </w:rPr>
        <w:t>本级</w:t>
      </w:r>
      <w:r>
        <w:rPr>
          <w:rFonts w:hint="eastAsia" w:ascii="仿宋_GB2312" w:eastAsia="仿宋_GB2312"/>
          <w:color w:val="auto"/>
          <w:sz w:val="32"/>
          <w:szCs w:val="32"/>
          <w:highlight w:val="none"/>
          <w:lang w:val="zh-CN" w:eastAsia="zh-CN"/>
        </w:rPr>
        <w:t>使用，车辆的相关经费也由此单位保障。</w:t>
      </w:r>
    </w:p>
    <w:p w14:paraId="316340B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公务接待费。单位全年安排的国内公务接待0批次，0人次。</w:t>
      </w:r>
    </w:p>
    <w:p w14:paraId="5FAE34B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预算数0.00万元，决算数0.00万元，预决算差异率0.00%，主要原因是：我单位无财政拨款“三公”经费。其中：因公出国（境）费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14:paraId="2CB808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7B0695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2708C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1578C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6D1F60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F9039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EC79E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新疆维吾尔自治区残疾人联合会信息中心（事业单位）公用经费支出4.20万元，</w:t>
      </w:r>
      <w:r>
        <w:rPr>
          <w:rFonts w:hint="eastAsia" w:ascii="仿宋_GB2312" w:hAnsi="仿宋_GB2312" w:eastAsia="仿宋_GB2312" w:cs="仿宋_GB2312"/>
          <w:color w:val="auto"/>
          <w:sz w:val="32"/>
          <w:szCs w:val="32"/>
          <w:highlight w:val="none"/>
          <w:lang w:val="zh-CN" w:eastAsia="zh-CN"/>
        </w:rPr>
        <w:t>比上年增加0.81万元，增长23.89%，主要原因是：</w:t>
      </w:r>
      <w:r>
        <w:rPr>
          <w:rFonts w:hint="eastAsia" w:ascii="仿宋_GB2312" w:hAnsi="仿宋_GB2312" w:eastAsia="仿宋_GB2312" w:cs="仿宋_GB2312"/>
          <w:color w:val="auto"/>
          <w:sz w:val="32"/>
          <w:szCs w:val="32"/>
          <w:highlight w:val="none"/>
          <w:lang w:val="en-US" w:eastAsia="zh-CN"/>
        </w:rPr>
        <w:t>2023年人员级别有所调整，公用经费增加</w:t>
      </w:r>
      <w:r>
        <w:rPr>
          <w:rFonts w:hint="eastAsia" w:ascii="仿宋_GB2312" w:hAnsi="仿宋_GB2312" w:eastAsia="仿宋_GB2312" w:cs="仿宋_GB2312"/>
          <w:color w:val="auto"/>
          <w:sz w:val="32"/>
          <w:szCs w:val="32"/>
          <w:highlight w:val="none"/>
          <w:lang w:val="zh-CN" w:eastAsia="zh-CN"/>
        </w:rPr>
        <w:t>。</w:t>
      </w:r>
    </w:p>
    <w:p w14:paraId="7305BB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p>
    <w:p w14:paraId="2796C1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819D0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182.56万元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其中：政府采购货物支出44.99万元、政府采购工程支出0.00万元、政府采购服务支出137.57万元。</w:t>
      </w:r>
    </w:p>
    <w:p w14:paraId="307B75A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授予中小企业合同金额182.56万元，占政府采购支出总额的100.00%，其中：授予小微企业合同金额182.56万元，占政府采购支出总额的100.00%</w:t>
      </w:r>
      <w:r>
        <w:rPr>
          <w:rFonts w:hint="eastAsia" w:ascii="仿宋_GB2312" w:hAnsi="仿宋_GB2312" w:eastAsia="仿宋_GB2312" w:cs="仿宋_GB2312"/>
          <w:color w:val="auto"/>
          <w:sz w:val="32"/>
          <w:szCs w:val="32"/>
          <w:highlight w:val="none"/>
          <w:lang w:val="en-US" w:eastAsia="zh-CN"/>
        </w:rPr>
        <w:t>。</w:t>
      </w:r>
    </w:p>
    <w:p w14:paraId="18FE9E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46085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695.35</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屋0.00平方米，价值0.00万元。车辆1辆，价值50.53万元，其中：副部（省）级及以上领导用车0辆、主要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用车0辆、其他用车1辆，其他用车主要是：单位公务</w:t>
      </w:r>
      <w:r>
        <w:rPr>
          <w:rFonts w:hint="eastAsia" w:ascii="仿宋_GB2312" w:hAnsi="仿宋_GB2312" w:eastAsia="仿宋_GB2312" w:cs="仿宋_GB2312"/>
          <w:color w:val="auto"/>
          <w:sz w:val="32"/>
          <w:szCs w:val="32"/>
          <w:highlight w:val="none"/>
          <w:lang w:val="en-US" w:eastAsia="zh-CN"/>
        </w:rPr>
        <w:t>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23EF06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15AB37F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根据预算绩效管理要求，我单位2023年整体绩效自评表0个，全年预算总额0万元，实际执行0万元。我单位整体支出绩效自评表由主管部门编报并公开。预算绩效评价项目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全年预算数231.70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全年执行数220.68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。预算绩效管理取得的成效：一是项目预算精细化，通过深化预算绩效管理理念，各项目预算编制更加细致合理。</w:t>
      </w:r>
      <w:r>
        <w:rPr>
          <w:rFonts w:hint="eastAsia" w:ascii="仿宋_GB2312" w:eastAsia="仿宋_GB2312"/>
          <w:color w:val="auto"/>
          <w:sz w:val="32"/>
          <w:szCs w:val="32"/>
          <w:highlight w:val="none"/>
          <w:lang w:val="en-US" w:eastAsia="zh-CN"/>
        </w:rPr>
        <w:t>根据</w:t>
      </w:r>
      <w:r>
        <w:rPr>
          <w:rFonts w:hint="eastAsia" w:ascii="仿宋_GB2312" w:eastAsia="仿宋_GB2312"/>
          <w:color w:val="auto"/>
          <w:sz w:val="32"/>
          <w:szCs w:val="32"/>
          <w:highlight w:val="none"/>
          <w:lang w:eastAsia="zh-CN"/>
        </w:rPr>
        <w:t>项目实际需求，科学预测成本，合理分配资源，有效避免了资金的浪费与低效使用，确保了每一分钱都花在刀刃上。二是</w:t>
      </w:r>
      <w:r>
        <w:rPr>
          <w:rFonts w:hint="eastAsia" w:ascii="仿宋_GB2312" w:eastAsia="仿宋_GB2312"/>
          <w:color w:val="auto"/>
          <w:sz w:val="32"/>
          <w:szCs w:val="32"/>
          <w:highlight w:val="none"/>
          <w:lang w:val="en-US" w:eastAsia="zh-CN"/>
        </w:rPr>
        <w:t>加强</w:t>
      </w:r>
      <w:r>
        <w:rPr>
          <w:rFonts w:hint="eastAsia" w:ascii="仿宋_GB2312" w:eastAsia="仿宋_GB2312"/>
          <w:color w:val="auto"/>
          <w:sz w:val="32"/>
          <w:szCs w:val="32"/>
          <w:highlight w:val="none"/>
          <w:lang w:eastAsia="zh-CN"/>
        </w:rPr>
        <w:t>绩效导向，推进</w:t>
      </w:r>
      <w:r>
        <w:rPr>
          <w:rFonts w:hint="eastAsia"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lang w:eastAsia="zh-CN"/>
        </w:rPr>
        <w:t>执行，根据绩效管理内容，积极推荐并优化项目执行方案，确保项目不仅按计划推进，而且能够达成既定的绩效目标。这种以绩效为核心的管理模式，显著提升了项目执行效率和质量，为单位的整体发展注入了强劲动力。</w:t>
      </w:r>
    </w:p>
    <w:p w14:paraId="07D453F6">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发现的问题及原因分析：在项目实施过程中，发现对</w:t>
      </w:r>
      <w:r>
        <w:rPr>
          <w:rFonts w:hint="eastAsia" w:ascii="仿宋_GB2312" w:eastAsia="仿宋_GB2312"/>
          <w:color w:val="auto"/>
          <w:sz w:val="32"/>
          <w:szCs w:val="32"/>
          <w:highlight w:val="none"/>
          <w:lang w:val="en-US" w:eastAsia="zh-CN"/>
        </w:rPr>
        <w:t>项目实施过程</w:t>
      </w:r>
      <w:r>
        <w:rPr>
          <w:rFonts w:hint="eastAsia" w:ascii="仿宋_GB2312" w:eastAsia="仿宋_GB2312"/>
          <w:color w:val="auto"/>
          <w:sz w:val="32"/>
          <w:szCs w:val="32"/>
          <w:highlight w:val="none"/>
          <w:lang w:eastAsia="zh-CN"/>
        </w:rPr>
        <w:t>招投标流程及相关财务制度的理解不够全面，导致在</w:t>
      </w:r>
      <w:r>
        <w:rPr>
          <w:rFonts w:hint="eastAsia" w:ascii="仿宋_GB2312" w:eastAsia="仿宋_GB2312"/>
          <w:color w:val="auto"/>
          <w:sz w:val="32"/>
          <w:szCs w:val="32"/>
          <w:highlight w:val="none"/>
          <w:lang w:val="en-US" w:eastAsia="zh-CN"/>
        </w:rPr>
        <w:t>绩效目标完成值产生偏差</w:t>
      </w:r>
      <w:r>
        <w:rPr>
          <w:rFonts w:hint="eastAsia" w:ascii="仿宋_GB2312" w:eastAsia="仿宋_GB2312"/>
          <w:color w:val="auto"/>
          <w:sz w:val="32"/>
          <w:szCs w:val="32"/>
          <w:highlight w:val="none"/>
          <w:lang w:eastAsia="zh-CN"/>
        </w:rPr>
        <w:t>，进而延迟</w:t>
      </w:r>
      <w:r>
        <w:rPr>
          <w:rFonts w:hint="eastAsia" w:ascii="仿宋_GB2312" w:eastAsia="仿宋_GB2312"/>
          <w:color w:val="auto"/>
          <w:sz w:val="32"/>
          <w:szCs w:val="32"/>
          <w:highlight w:val="none"/>
          <w:lang w:val="en-US" w:eastAsia="zh-CN"/>
        </w:rPr>
        <w:t>完成绩效目标</w:t>
      </w:r>
      <w:r>
        <w:rPr>
          <w:rFonts w:hint="eastAsia" w:ascii="仿宋_GB2312" w:eastAsia="仿宋_GB2312"/>
          <w:color w:val="auto"/>
          <w:sz w:val="32"/>
          <w:szCs w:val="32"/>
          <w:highlight w:val="none"/>
          <w:lang w:eastAsia="zh-CN"/>
        </w:rPr>
        <w:t>。</w:t>
      </w:r>
    </w:p>
    <w:p w14:paraId="411F7CC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下一步改进措施：一是优化预算绩效目标设置，在未来的预算编制中，将更加注重合理设置项目绩效目标和指标，确保每个项目都有清晰、可衡量的绩效</w:t>
      </w:r>
      <w:r>
        <w:rPr>
          <w:rFonts w:hint="eastAsia" w:ascii="仿宋_GB2312" w:eastAsia="仿宋_GB2312"/>
          <w:color w:val="auto"/>
          <w:sz w:val="32"/>
          <w:szCs w:val="32"/>
          <w:highlight w:val="none"/>
          <w:lang w:val="en-US" w:eastAsia="zh-CN"/>
        </w:rPr>
        <w:t>指标</w:t>
      </w:r>
      <w:r>
        <w:rPr>
          <w:rFonts w:hint="eastAsia" w:ascii="仿宋_GB2312" w:eastAsia="仿宋_GB2312"/>
          <w:color w:val="auto"/>
          <w:sz w:val="32"/>
          <w:szCs w:val="32"/>
          <w:highlight w:val="none"/>
          <w:lang w:eastAsia="zh-CN"/>
        </w:rPr>
        <w:t>。同时，通过绩效目标的积极引导和推动，加快各项目执行，改善预算执行进度缓慢且集中的问题，提高资金使用效益。二是加强财务与业务沟通，</w:t>
      </w:r>
      <w:r>
        <w:rPr>
          <w:rFonts w:hint="eastAsia" w:ascii="仿宋_GB2312" w:eastAsia="仿宋_GB2312"/>
          <w:color w:val="auto"/>
          <w:sz w:val="32"/>
          <w:szCs w:val="32"/>
          <w:highlight w:val="none"/>
          <w:lang w:val="en-US" w:eastAsia="zh-CN"/>
        </w:rPr>
        <w:t>合理设定绩效目标值</w:t>
      </w:r>
      <w:r>
        <w:rPr>
          <w:rFonts w:hint="eastAsia" w:ascii="仿宋_GB2312" w:eastAsia="仿宋_GB2312"/>
          <w:color w:val="auto"/>
          <w:sz w:val="32"/>
          <w:szCs w:val="32"/>
          <w:highlight w:val="none"/>
          <w:lang w:eastAsia="zh-CN"/>
        </w:rPr>
        <w:t>。同时，加强</w:t>
      </w:r>
      <w:r>
        <w:rPr>
          <w:rFonts w:hint="eastAsia" w:ascii="仿宋_GB2312" w:eastAsia="仿宋_GB2312"/>
          <w:color w:val="auto"/>
          <w:sz w:val="32"/>
          <w:szCs w:val="32"/>
          <w:highlight w:val="none"/>
          <w:lang w:val="en-US" w:eastAsia="zh-CN"/>
        </w:rPr>
        <w:t>绩效管理</w:t>
      </w:r>
      <w:r>
        <w:rPr>
          <w:rFonts w:hint="eastAsia" w:ascii="仿宋_GB2312" w:eastAsia="仿宋_GB2312"/>
          <w:color w:val="auto"/>
          <w:sz w:val="32"/>
          <w:szCs w:val="32"/>
          <w:highlight w:val="none"/>
          <w:lang w:eastAsia="zh-CN"/>
        </w:rPr>
        <w:t>知识普及和政策宣传，提升全体干部对</w:t>
      </w:r>
      <w:r>
        <w:rPr>
          <w:rFonts w:hint="eastAsia" w:ascii="仿宋_GB2312" w:eastAsia="仿宋_GB2312"/>
          <w:color w:val="auto"/>
          <w:sz w:val="32"/>
          <w:szCs w:val="32"/>
          <w:highlight w:val="none"/>
          <w:lang w:val="en-US" w:eastAsia="zh-CN"/>
        </w:rPr>
        <w:t>绩效管理</w:t>
      </w:r>
      <w:r>
        <w:rPr>
          <w:rFonts w:hint="eastAsia" w:ascii="仿宋_GB2312" w:eastAsia="仿宋_GB2312"/>
          <w:color w:val="auto"/>
          <w:sz w:val="32"/>
          <w:szCs w:val="32"/>
          <w:highlight w:val="none"/>
          <w:lang w:eastAsia="zh-CN"/>
        </w:rPr>
        <w:t>认知和执行能力。</w:t>
      </w:r>
    </w:p>
    <w:p w14:paraId="67C79EC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具体项目自评情况附绩效自评表。</w:t>
      </w:r>
    </w:p>
    <w:p w14:paraId="491926B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AC5DC3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w:t>
      </w:r>
      <w:bookmarkStart w:id="48" w:name="_GoBack"/>
      <w:r>
        <w:rPr>
          <w:rFonts w:hint="eastAsia" w:ascii="仿宋_GB2312" w:hAnsi="仿宋_GB2312" w:eastAsia="仿宋_GB2312" w:cs="仿宋_GB2312"/>
          <w:color w:val="auto"/>
          <w:kern w:val="0"/>
          <w:sz w:val="32"/>
          <w:szCs w:val="32"/>
          <w:highlight w:val="none"/>
          <w:lang w:val="en-US" w:eastAsia="zh-CN"/>
        </w:rPr>
        <w:t>单位</w:t>
      </w:r>
      <w:bookmarkEnd w:id="48"/>
      <w:r>
        <w:rPr>
          <w:rFonts w:hint="eastAsia" w:ascii="仿宋_GB2312" w:hAnsi="仿宋_GB2312" w:eastAsia="仿宋_GB2312" w:cs="仿宋_GB2312"/>
          <w:color w:val="auto"/>
          <w:kern w:val="0"/>
          <w:sz w:val="32"/>
          <w:szCs w:val="32"/>
          <w:highlight w:val="none"/>
          <w:lang w:val="en-US" w:eastAsia="zh-CN"/>
        </w:rPr>
        <w:t>无其他需说明事项。</w:t>
      </w:r>
    </w:p>
    <w:p w14:paraId="1B15874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D98D40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3C1157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095EA7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DD4932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671FFA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4A59144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4C7A4D6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0E224D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5B68B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C9C87F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F47150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CED1AD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E58010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2BB9AA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7C386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191F66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0A477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5BF39D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071BB1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0C1E7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C4236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AF0EF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7E8AF3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6A890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5C16BA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8C729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598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FA710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FA710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OGY5MTU5YzI2ZDY2YWQwZjgyZjQxNzljYWQwNTM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813242"/>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2913C5"/>
    <w:rsid w:val="0B61769D"/>
    <w:rsid w:val="0B650B85"/>
    <w:rsid w:val="0B8C3ECC"/>
    <w:rsid w:val="0B9C639D"/>
    <w:rsid w:val="0BB052B2"/>
    <w:rsid w:val="0BD33FFC"/>
    <w:rsid w:val="0BE97AC1"/>
    <w:rsid w:val="0C1C4780"/>
    <w:rsid w:val="0C3613A3"/>
    <w:rsid w:val="0C5E519C"/>
    <w:rsid w:val="0C7227A7"/>
    <w:rsid w:val="0C725F43"/>
    <w:rsid w:val="0C8F51A6"/>
    <w:rsid w:val="0CA52EE8"/>
    <w:rsid w:val="0CA63D96"/>
    <w:rsid w:val="0CBD6988"/>
    <w:rsid w:val="0CD208AC"/>
    <w:rsid w:val="0D172DAA"/>
    <w:rsid w:val="0D4903E8"/>
    <w:rsid w:val="0D7A4A46"/>
    <w:rsid w:val="0E640559"/>
    <w:rsid w:val="0F1113DA"/>
    <w:rsid w:val="0F221DCA"/>
    <w:rsid w:val="0F78534A"/>
    <w:rsid w:val="0F89358A"/>
    <w:rsid w:val="0F8C6D51"/>
    <w:rsid w:val="10035EA3"/>
    <w:rsid w:val="105B0B5E"/>
    <w:rsid w:val="112E58D0"/>
    <w:rsid w:val="11731CAC"/>
    <w:rsid w:val="119500A0"/>
    <w:rsid w:val="11C0733B"/>
    <w:rsid w:val="11D50D17"/>
    <w:rsid w:val="120E0809"/>
    <w:rsid w:val="127F665A"/>
    <w:rsid w:val="12F7068C"/>
    <w:rsid w:val="14207DC0"/>
    <w:rsid w:val="143C5E84"/>
    <w:rsid w:val="14B932DA"/>
    <w:rsid w:val="150A66AF"/>
    <w:rsid w:val="154C1139"/>
    <w:rsid w:val="15722CF6"/>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36516B"/>
    <w:rsid w:val="19D26CD4"/>
    <w:rsid w:val="19E60D19"/>
    <w:rsid w:val="1A3E3450"/>
    <w:rsid w:val="1A524B32"/>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970440"/>
    <w:rsid w:val="1FA15E62"/>
    <w:rsid w:val="1FC3402A"/>
    <w:rsid w:val="1FED69B6"/>
    <w:rsid w:val="2064678E"/>
    <w:rsid w:val="20960CC3"/>
    <w:rsid w:val="20DC1AB9"/>
    <w:rsid w:val="20DD6197"/>
    <w:rsid w:val="212631E0"/>
    <w:rsid w:val="21294361"/>
    <w:rsid w:val="2138666F"/>
    <w:rsid w:val="21742080"/>
    <w:rsid w:val="21A53757"/>
    <w:rsid w:val="21F879E1"/>
    <w:rsid w:val="221236C6"/>
    <w:rsid w:val="22D7662C"/>
    <w:rsid w:val="23326B7F"/>
    <w:rsid w:val="236501C7"/>
    <w:rsid w:val="2380045B"/>
    <w:rsid w:val="23BC04D2"/>
    <w:rsid w:val="23EF1892"/>
    <w:rsid w:val="24831AD2"/>
    <w:rsid w:val="2483647E"/>
    <w:rsid w:val="24A32D55"/>
    <w:rsid w:val="24CE6D9A"/>
    <w:rsid w:val="25292727"/>
    <w:rsid w:val="252E5CA9"/>
    <w:rsid w:val="25560C22"/>
    <w:rsid w:val="256F7692"/>
    <w:rsid w:val="25B12B77"/>
    <w:rsid w:val="25BA2154"/>
    <w:rsid w:val="25C8773F"/>
    <w:rsid w:val="26235823"/>
    <w:rsid w:val="264A7253"/>
    <w:rsid w:val="26F0170C"/>
    <w:rsid w:val="26FE3B9A"/>
    <w:rsid w:val="27000148"/>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DC2444"/>
    <w:rsid w:val="2AF5378F"/>
    <w:rsid w:val="2BB94DBF"/>
    <w:rsid w:val="2BF37410"/>
    <w:rsid w:val="2C6F314E"/>
    <w:rsid w:val="2CC206BE"/>
    <w:rsid w:val="2D1136DF"/>
    <w:rsid w:val="2D20606D"/>
    <w:rsid w:val="2D6729FE"/>
    <w:rsid w:val="2DB87198"/>
    <w:rsid w:val="2DB93C54"/>
    <w:rsid w:val="2DBF449F"/>
    <w:rsid w:val="2E0963E0"/>
    <w:rsid w:val="2E3D144C"/>
    <w:rsid w:val="2E7045CA"/>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080591"/>
    <w:rsid w:val="36965B9D"/>
    <w:rsid w:val="36C549FD"/>
    <w:rsid w:val="37236E1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663AD8"/>
    <w:rsid w:val="3A893816"/>
    <w:rsid w:val="3A893B6D"/>
    <w:rsid w:val="3AD1763A"/>
    <w:rsid w:val="3B196883"/>
    <w:rsid w:val="3B6716E3"/>
    <w:rsid w:val="3B6C6B2D"/>
    <w:rsid w:val="3BE625B7"/>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512266"/>
    <w:rsid w:val="485E29CF"/>
    <w:rsid w:val="488727DB"/>
    <w:rsid w:val="48B82268"/>
    <w:rsid w:val="48C354B3"/>
    <w:rsid w:val="493D58B5"/>
    <w:rsid w:val="494A7A04"/>
    <w:rsid w:val="49605EF7"/>
    <w:rsid w:val="49BF2B63"/>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10A3C"/>
    <w:rsid w:val="4E4D37AF"/>
    <w:rsid w:val="4E8C6496"/>
    <w:rsid w:val="4EFD18DE"/>
    <w:rsid w:val="4F144236"/>
    <w:rsid w:val="4F663C87"/>
    <w:rsid w:val="4F7E29A8"/>
    <w:rsid w:val="4F9E1FFC"/>
    <w:rsid w:val="50447CC2"/>
    <w:rsid w:val="50454464"/>
    <w:rsid w:val="50874A7C"/>
    <w:rsid w:val="50895EE7"/>
    <w:rsid w:val="50921B9D"/>
    <w:rsid w:val="50D16158"/>
    <w:rsid w:val="50DB5F45"/>
    <w:rsid w:val="51025EB1"/>
    <w:rsid w:val="51141503"/>
    <w:rsid w:val="513C450E"/>
    <w:rsid w:val="518D0ED5"/>
    <w:rsid w:val="51A0201D"/>
    <w:rsid w:val="525C687F"/>
    <w:rsid w:val="52A3740A"/>
    <w:rsid w:val="52F647F7"/>
    <w:rsid w:val="52F92565"/>
    <w:rsid w:val="53AE735E"/>
    <w:rsid w:val="53D03877"/>
    <w:rsid w:val="542F73CA"/>
    <w:rsid w:val="5430786D"/>
    <w:rsid w:val="545A1D2A"/>
    <w:rsid w:val="54C811C0"/>
    <w:rsid w:val="556A442D"/>
    <w:rsid w:val="55774F62"/>
    <w:rsid w:val="55DA564E"/>
    <w:rsid w:val="55E816A3"/>
    <w:rsid w:val="5604127D"/>
    <w:rsid w:val="56044E6C"/>
    <w:rsid w:val="56166703"/>
    <w:rsid w:val="56510474"/>
    <w:rsid w:val="56861525"/>
    <w:rsid w:val="56A93273"/>
    <w:rsid w:val="56BD550C"/>
    <w:rsid w:val="56E07045"/>
    <w:rsid w:val="56FF28AF"/>
    <w:rsid w:val="575371C8"/>
    <w:rsid w:val="57540E7D"/>
    <w:rsid w:val="577B4878"/>
    <w:rsid w:val="57926973"/>
    <w:rsid w:val="57B77644"/>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3B12"/>
    <w:rsid w:val="66085536"/>
    <w:rsid w:val="66105BF7"/>
    <w:rsid w:val="66150023"/>
    <w:rsid w:val="6628010D"/>
    <w:rsid w:val="669B4528"/>
    <w:rsid w:val="66A61037"/>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E60A28"/>
    <w:rsid w:val="6BFD799F"/>
    <w:rsid w:val="6C4A2E5A"/>
    <w:rsid w:val="6C8138D0"/>
    <w:rsid w:val="6CEF0725"/>
    <w:rsid w:val="6D4B2604"/>
    <w:rsid w:val="6D8030E4"/>
    <w:rsid w:val="6E0E35C4"/>
    <w:rsid w:val="6E0F23FF"/>
    <w:rsid w:val="6E0F7A08"/>
    <w:rsid w:val="6E3947F5"/>
    <w:rsid w:val="6E6733A0"/>
    <w:rsid w:val="6E6E3938"/>
    <w:rsid w:val="6E9C74ED"/>
    <w:rsid w:val="6EF72976"/>
    <w:rsid w:val="6F795A80"/>
    <w:rsid w:val="6F7C1D2E"/>
    <w:rsid w:val="6F8E0407"/>
    <w:rsid w:val="6FDD069F"/>
    <w:rsid w:val="702B4D16"/>
    <w:rsid w:val="70AA6621"/>
    <w:rsid w:val="70D06252"/>
    <w:rsid w:val="7111480F"/>
    <w:rsid w:val="71261F49"/>
    <w:rsid w:val="712E6956"/>
    <w:rsid w:val="71473612"/>
    <w:rsid w:val="71504F32"/>
    <w:rsid w:val="7152309F"/>
    <w:rsid w:val="71653B52"/>
    <w:rsid w:val="718F7F65"/>
    <w:rsid w:val="71DA6992"/>
    <w:rsid w:val="727B234E"/>
    <w:rsid w:val="72D068C7"/>
    <w:rsid w:val="72E42ED8"/>
    <w:rsid w:val="72FC34C3"/>
    <w:rsid w:val="735F4CB9"/>
    <w:rsid w:val="73674C62"/>
    <w:rsid w:val="73845865"/>
    <w:rsid w:val="739B6D9E"/>
    <w:rsid w:val="73AD583B"/>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0D2256"/>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9B3138"/>
    <w:rsid w:val="7FB45F21"/>
    <w:rsid w:val="7FBD0A5C"/>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5291</Words>
  <Characters>5891</Characters>
  <Lines>0</Lines>
  <Paragraphs>0</Paragraphs>
  <TotalTime>4</TotalTime>
  <ScaleCrop>false</ScaleCrop>
  <LinksUpToDate>false</LinksUpToDate>
  <CharactersWithSpaces>5904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18</cp:lastModifiedBy>
  <dcterms:modified xsi:type="dcterms:W3CDTF">2024-10-17T09:55:47Z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A01BD7EA111446A1983ABED9CD094526_13</vt:lpwstr>
  </property>
</Properties>
</file>