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民主党派参政议政专项业务费</w:t>
      </w:r>
    </w:p>
    <w:p>
      <w:pPr>
        <w:spacing w:line="540" w:lineRule="exact"/>
        <w:ind w:firstLine="720" w:firstLineChars="200"/>
        <w:rPr>
          <w:rFonts w:ascii="楷体" w:hAnsi="楷体" w:eastAsia="楷体"/>
          <w:b/>
          <w:bCs/>
          <w:spacing w:val="-4"/>
          <w:sz w:val="32"/>
          <w:szCs w:val="32"/>
        </w:rPr>
      </w:pPr>
      <w:r>
        <w:rPr>
          <w:rFonts w:hint="eastAsia" w:hAnsi="宋体" w:eastAsia="仿宋_GB2312" w:cs="宋体"/>
          <w:kern w:val="0"/>
          <w:sz w:val="36"/>
          <w:szCs w:val="36"/>
        </w:rPr>
        <w:t>实施单位（公章）：</w:t>
      </w:r>
      <w:r>
        <w:rPr>
          <w:rStyle w:val="18"/>
          <w:rFonts w:hint="eastAsia" w:ascii="楷体" w:hAnsi="楷体" w:eastAsia="楷体"/>
          <w:spacing w:val="-4"/>
          <w:sz w:val="28"/>
          <w:szCs w:val="28"/>
        </w:rPr>
        <w:t>中国民主同盟新疆维吾尔自治区委员会</w:t>
      </w:r>
    </w:p>
    <w:p>
      <w:pPr>
        <w:spacing w:line="540" w:lineRule="exact"/>
        <w:ind w:firstLine="720" w:firstLineChars="20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中国民主同盟新疆维吾尔自治区委员会</w:t>
      </w:r>
    </w:p>
    <w:p>
      <w:pPr>
        <w:spacing w:line="540" w:lineRule="exact"/>
        <w:ind w:firstLine="720" w:firstLineChars="20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张慧</w:t>
      </w:r>
    </w:p>
    <w:p>
      <w:pPr>
        <w:spacing w:line="540" w:lineRule="exact"/>
        <w:ind w:firstLine="720" w:firstLineChars="200"/>
        <w:rPr>
          <w:rStyle w:val="18"/>
          <w:rFonts w:ascii="楷体" w:hAnsi="楷体" w:eastAsia="楷体"/>
          <w:spacing w:val="-4"/>
          <w:sz w:val="32"/>
          <w:szCs w:val="32"/>
        </w:rPr>
      </w:pPr>
      <w:bookmarkStart w:id="0" w:name="_GoBack"/>
      <w:bookmarkEnd w:id="0"/>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党的十九大提出“建立全面规范透明、标准科学、约束有力的预算制度，全面实施绩效管理”。中共中央、国务院《关于全面实施预算绩效管理的意见》（中发〔2018〕34号）指出“全面实施预算绩效管理是推进国家治理体系和治理能力现代化的内在要求，是深化财税改革、建立现代财政制度的重要内容，是优化财政资源配置、提升公共服务质量的关键举措”，提出应“加快建成全方位、全过程、全覆盖的预算绩效管理体系”。这说明全面实施预算绩效管理是我国政府深化改革、激发制度活力的重要抓手，是当前乃至今后一段时间内各级政府的核心工作之一。</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属部门（单位）确定的经常性项目，2023年自治区财政预算资金30万元，起止时间2023年01月01日至2023年12月31日。用于发挥文化教育以及科学技术界别优势和民盟盟员集体智慧，结合自治区党委和政府的中心工作，聚焦社会稳定和长治久安总目标，打赢脱贫攻坚战，在疆内外开展专题调研，积极建言献策，提出有价值的提案和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党派调研经费共计30万元，全年实际支出30万元，结余政府采购资金0万元，预算执行率100%。项目支出主要包括课题调研中产生的住宿费、租车费、车辆运行及维护费、差旅费、专家费用等，资金使用与项目内容相吻合。</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发挥民主党派参政议政职能，结合民盟文化教育以及科学技术界别优势和民盟盟员集体智慧，围绕新疆工作总目标，关注民族团结和社会稳定，以巩固发展民族团结、大力保障改善民生、加强生态环境保护和推动经济高质量发展为重点，深入各地州开展专题调研、撰写调研报告，致力于找出问题根源并为党委和政府解决问题提出有价值、操作性强的对策建议，向全国政协和自治区政协报送高质量提案及大会发言，反映社情民意信息，为实现新疆社会稳定和长治久安总目标、打赢脱贫攻坚战贡献力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第一季度：提交自治区政协会议提案数量≥1件；提交自治区政协会议全委会提案篇次不少于10篇；反映社情民意信息工作提案篇次不少于10篇。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第二季度：提交自治区政协议政专题常委会大会发言数1件，提交自治区政协月度协商会发言数量不少于1件，自治区政协审查通过立案的提案数量≥5件，反映社情民意信息工作提案篇次不少于10篇。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第三季度：提交自治区政协议政专题常委会大会发言数1件，开展疆内专题调研数量≥2次，提交自治区政协月度协商会发言数量不少于1件，反映社情民意信息工作提案篇次不少于10篇。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第四季度：完成调研报告数量不少于5个，民盟盟员满意度≥90%，走访慰问老干部、老盟员不少于2次，围绕总目标开展调研，致力于提出有操作性的建议，为新疆社会稳定长治久安和打赢脱贫攻坚战献计出力。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旨在通过评价改善预算部门的财政支出管理，优化资源配置及提高公共服务水平。本次绩效评价遵循财政部《项目支出绩效评价管理办法》（财预【2020】10号）文件等文件精神，对民盟新疆区委会2023年度参政议政专项调研费进行绩效评价，从专项资金的角度探寻民盟新疆区委会2023年度参政议政专项调研费的效率和效益，提出有针对性的建议，提高对民盟新疆区委会2023年度参政议政专项调研费的有效利用度，进一步提升民盟新疆区委会参政议政调研工作的水平。本次评价从项目决策、项目管理和项目绩效三个维度进行评价。评价对象为民盟新疆区委会2023年度参政议政专项调研费，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绩效评价秉承科学规范、公开公正、绩效相关等原则，运用定量为主，定量和定性分析相结合的方法，进行数据分析，总结经验做法，反思项目立项、预算制定、实施和管理中的问题，以切实提升财政资金管理的科学化、规范化和精细化水平，保障项目实施、管理的有效性。</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自评价项目启动以来，明确了评价的目的、方法、原则、指标、标准等。经过了数据采集、数据复核、及数据分析等环节，顺利完成了民盟新疆区委会2023年度参政议政专项调研费项目的绩效评价工作。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根据民盟新疆区委会2023年度参政议政专项调研费项目的主要内容，综合考虑项目绩效目标和实际情况，对项目进行客观评价，该项目结合自治区党委和政府的中心工作，围绕新疆工作总目标，关注民族团结和社会稳定，以巩固发展民族团结、大力保障改善民生、加强生态环境保护和推动经济高质量发展为重点，提出有价值、操作性强的对策建议，较好的完成了预期目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从立项规范性、绩效目标设定合理性2个方面对项目的立项决策进行考察。民盟新疆区委会2023年度参政议政专项调研费项目为自治区部门单位经常性项目，以保障参政议政工作为目的，用于参政议政调研中产生的住宿费、租车费、车辆运行维护费、差旅费等，绩效目标设置合理，符合民盟新疆区委会的工作职责，该项目立项符合规定程序，且审批文件和材料完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民盟新疆区委会紧紧围绕新疆工作总目标，聚焦“1+3+3+改革开放”，按照自治区党委的安排部署，关注民族团结和社会稳定，以巩固发展民族团结、大力保障改善民生、加强生态环境保护和推动经济高质量发展为重点，制定了年度参政议政调研计划，按照计划有步骤地开展了一系列参政议政调研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民盟新疆区委会2023年度参政议政专项调研费项目产出情况良好。项目资金执行进度方面，民盟新疆区委会2023年度参政议政专项调研费项目资金进度合理，于2023年底前执行完毕；1、开展疆内专题调研不少于2次，实际提交完成2次；2、提交全国政协会议提案数量不少于2件，实际完成2件；3、在自治区政协会议提交全委会提案篇次不少于10篇，实际提交完成11篇； 4、完成调研报告数量不少于5篇，实际提交完成5篇；5、印刷刊物《新疆盟讯》不少于2期，实际完成2期；6、做好在政协会议上反映社情民意信息工作提案篇次不少于20件，实际提交完成21件。</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民盟新疆区委会发挥界别优势，深入开展专题调研提出了许多有价值、操作性强的对策建议，为实现新疆社会稳定和长治久安总目标、打赢脱贫攻坚战贡献了智慧和力量。</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组织盟员对民盟新疆区委会当年的工作开展民意测评质量≥90%，实际测评满意≥90%。</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强化组织领导，明确职责分配。为确保民盟新疆区委会参政议政工作的顺利开展，成立了以主任委员为组长、副主任委员为副组长的民盟新疆区委会预算绩效领导小组，负责领导、统筹、协调参政议政调研工作。组长负责项目整体的指导、协调和监督，副组长负责资金使用的检查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合理安排使用资金，严抓专项资金的规范使用为保证资金的安全、合理、高效使用，制定了《专项调研经费管理办法》，指定专人从事绩效管理工作，区委会统筹管理项目经费并严格按照单位财务制度和预算支出范围使用，项目资金受自治区财政部门的监管，严格实行专款专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项目预算的资金使用进度应与项目分阶段目标相匹配。从项目总体看，项目预算与目标是匹配的，但从项目分阶段来看，本项目分阶段目标和预算资金使用进度匹配程度需进一步加强。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民主党派以参政议政为主，难以对专项资金订立具体的经济效益、社会绩效、生态效益和可持续影响指标等。</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科学的预算资金使用进度应该保证预算资金使用进度和项目分阶段目标相匹配。对此，建议科学计划预算资金使用进度，提高分阶段目标和预算资金使用进度匹配度。</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 w:val="6C830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2024-08-28T04:48:45Z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160D1BA1944349B08C48068401F6E698</vt:lpwstr>
  </property>
</Properties>
</file>