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中共新疆维吾尔自治区委员会直属机关工作委员会</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一、基本概况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(一)部门单位基本情况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1.主要职能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统一组织、规划、部署自治区直属机关党的工作，提出加强和改进机关党的建设的意见和建议，研究制定工作规划，并抓好组织实施。（二）指导督促自治区直属机关党组（党委）认真履行机关党建主体责任。指导自治区直属机关党的政治建设、思想建设、组织建设、作风建设、纪律建设，把制度建设贯穿其中，深入推进反腐败斗争。（三）指导自治区直属机关各级党组织和广大党员学习马克思列宁主义、毛泽东思想、邓小平理论、“三个代表”重要思想科学发展观、习近平新时代中国特色社会主义思想。（四）对自治区直属机关各级党组织、党员领导干部落实党建责任制、遵守政治纪律和政治规矩情况进行监督检查，并向自治区党委报告。（五）指导自治区直属机关各级党组织实施对党员特别是党员领导干部的监督和管理，及时向自治区党委反映各部门领导班子、领导干部的情况。（六）配合自治区有关部门抓好自治区直属机关各部门领导班子思想政治建设，参与对党员领导干部民主生活会和党组（党委）理论学习中心组学习的督促检查和指导，了解掌握情况，按规定报送情况报告。（七）督促指导自治区直属机关各部门机关党委按期换届，审批关于召开党员大会或党员代表大会的请示，审批自治区直属机关各部门机关党委和机关纪委领导班子的组成及书记、副书记的任免。（八）指导各级党组织加强基层组织建设，做好党员发展、教育和管理等工作。（九）领导自治区直属机关各部门机关党的纪律检查工作。（十）了解掌握自治区直属机关工作人员的思想状况，指导自治区直属机关各级党组织加强思想政治工作和精神文明建设。（十一）领导自治区直属机关工会、共青团、妇联等群团组织的工作，指导自治区直属机关各级党组织做好党的群众工作。（十二）协同有关部门指导、规划、协调、监督、检查自治区直属机关干部教育培训工作，培训轮训自治区直属机关处科级党员领导干部、党务干部及党员发展对象。（十三）加强对自治区地州市机关工委的业务指导。（十四）完成自治区党委交办的其他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共新疆维吾尔自治区委员会直属机关工作委员会部门单位包括本级机关及2个二级预算单位（工委党校、工委远程教育管理中心）。部门单位编制数70名，实有人员111人，其中：在职人员58人，退休53人，离休0人。</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(二)部门单位年度重点工作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1.年度工作计划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开展区直机关党员教育、培训工作，区直机关通过信息化手段推进党的建设宣传任务，实现网上机关党建业务工作，打造学习型、服务型、效能型、创新型、廉洁型机关。开展群团活动，培养高素质干部人才队伍。投入2091.13万元，要达到提升党员干部宗旨意识、责任意识，发挥区直机关党组织战斗堡垒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2.机构人员保障情况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中共新疆维吾尔自治区委员会直属机关工作委员会部门包括本级机关及2个二级预算单位（工委党校、工委远程教育中心），下设9个处室，分别是：办公室、研究室、组织部、宣传部、党建督查室、基层建设指导部、群团工作部、机关党委、离退休干部工作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具体人员保障情况：截止2023年12月31日，我部门保障实有在职人员58人，其中：行政在职43人，事业在职15人。实有离休人员0人，同比上年增加0人；实有退休人员53人，同比上年增加0人。</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(三)部门单位整体预算规模及安排情况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1.年初预算安排</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2023年我部门年初安排预算数为1991.03万元，其中：上级安排0万元，本级安排1924.03万元，其他资金67.00万元。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2.预算年中调整情况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年初批复预算数1991.03万元，年中调整数100.10万元，调整后全年预算数2091.13万元，预算调整率5.03%。调整预算的主要原因为：一是根据政策依据增加基础绩效工资；二是项目资金较上年有所增加；三是当年新招录在职人员2名，工资增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3.资金使用主要内容、涉及的范围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全年预算数为2091.13万元，其中：上级安排0万元，本级安排2015.22万元，其他资金75.91万元。全年实际支出资金2067.49万元，预算执行率为98.87%，其中：上级安排0万元，本级安排2013.49万元，其他资金54.00万元。资金主要用于工资福利支出、商品和服务支出、对个人和家庭的补助、资本性支出。资金支出涉及范围为人员经费、公用经费及项目支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二、部门单位整体支出管理及使用情况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（一）预算管理情况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部门单位为加强预算管理，规范财务行为，已制定《区直机关工委部门单位预算绩效管理工作实施办法》，《机关工委财务管理制度》等健全完整的各项管理制度，有效保障了我部门高效的履行工作职能，较好的促进事业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部门预算资金使用符合国家法规和财务管理制度；预算资金拨付有完整的审批程序和手续，符合项目预算批复或合同规定的用途；不存在截留、挤占、挪用、虚列支出等情况，确保我部门预算资金规范运行。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3.预决算信息公开性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严格按照财政部门预算编制与预算调整的工作要求，在预算编制、分配依据充分的条件下，切实做好“先定目标再编预算”，确保预算分配结果合理。同时按照财政厅预决算信息公开工作要求，部门预算及绩效目标在财政厅网站及区直机关党建网双公开，广泛接受社会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（二）基本支出投入、管理和使用情况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1.基本支出投入和使用情况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基本支出年初预算安排1483.14万元，全年预算总额1678.29万元，全年实际支出1658.75万元，资金执行率98.84%，占总支出的80.23％，其中：工资福利支出1310.37万元、商品和服务支出197.89万元、对个人和家庭的补助150.49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2.基本支出管理情况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严格按照财务管理制度执行。人员工资由相关部门逐个审核，按月申报及发放。基本公用经费主要用于支付单位日常的办公费、邮电费、差旅费、公务接待、车辆运行维护费等。公务用车运行维护费主要用于单位公务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（三）项目专项支出投入、管理和使用情况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1.项目专项支出投入和使用情况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2023年专项项目年初预算507.89万元，全年预算数412.84万元，全年实际支出408.74万元，资金执行率99.01%，占总支出的19.77％，其中：上级安排转移支付资金0万元，本级安排财政资金354.74万元，其他资金54.00万元。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2023年本部门单位共有7个项目，其中3个属经常性项目、4个属当年非财政一次性项目。已完成项目7个、未完成项目0个。</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2.项目专项支出管理情况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规范项目专项资金使用，提高项目专项资金使用效益，我部门主要采取三项措施。一是制订项目专项资金管理制度；二是制订了项目实施方案；三是认真组织项目验收。切实确保项目专项资金专款专用。项目专项资金的使用符合国家法规和财务管理制度，资金拨付有完整的审批程序和手续，符合项目预算批复或合同规定的用途，不存在截留、挤占、挪用、虚列支出等情况。</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三、部门单位整体支出绩效分析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我部门整体绩效目标共设置一级指标1个，二级指标1个，三级指标3个，详细说明如下：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（一）指标一：履职效能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1.数量指标：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①：基层党组织党建培训工作次数，指标值：&gt;=16期/年，年中监控完成值：10期/年；自评完成值：16期/年，指标完成率100%，指标成效分析：充分加强了党组织的战斗堡垒作用和党员的先锋模范作用，提高了机关党建科学化水平，有效增强了区直机关党员党建能力素质。偏差率0%，偏差原因及改进措施：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②：指导基层党组织党风廉政建设培训，指标值：&gt;=1期/年，年中监控完成值：1期/年；自评完成值：1期/年，指标完成率100%，指标成效分析：通过指导基层党组织党风廉政建设培训，有效提高了区直机关党风廉政建设水平。偏差率0%，偏差原因及改进措施：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指标③：指导基层党组织精神文明建设，指标值：2次/年，年中监控完成值：1次/年；自评完成值：2次/年，指标完成率100%，指标成效分析：增强了干部教育培训工作的针对性和实效性，促进精神文明建设高质量发展。偏差率0%，偏差原因及改进措施：无。</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四、评价结论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2023年度部门整体支出绩效自评综合得分99.89分，评价结果为“优”。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五、存在的主要问题及原因分析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1.预算绩效管理人员的专业水平有待进一步提升。预算绩效管理是一项非常复杂、专业性很高、涉及面很广的工作，这就要求相关的预算绩效工作人员，不但要有丰富的专业知识，还要具备过硬的业务水平。</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2.预算绩效评价指标体系还不够完善。使用绩效评价方法较单一，主要应用横向比较法、预定目标及实施效果比较法，对其他评价方法尚未全面了解掌握，对于各类项目资金应适用何种评价方法的把握尚不明确。</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六、改进措施和建议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认真学习绩效管理要求。一是加强人才队伍建设，提高预算绩效管理宣传力度，引导各部门建立“事前有目标、事中有监控、事后有评价、结果有应用”的全过程绩效管理理念。二是加强国家、自治区相关预算绩效管理的规章制度的学习和培训，及时掌握新政策、新要求、新技能，真正把预算绩效管理融入实际工作中。</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有计划分步骤的构建绩效体系建设。一是加强沟通协调，广泛征求意见，将财政的指标体系同单位(部门)的管理体系有机结合，保证预算绩效管理的统一性和适应性。二是按照预算编制、执行、监督和评价“四位一体”的要求，建立以绩效结果为导向，以制度建设为保障，以绩效目标为依据的综合性评估评价的绩效管理体系。</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4A77206F"/>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2024-08-26T10:06:09Z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4E2A216151A24EE5A190066F518526B7</vt:lpwstr>
  </property>
</Properties>
</file>