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CFF19E">
      <w:pPr>
        <w:spacing w:line="540" w:lineRule="exact"/>
        <w:jc w:val="center"/>
        <w:rPr>
          <w:rFonts w:eastAsia="华文中宋"/>
          <w:b/>
          <w:kern w:val="0"/>
          <w:sz w:val="52"/>
          <w:szCs w:val="52"/>
        </w:rPr>
      </w:pPr>
      <w:bookmarkStart w:id="7" w:name="_GoBack"/>
      <w:bookmarkEnd w:id="7"/>
    </w:p>
    <w:p w14:paraId="415931D8">
      <w:pPr>
        <w:spacing w:line="540" w:lineRule="exact"/>
        <w:rPr>
          <w:rFonts w:eastAsia="华文中宋"/>
          <w:b/>
          <w:kern w:val="0"/>
          <w:sz w:val="52"/>
          <w:szCs w:val="52"/>
        </w:rPr>
      </w:pPr>
    </w:p>
    <w:p w14:paraId="3B46FACB">
      <w:pPr>
        <w:spacing w:line="700" w:lineRule="exact"/>
        <w:jc w:val="center"/>
        <w:rPr>
          <w:rFonts w:eastAsia="方正小标宋简体"/>
          <w:kern w:val="0"/>
          <w:sz w:val="44"/>
          <w:szCs w:val="44"/>
        </w:rPr>
      </w:pPr>
      <w:r>
        <w:rPr>
          <w:rFonts w:eastAsia="方正小标宋简体"/>
          <w:kern w:val="0"/>
          <w:sz w:val="44"/>
          <w:szCs w:val="44"/>
        </w:rPr>
        <w:t>民主党派参政议政项目支出</w:t>
      </w:r>
    </w:p>
    <w:p w14:paraId="72E9B05F">
      <w:pPr>
        <w:spacing w:line="700" w:lineRule="exact"/>
        <w:jc w:val="center"/>
        <w:rPr>
          <w:rFonts w:eastAsia="方正小标宋简体"/>
          <w:kern w:val="0"/>
          <w:sz w:val="44"/>
          <w:szCs w:val="44"/>
        </w:rPr>
      </w:pPr>
      <w:r>
        <w:rPr>
          <w:rFonts w:eastAsia="方正小标宋简体"/>
          <w:kern w:val="0"/>
          <w:sz w:val="44"/>
          <w:szCs w:val="44"/>
        </w:rPr>
        <w:t>绩效评价报告</w:t>
      </w:r>
    </w:p>
    <w:p w14:paraId="6C9A2066">
      <w:pPr>
        <w:spacing w:line="540" w:lineRule="exact"/>
        <w:jc w:val="center"/>
        <w:rPr>
          <w:rFonts w:eastAsia="华文中宋"/>
          <w:b/>
          <w:kern w:val="0"/>
          <w:sz w:val="52"/>
          <w:szCs w:val="52"/>
        </w:rPr>
      </w:pPr>
    </w:p>
    <w:p w14:paraId="7E5D468E">
      <w:pPr>
        <w:spacing w:line="540" w:lineRule="exact"/>
        <w:jc w:val="center"/>
        <w:rPr>
          <w:rFonts w:eastAsia="仿宋_GB2312"/>
          <w:kern w:val="0"/>
          <w:sz w:val="36"/>
          <w:szCs w:val="36"/>
        </w:rPr>
      </w:pPr>
      <w:r>
        <w:rPr>
          <w:rFonts w:eastAsia="仿宋_GB2312"/>
          <w:kern w:val="0"/>
          <w:sz w:val="36"/>
          <w:szCs w:val="36"/>
        </w:rPr>
        <w:t>（ 202</w:t>
      </w:r>
      <w:r>
        <w:rPr>
          <w:rFonts w:hint="eastAsia" w:eastAsia="仿宋_GB2312"/>
          <w:kern w:val="0"/>
          <w:sz w:val="36"/>
          <w:szCs w:val="36"/>
        </w:rPr>
        <w:t>3</w:t>
      </w:r>
      <w:r>
        <w:rPr>
          <w:rFonts w:eastAsia="仿宋_GB2312"/>
          <w:kern w:val="0"/>
          <w:sz w:val="36"/>
          <w:szCs w:val="36"/>
        </w:rPr>
        <w:t>年度）</w:t>
      </w:r>
    </w:p>
    <w:p w14:paraId="2CB03A0E">
      <w:pPr>
        <w:spacing w:line="540" w:lineRule="exact"/>
        <w:jc w:val="center"/>
        <w:rPr>
          <w:rFonts w:eastAsia="仿宋_GB2312"/>
          <w:kern w:val="0"/>
          <w:sz w:val="30"/>
          <w:szCs w:val="30"/>
        </w:rPr>
      </w:pPr>
    </w:p>
    <w:p w14:paraId="34A89D42">
      <w:pPr>
        <w:spacing w:line="540" w:lineRule="exact"/>
        <w:jc w:val="center"/>
        <w:rPr>
          <w:rFonts w:eastAsia="仿宋_GB2312"/>
          <w:kern w:val="0"/>
          <w:sz w:val="30"/>
          <w:szCs w:val="30"/>
        </w:rPr>
      </w:pPr>
    </w:p>
    <w:p w14:paraId="28E7647F">
      <w:pPr>
        <w:spacing w:line="540" w:lineRule="exact"/>
        <w:jc w:val="center"/>
        <w:rPr>
          <w:rFonts w:eastAsia="仿宋_GB2312"/>
          <w:kern w:val="0"/>
          <w:sz w:val="30"/>
          <w:szCs w:val="30"/>
        </w:rPr>
      </w:pPr>
    </w:p>
    <w:p w14:paraId="64A691F4">
      <w:pPr>
        <w:pStyle w:val="2"/>
        <w:rPr>
          <w:rFonts w:ascii="Times New Roman" w:hAnsi="Times New Roman" w:eastAsia="仿宋_GB2312"/>
          <w:sz w:val="30"/>
          <w:szCs w:val="30"/>
        </w:rPr>
      </w:pPr>
    </w:p>
    <w:p w14:paraId="4407D548"/>
    <w:p w14:paraId="590F53A9">
      <w:pPr>
        <w:pStyle w:val="9"/>
        <w:rPr>
          <w:rFonts w:ascii="Times New Roman" w:hAnsi="Times New Roman"/>
        </w:rPr>
      </w:pPr>
    </w:p>
    <w:p w14:paraId="1E435AEF">
      <w:pPr>
        <w:spacing w:line="540" w:lineRule="exact"/>
        <w:rPr>
          <w:rFonts w:eastAsia="仿宋_GB2312"/>
          <w:kern w:val="0"/>
          <w:sz w:val="30"/>
          <w:szCs w:val="30"/>
        </w:rPr>
      </w:pPr>
    </w:p>
    <w:p w14:paraId="0BB042CB">
      <w:pPr>
        <w:spacing w:line="700" w:lineRule="exact"/>
        <w:jc w:val="left"/>
        <w:rPr>
          <w:rFonts w:eastAsia="仿宋_GB2312"/>
          <w:kern w:val="0"/>
          <w:sz w:val="36"/>
          <w:szCs w:val="36"/>
        </w:rPr>
      </w:pPr>
      <w:r>
        <w:rPr>
          <w:rFonts w:eastAsia="仿宋_GB2312"/>
          <w:kern w:val="0"/>
          <w:sz w:val="36"/>
          <w:szCs w:val="36"/>
        </w:rPr>
        <w:t>项目名称：参政议政</w:t>
      </w:r>
      <w:r>
        <w:rPr>
          <w:rFonts w:hint="eastAsia" w:eastAsia="仿宋_GB2312"/>
          <w:kern w:val="0"/>
          <w:sz w:val="36"/>
          <w:szCs w:val="36"/>
        </w:rPr>
        <w:t>专项业务费</w:t>
      </w:r>
    </w:p>
    <w:p w14:paraId="217F87B2">
      <w:pPr>
        <w:spacing w:line="700" w:lineRule="exact"/>
        <w:jc w:val="left"/>
        <w:rPr>
          <w:rFonts w:eastAsia="仿宋_GB2312"/>
          <w:spacing w:val="-28"/>
          <w:kern w:val="0"/>
          <w:sz w:val="36"/>
          <w:szCs w:val="36"/>
        </w:rPr>
      </w:pPr>
      <w:r>
        <w:rPr>
          <w:rFonts w:eastAsia="仿宋_GB2312"/>
          <w:kern w:val="0"/>
          <w:sz w:val="36"/>
          <w:szCs w:val="36"/>
        </w:rPr>
        <w:t>实施单位（公章）：</w:t>
      </w:r>
      <w:r>
        <w:rPr>
          <w:rFonts w:eastAsia="仿宋_GB2312"/>
          <w:spacing w:val="-20"/>
          <w:kern w:val="0"/>
          <w:sz w:val="36"/>
          <w:szCs w:val="36"/>
        </w:rPr>
        <w:t>中国民主</w:t>
      </w:r>
      <w:r>
        <w:rPr>
          <w:rFonts w:hint="eastAsia" w:eastAsia="仿宋_GB2312"/>
          <w:spacing w:val="-20"/>
          <w:kern w:val="0"/>
          <w:sz w:val="36"/>
          <w:szCs w:val="36"/>
        </w:rPr>
        <w:t>促进</w:t>
      </w:r>
      <w:r>
        <w:rPr>
          <w:rFonts w:eastAsia="仿宋_GB2312"/>
          <w:spacing w:val="-20"/>
          <w:kern w:val="0"/>
          <w:sz w:val="36"/>
          <w:szCs w:val="36"/>
        </w:rPr>
        <w:t>会新疆维吾尔自治区委员会</w:t>
      </w:r>
    </w:p>
    <w:p w14:paraId="6143F155">
      <w:pPr>
        <w:spacing w:line="700" w:lineRule="exact"/>
        <w:jc w:val="left"/>
        <w:rPr>
          <w:rFonts w:eastAsia="仿宋_GB2312"/>
          <w:spacing w:val="-20"/>
          <w:kern w:val="0"/>
          <w:sz w:val="36"/>
          <w:szCs w:val="36"/>
        </w:rPr>
      </w:pPr>
      <w:r>
        <w:rPr>
          <w:rFonts w:eastAsia="仿宋_GB2312"/>
          <w:kern w:val="0"/>
          <w:sz w:val="36"/>
          <w:szCs w:val="36"/>
        </w:rPr>
        <w:t>主管部门（公章）：</w:t>
      </w:r>
      <w:r>
        <w:rPr>
          <w:rFonts w:eastAsia="仿宋_GB2312"/>
          <w:spacing w:val="-20"/>
          <w:kern w:val="0"/>
          <w:sz w:val="36"/>
          <w:szCs w:val="36"/>
        </w:rPr>
        <w:t>中国民主</w:t>
      </w:r>
      <w:r>
        <w:rPr>
          <w:rFonts w:hint="eastAsia" w:eastAsia="仿宋_GB2312"/>
          <w:spacing w:val="-20"/>
          <w:kern w:val="0"/>
          <w:sz w:val="36"/>
          <w:szCs w:val="36"/>
        </w:rPr>
        <w:t>促进</w:t>
      </w:r>
      <w:r>
        <w:rPr>
          <w:rFonts w:eastAsia="仿宋_GB2312"/>
          <w:spacing w:val="-20"/>
          <w:kern w:val="0"/>
          <w:sz w:val="36"/>
          <w:szCs w:val="36"/>
        </w:rPr>
        <w:t>会新疆维吾尔自治区委员会</w:t>
      </w:r>
    </w:p>
    <w:p w14:paraId="25CC7AF7">
      <w:pPr>
        <w:spacing w:line="700" w:lineRule="exact"/>
        <w:jc w:val="left"/>
        <w:rPr>
          <w:rFonts w:eastAsia="仿宋_GB2312"/>
          <w:kern w:val="0"/>
          <w:sz w:val="36"/>
          <w:szCs w:val="36"/>
        </w:rPr>
      </w:pPr>
      <w:r>
        <w:rPr>
          <w:rFonts w:eastAsia="仿宋_GB2312"/>
          <w:kern w:val="0"/>
          <w:sz w:val="36"/>
          <w:szCs w:val="36"/>
        </w:rPr>
        <w:t>项目负责人（签章）：</w:t>
      </w:r>
      <w:r>
        <w:rPr>
          <w:rFonts w:hint="eastAsia" w:eastAsia="仿宋_GB2312"/>
          <w:kern w:val="0"/>
          <w:sz w:val="36"/>
          <w:szCs w:val="36"/>
        </w:rPr>
        <w:t>马江海</w:t>
      </w:r>
    </w:p>
    <w:p w14:paraId="5D558E48">
      <w:pPr>
        <w:spacing w:line="700" w:lineRule="exact"/>
        <w:jc w:val="left"/>
        <w:rPr>
          <w:rFonts w:eastAsia="仿宋_GB2312"/>
          <w:kern w:val="0"/>
          <w:sz w:val="36"/>
          <w:szCs w:val="36"/>
        </w:rPr>
      </w:pPr>
      <w:r>
        <w:rPr>
          <w:rFonts w:eastAsia="仿宋_GB2312"/>
          <w:kern w:val="0"/>
          <w:sz w:val="36"/>
          <w:szCs w:val="36"/>
        </w:rPr>
        <w:t>填报时间： 202</w:t>
      </w:r>
      <w:r>
        <w:rPr>
          <w:rFonts w:hint="eastAsia" w:eastAsia="仿宋_GB2312"/>
          <w:kern w:val="0"/>
          <w:sz w:val="36"/>
          <w:szCs w:val="36"/>
        </w:rPr>
        <w:t>4</w:t>
      </w:r>
      <w:r>
        <w:rPr>
          <w:rFonts w:eastAsia="仿宋_GB2312"/>
          <w:kern w:val="0"/>
          <w:sz w:val="36"/>
          <w:szCs w:val="36"/>
        </w:rPr>
        <w:t xml:space="preserve">年 4 月 </w:t>
      </w:r>
      <w:r>
        <w:rPr>
          <w:rFonts w:hint="eastAsia" w:eastAsia="仿宋_GB2312"/>
          <w:kern w:val="0"/>
          <w:sz w:val="36"/>
          <w:szCs w:val="36"/>
        </w:rPr>
        <w:t>8</w:t>
      </w:r>
      <w:r>
        <w:rPr>
          <w:rFonts w:eastAsia="仿宋_GB2312"/>
          <w:kern w:val="0"/>
          <w:sz w:val="36"/>
          <w:szCs w:val="36"/>
        </w:rPr>
        <w:t xml:space="preserve"> 日</w:t>
      </w:r>
    </w:p>
    <w:p w14:paraId="2E42D877">
      <w:pPr>
        <w:spacing w:line="540" w:lineRule="exact"/>
        <w:rPr>
          <w:rStyle w:val="15"/>
          <w:rFonts w:eastAsia="黑体"/>
          <w:b w:val="0"/>
          <w:spacing w:val="-4"/>
          <w:sz w:val="32"/>
          <w:szCs w:val="32"/>
        </w:rPr>
      </w:pPr>
    </w:p>
    <w:p w14:paraId="621B591E">
      <w:pPr>
        <w:rPr>
          <w:rFonts w:eastAsia="黑体"/>
          <w:bCs/>
          <w:sz w:val="32"/>
          <w:szCs w:val="32"/>
        </w:rPr>
      </w:pPr>
      <w:r>
        <w:rPr>
          <w:rFonts w:eastAsia="黑体"/>
          <w:bCs/>
          <w:sz w:val="32"/>
          <w:szCs w:val="32"/>
        </w:rPr>
        <w:br w:type="page"/>
      </w:r>
    </w:p>
    <w:p w14:paraId="7D6F4B4F">
      <w:pPr>
        <w:spacing w:line="600" w:lineRule="exact"/>
        <w:ind w:firstLine="640" w:firstLineChars="200"/>
        <w:rPr>
          <w:rFonts w:eastAsia="黑体"/>
          <w:bCs/>
          <w:sz w:val="32"/>
          <w:szCs w:val="32"/>
        </w:rPr>
      </w:pPr>
      <w:r>
        <w:rPr>
          <w:rFonts w:eastAsia="黑体"/>
          <w:bCs/>
          <w:sz w:val="32"/>
          <w:szCs w:val="32"/>
        </w:rPr>
        <w:t>一、基本情况</w:t>
      </w:r>
    </w:p>
    <w:p w14:paraId="38F6C764">
      <w:pPr>
        <w:spacing w:line="600" w:lineRule="exact"/>
        <w:ind w:firstLine="640" w:firstLineChars="200"/>
        <w:rPr>
          <w:rFonts w:ascii="楷体" w:hAnsi="楷体" w:eastAsia="楷体"/>
          <w:bCs/>
          <w:sz w:val="32"/>
          <w:szCs w:val="32"/>
        </w:rPr>
      </w:pPr>
      <w:r>
        <w:rPr>
          <w:rFonts w:ascii="楷体" w:hAnsi="楷体" w:eastAsia="楷体"/>
          <w:bCs/>
          <w:sz w:val="32"/>
          <w:szCs w:val="32"/>
        </w:rPr>
        <w:t>（一）项目概况</w:t>
      </w:r>
    </w:p>
    <w:p w14:paraId="24D77F71">
      <w:pPr>
        <w:spacing w:line="600" w:lineRule="exact"/>
        <w:ind w:firstLine="643" w:firstLineChars="200"/>
        <w:rPr>
          <w:rFonts w:eastAsia="仿宋_GB2312"/>
          <w:b/>
          <w:bCs/>
          <w:sz w:val="32"/>
          <w:szCs w:val="32"/>
        </w:rPr>
      </w:pPr>
      <w:r>
        <w:rPr>
          <w:rFonts w:eastAsia="仿宋_GB2312"/>
          <w:b/>
          <w:bCs/>
          <w:sz w:val="32"/>
          <w:szCs w:val="32"/>
        </w:rPr>
        <w:t>1、项目背景</w:t>
      </w:r>
    </w:p>
    <w:p w14:paraId="77D61313">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中国民主促进会新疆维吾尔自治区委员会是以从事教育文化出版工作的高、中级知识分子为主的，具有政治联盟特点的，致力于建设中国特色社会主义事业的参政党，是同中国共产党通力合作的参政党。主要职责是贯彻执行中国共产党领导的多党合作和政治协商制度、在宪法赋予的权限之内，按照章程和有关规定，在自治区党委的领导下，履行参政议政、民主监督的职能，为自治区的经济建设和社会稳定服务。</w:t>
      </w:r>
    </w:p>
    <w:p w14:paraId="23825F2B">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2、项目主要内容及实施情况</w:t>
      </w:r>
    </w:p>
    <w:p w14:paraId="5D287144">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属部门（单位）确定的经常性项目，2023年自治区财政预算资金30万元，起止时间2023年01月01日至2023年12月31日。用于发挥教育文化界别优势的民进会员集体智慧，结合自治区党委和政府的中心工作，聚焦社会稳定和长治久安总目标，在疆内外开展专题调研，积极建言献策，提出有价值的提案和建议。</w:t>
      </w:r>
    </w:p>
    <w:p w14:paraId="01DE09C9">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3、项目资金投入和使用情况</w:t>
      </w:r>
    </w:p>
    <w:p w14:paraId="1D8DCC28">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项目资金投入安排30万元，全部为自治区财政资金，已全部执行完毕。项目支出主要用于办公费、印刷费、邮电费、差旅费、劳务费、公车运行维护费、其他商品和服务支出等，资金使用与项目内容相吻合。</w:t>
      </w:r>
    </w:p>
    <w:p w14:paraId="24A74D01">
      <w:pPr>
        <w:spacing w:line="600" w:lineRule="exact"/>
        <w:ind w:firstLine="640" w:firstLineChars="200"/>
        <w:rPr>
          <w:rFonts w:ascii="楷体" w:hAnsi="楷体" w:eastAsia="楷体"/>
          <w:bCs/>
          <w:sz w:val="32"/>
          <w:szCs w:val="32"/>
        </w:rPr>
      </w:pPr>
      <w:r>
        <w:rPr>
          <w:rFonts w:ascii="楷体" w:hAnsi="楷体" w:eastAsia="楷体"/>
          <w:bCs/>
          <w:sz w:val="32"/>
          <w:szCs w:val="32"/>
        </w:rPr>
        <w:t>（二）项目绩效目标</w:t>
      </w:r>
    </w:p>
    <w:p w14:paraId="05E0718C">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1、总体目标：</w:t>
      </w:r>
    </w:p>
    <w:p w14:paraId="09F3B1A8">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发挥民主党派参政议政职能，结合民进教育文化界别优势和民进会员集体智慧，围绕新疆工作总目标，关注民族团结和社会稳定，以巩固发展民族团结、大力保障改善民生、加强生态环境保护和推动经济高质量发展为重点，深入各地州开展专题调研和优化营商环境民主监督、撰写调研报告，致力于找出问题根源并为党委和政府解决问题提出有价值、操作性强的对策建议，向全国政协和自治区政协报送高质量提案及大会发言、民主监督报告，反映社情民意信息，为实现新疆社会稳定和长治久安总目标、打赢脱贫攻坚战贡献力量。</w:t>
      </w:r>
    </w:p>
    <w:p w14:paraId="5F6F0D37">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2、阶段性目标：</w:t>
      </w:r>
    </w:p>
    <w:p w14:paraId="64D79EB9">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第一季度：提交自治区政协会议提案数量≥2件；提交自治区政协会议全委会提案数量≥1篇；上报社情民意信息数量≥5篇。</w:t>
      </w:r>
    </w:p>
    <w:p w14:paraId="70B3F6A0">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第二季度：自治区政协审查通过立案的提案数量≥5件，上报社情民意信息数量≥5篇，开展疆内专题调研数量≥2次，开展民主监督1次，印刷刊物1期。</w:t>
      </w:r>
    </w:p>
    <w:p w14:paraId="5E7BAF66">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第三季度：开展疆内专题调研数量≥2次，提交自治区政协月度协商会发言数量≥1件，上报社情民意信息数量≥5篇。</w:t>
      </w:r>
    </w:p>
    <w:p w14:paraId="0CEF674C">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第四季度：完成民主监督调研数量≥2篇，民进会员满意度≥90%，印刷刊物1期。</w:t>
      </w:r>
    </w:p>
    <w:p w14:paraId="4A238F12">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围绕总目标开展调研，致力于提出有操作性的建议，为新疆社会稳定长治久安和打赢脱贫攻坚战献计出力。</w:t>
      </w:r>
    </w:p>
    <w:p w14:paraId="68FD82C3">
      <w:pPr>
        <w:spacing w:line="600" w:lineRule="exact"/>
        <w:ind w:firstLine="640" w:firstLineChars="200"/>
        <w:rPr>
          <w:rFonts w:ascii="黑体" w:hAnsi="黑体" w:eastAsia="黑体"/>
          <w:sz w:val="32"/>
          <w:szCs w:val="32"/>
        </w:rPr>
      </w:pPr>
      <w:r>
        <w:rPr>
          <w:rFonts w:ascii="黑体" w:hAnsi="黑体" w:eastAsia="黑体"/>
          <w:sz w:val="32"/>
          <w:szCs w:val="32"/>
        </w:rPr>
        <w:t>二、绩效评价工作开展情况</w:t>
      </w:r>
    </w:p>
    <w:p w14:paraId="6A9CC727">
      <w:pPr>
        <w:spacing w:line="600" w:lineRule="exact"/>
        <w:ind w:firstLine="640" w:firstLineChars="200"/>
        <w:rPr>
          <w:rFonts w:ascii="楷体" w:hAnsi="楷体" w:eastAsia="楷体"/>
          <w:bCs/>
          <w:sz w:val="32"/>
          <w:szCs w:val="32"/>
        </w:rPr>
      </w:pPr>
      <w:r>
        <w:rPr>
          <w:rFonts w:ascii="楷体" w:hAnsi="楷体" w:eastAsia="楷体"/>
          <w:bCs/>
          <w:sz w:val="32"/>
          <w:szCs w:val="32"/>
        </w:rPr>
        <w:t>（一）绩效评价目的、对象和范围</w:t>
      </w:r>
    </w:p>
    <w:p w14:paraId="5A78C248">
      <w:pPr>
        <w:pStyle w:val="9"/>
        <w:widowControl w:val="0"/>
        <w:spacing w:before="0" w:after="0" w:line="600" w:lineRule="exact"/>
        <w:ind w:firstLine="643" w:firstLineChars="200"/>
        <w:jc w:val="both"/>
        <w:outlineLvl w:val="9"/>
        <w:rPr>
          <w:rFonts w:ascii="Times New Roman" w:hAnsi="Times New Roman" w:eastAsia="仿宋_GB2312"/>
          <w:bCs w:val="0"/>
        </w:rPr>
      </w:pPr>
      <w:r>
        <w:rPr>
          <w:rFonts w:ascii="Times New Roman" w:hAnsi="Times New Roman" w:eastAsia="仿宋_GB2312"/>
          <w:bCs w:val="0"/>
        </w:rPr>
        <w:t>1、绩效评价的目的</w:t>
      </w:r>
    </w:p>
    <w:p w14:paraId="377E4FA6">
      <w:pPr>
        <w:spacing w:line="60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633AFD58">
      <w:pPr>
        <w:numPr>
          <w:ilvl w:val="0"/>
          <w:numId w:val="2"/>
        </w:numPr>
        <w:spacing w:line="60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14:paraId="7C65EE4C">
      <w:pPr>
        <w:spacing w:line="600" w:lineRule="exact"/>
        <w:ind w:firstLine="640" w:firstLineChars="200"/>
        <w:rPr>
          <w:rFonts w:eastAsia="仿宋_GB2312"/>
          <w:sz w:val="32"/>
          <w:szCs w:val="32"/>
        </w:rPr>
      </w:pPr>
      <w:r>
        <w:rPr>
          <w:rFonts w:eastAsia="仿宋_GB2312"/>
          <w:sz w:val="32"/>
          <w:szCs w:val="32"/>
        </w:rPr>
        <w:t>（2）项目绩效管理财政支出运行提供及时、有效的信息。</w:t>
      </w:r>
    </w:p>
    <w:p w14:paraId="12E8D30F">
      <w:pPr>
        <w:pStyle w:val="18"/>
        <w:spacing w:line="600" w:lineRule="exact"/>
        <w:ind w:firstLine="640" w:firstLineChars="200"/>
        <w:rPr>
          <w:rFonts w:eastAsia="方正仿宋_GBK"/>
          <w:sz w:val="32"/>
          <w:szCs w:val="32"/>
        </w:rPr>
      </w:pPr>
      <w:r>
        <w:rPr>
          <w:rFonts w:eastAsia="仿宋_GB2312"/>
          <w:sz w:val="32"/>
          <w:szCs w:val="32"/>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4732EF8C">
      <w:pPr>
        <w:pStyle w:val="9"/>
        <w:widowControl w:val="0"/>
        <w:spacing w:before="0" w:after="0" w:line="600" w:lineRule="exact"/>
        <w:ind w:firstLine="643" w:firstLineChars="200"/>
        <w:jc w:val="both"/>
        <w:outlineLvl w:val="9"/>
        <w:rPr>
          <w:rFonts w:ascii="Times New Roman" w:hAnsi="Times New Roman" w:eastAsia="仿宋_GB2312"/>
          <w:bCs w:val="0"/>
        </w:rPr>
      </w:pPr>
      <w:r>
        <w:rPr>
          <w:rFonts w:ascii="Times New Roman" w:hAnsi="Times New Roman" w:eastAsia="仿宋_GB2312"/>
          <w:bCs w:val="0"/>
        </w:rPr>
        <w:t>2、绩效评价的对象</w:t>
      </w:r>
    </w:p>
    <w:p w14:paraId="4027A2D9">
      <w:pPr>
        <w:spacing w:line="600" w:lineRule="exact"/>
        <w:ind w:firstLine="640" w:firstLineChars="200"/>
        <w:rPr>
          <w:rFonts w:eastAsia="仿宋_GB2312"/>
          <w:sz w:val="32"/>
          <w:szCs w:val="32"/>
        </w:rPr>
      </w:pPr>
      <w:r>
        <w:rPr>
          <w:rFonts w:eastAsia="仿宋_GB2312"/>
          <w:sz w:val="32"/>
          <w:szCs w:val="32"/>
        </w:rPr>
        <w:t>民主党派参政议政项目所包含的全部项目内容。</w:t>
      </w:r>
    </w:p>
    <w:p w14:paraId="33D9E39F">
      <w:pPr>
        <w:pStyle w:val="9"/>
        <w:widowControl w:val="0"/>
        <w:spacing w:before="0" w:after="0" w:line="600" w:lineRule="exact"/>
        <w:ind w:firstLine="643" w:firstLineChars="200"/>
        <w:jc w:val="both"/>
        <w:outlineLvl w:val="9"/>
        <w:rPr>
          <w:rFonts w:ascii="Times New Roman" w:hAnsi="Times New Roman" w:eastAsia="仿宋_GB2312"/>
          <w:bCs w:val="0"/>
        </w:rPr>
      </w:pPr>
      <w:r>
        <w:rPr>
          <w:rFonts w:ascii="Times New Roman" w:hAnsi="Times New Roman" w:eastAsia="仿宋_GB2312"/>
          <w:bCs w:val="0"/>
        </w:rPr>
        <w:t>3、绩效评价的范围</w:t>
      </w:r>
    </w:p>
    <w:p w14:paraId="5AFC43AA">
      <w:pPr>
        <w:spacing w:line="600" w:lineRule="exact"/>
        <w:ind w:firstLine="640" w:firstLineChars="200"/>
        <w:rPr>
          <w:rFonts w:eastAsia="仿宋_GB2312"/>
          <w:sz w:val="32"/>
          <w:szCs w:val="32"/>
        </w:rPr>
      </w:pPr>
      <w:r>
        <w:rPr>
          <w:rFonts w:eastAsia="仿宋_GB2312"/>
          <w:sz w:val="32"/>
          <w:szCs w:val="32"/>
        </w:rPr>
        <w:t>本次评价从项目决策（包括绩效目标、决策过程）、项目管理（包括项目资金、项目实施）、项目产出（包括项目产出数量、产出质量、产出时效和产出成本）项目效益四个维度对民主党派参政议政项目进行评价，评价核心为专项资金的支出完成情况和效果。</w:t>
      </w:r>
    </w:p>
    <w:p w14:paraId="5FF881D3">
      <w:pPr>
        <w:spacing w:line="600" w:lineRule="exact"/>
        <w:ind w:firstLine="640" w:firstLineChars="200"/>
        <w:rPr>
          <w:rFonts w:ascii="楷体" w:hAnsi="楷体" w:eastAsia="楷体"/>
        </w:rPr>
      </w:pPr>
      <w:r>
        <w:rPr>
          <w:rFonts w:ascii="楷体" w:hAnsi="楷体" w:eastAsia="楷体"/>
          <w:bCs/>
          <w:sz w:val="32"/>
          <w:szCs w:val="32"/>
        </w:rPr>
        <w:t>（二）绩效评价原则、评价指标体系（详情见表1）、评价方法、评价标准。</w:t>
      </w:r>
    </w:p>
    <w:p w14:paraId="1614A39D">
      <w:pPr>
        <w:pStyle w:val="9"/>
        <w:widowControl w:val="0"/>
        <w:spacing w:before="0" w:after="0" w:line="600" w:lineRule="exact"/>
        <w:ind w:firstLine="643" w:firstLineChars="200"/>
        <w:jc w:val="both"/>
        <w:outlineLvl w:val="9"/>
        <w:rPr>
          <w:rFonts w:ascii="Times New Roman" w:hAnsi="Times New Roman" w:eastAsia="仿宋_GB2312"/>
          <w:bCs w:val="0"/>
        </w:rPr>
      </w:pPr>
      <w:r>
        <w:rPr>
          <w:rFonts w:ascii="Times New Roman" w:hAnsi="Times New Roman" w:eastAsia="仿宋_GB2312"/>
          <w:bCs w:val="0"/>
        </w:rPr>
        <w:t>1、绩效评价原则</w:t>
      </w:r>
    </w:p>
    <w:p w14:paraId="725BEEAD">
      <w:pPr>
        <w:spacing w:line="60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14:paraId="4CC2C53F">
      <w:pPr>
        <w:pStyle w:val="9"/>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14:paraId="1CC3EF40">
      <w:pPr>
        <w:pStyle w:val="9"/>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14:paraId="7B3F297D">
      <w:pPr>
        <w:pStyle w:val="9"/>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14:paraId="63DBFC2A">
      <w:pPr>
        <w:pStyle w:val="9"/>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14:paraId="0E5ABC04">
      <w:pPr>
        <w:pStyle w:val="9"/>
        <w:widowControl w:val="0"/>
        <w:spacing w:before="0" w:after="0" w:line="600" w:lineRule="exact"/>
        <w:ind w:firstLine="643" w:firstLineChars="200"/>
        <w:jc w:val="both"/>
        <w:outlineLvl w:val="9"/>
        <w:rPr>
          <w:rFonts w:ascii="Times New Roman" w:hAnsi="Times New Roman" w:eastAsia="仿宋_GB2312"/>
          <w:bCs w:val="0"/>
        </w:rPr>
      </w:pPr>
      <w:r>
        <w:rPr>
          <w:rFonts w:ascii="Times New Roman" w:hAnsi="Times New Roman" w:eastAsia="仿宋_GB2312"/>
          <w:bCs w:val="0"/>
        </w:rPr>
        <w:t>2、评价指标体系</w:t>
      </w:r>
    </w:p>
    <w:p w14:paraId="4D17813A">
      <w:pPr>
        <w:spacing w:line="600" w:lineRule="exact"/>
        <w:ind w:firstLine="640" w:firstLineChars="200"/>
        <w:rPr>
          <w:rFonts w:eastAsia="仿宋_GB2312"/>
          <w:sz w:val="32"/>
          <w:szCs w:val="32"/>
        </w:rPr>
      </w:pPr>
      <w:r>
        <w:rPr>
          <w:rFonts w:eastAsia="仿宋_GB2312"/>
          <w:sz w:val="32"/>
          <w:szCs w:val="32"/>
        </w:rPr>
        <w:t>绩效评价框架是开展绩效评价的核心。绩效评价框架包括评价准则、关键评价问题、评价指标、数据来源、数据收集方法等。指标体系建立过程如下：</w:t>
      </w:r>
    </w:p>
    <w:p w14:paraId="57223A7C">
      <w:pPr>
        <w:spacing w:line="600" w:lineRule="exact"/>
        <w:ind w:firstLine="640" w:firstLineChars="200"/>
        <w:rPr>
          <w:rFonts w:eastAsia="仿宋_GB2312"/>
          <w:sz w:val="32"/>
          <w:szCs w:val="32"/>
        </w:rPr>
      </w:pPr>
      <w:r>
        <w:rPr>
          <w:rFonts w:eastAsia="仿宋_GB2312"/>
          <w:sz w:val="32"/>
          <w:szCs w:val="32"/>
        </w:rPr>
        <w:t>（1）确定评价指标</w:t>
      </w:r>
    </w:p>
    <w:p w14:paraId="2F0E312B">
      <w:pPr>
        <w:spacing w:line="600" w:lineRule="exact"/>
        <w:ind w:firstLine="640" w:firstLineChars="200"/>
        <w:rPr>
          <w:rFonts w:eastAsia="仿宋_GB2312"/>
          <w:sz w:val="32"/>
          <w:szCs w:val="32"/>
        </w:rPr>
      </w:pPr>
      <w:r>
        <w:rPr>
          <w:rFonts w:eastAsia="仿宋_GB2312"/>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129BB0BF">
      <w:pPr>
        <w:spacing w:line="600" w:lineRule="exact"/>
        <w:ind w:firstLine="640" w:firstLineChars="200"/>
        <w:rPr>
          <w:rFonts w:eastAsia="仿宋_GB2312"/>
          <w:sz w:val="32"/>
          <w:szCs w:val="32"/>
        </w:rPr>
      </w:pPr>
      <w:r>
        <w:rPr>
          <w:rFonts w:eastAsia="仿宋_GB2312"/>
          <w:sz w:val="32"/>
          <w:szCs w:val="32"/>
        </w:rPr>
        <w:t>（2）确定权重</w:t>
      </w:r>
    </w:p>
    <w:p w14:paraId="63E93D18">
      <w:pPr>
        <w:spacing w:line="600" w:lineRule="exact"/>
        <w:ind w:firstLine="640" w:firstLineChars="200"/>
        <w:rPr>
          <w:rFonts w:eastAsia="仿宋_GB2312"/>
          <w:sz w:val="32"/>
          <w:szCs w:val="32"/>
        </w:rPr>
      </w:pPr>
      <w:commentRangeStart w:id="0"/>
      <w:r>
        <w:rPr>
          <w:rFonts w:eastAsia="仿宋_GB2312"/>
          <w:sz w:val="32"/>
          <w:szCs w:val="32"/>
        </w:rPr>
        <w:t>确定各个指标相对于项目总体绩效的权重分值。在绩效评价指标体系中，项目决策权重为20分，项目过程权重为20分，项目产出权重为40分，项目效益权重为20分。</w:t>
      </w:r>
      <w:commentRangeEnd w:id="0"/>
      <w:r>
        <w:rPr>
          <w:rFonts w:eastAsia="仿宋_GB2312"/>
          <w:sz w:val="32"/>
          <w:szCs w:val="32"/>
        </w:rPr>
        <w:commentReference w:id="0"/>
      </w:r>
    </w:p>
    <w:p w14:paraId="3914810E">
      <w:pPr>
        <w:spacing w:line="600" w:lineRule="exact"/>
        <w:ind w:firstLine="640" w:firstLineChars="200"/>
        <w:rPr>
          <w:rFonts w:eastAsia="仿宋_GB2312"/>
          <w:sz w:val="32"/>
          <w:szCs w:val="32"/>
        </w:rPr>
      </w:pPr>
      <w:r>
        <w:rPr>
          <w:rFonts w:eastAsia="仿宋_GB2312"/>
          <w:sz w:val="32"/>
          <w:szCs w:val="32"/>
        </w:rPr>
        <w:t>（3）确定指标标准值</w:t>
      </w:r>
    </w:p>
    <w:p w14:paraId="08B9122C">
      <w:pPr>
        <w:spacing w:line="600" w:lineRule="exact"/>
        <w:ind w:firstLine="640" w:firstLineChars="200"/>
        <w:rPr>
          <w:rFonts w:eastAsia="仿宋_GB2312"/>
          <w:sz w:val="32"/>
          <w:szCs w:val="32"/>
        </w:rPr>
      </w:pPr>
      <w:r>
        <w:rPr>
          <w:rFonts w:eastAsia="仿宋_GB2312"/>
          <w:sz w:val="32"/>
          <w:szCs w:val="32"/>
        </w:rPr>
        <w:t>指标标准值是绩效评价指标的尺度，既要反映同类项目的先进水平，又要符合项目的实际绩效水平。具体采用</w:t>
      </w:r>
      <w:r>
        <w:rPr>
          <w:rFonts w:eastAsia="仿宋_GB2312"/>
          <w:color w:val="000000"/>
          <w:spacing w:val="17"/>
          <w:sz w:val="32"/>
          <w:szCs w:val="32"/>
        </w:rPr>
        <w:t>计划标准等</w:t>
      </w:r>
      <w:r>
        <w:rPr>
          <w:rFonts w:eastAsia="仿宋_GB2312"/>
          <w:sz w:val="32"/>
          <w:szCs w:val="32"/>
        </w:rPr>
        <w:t>确定此次绩效评价指标标准值。</w:t>
      </w:r>
    </w:p>
    <w:p w14:paraId="3FEB0D9C">
      <w:pPr>
        <w:spacing w:line="600" w:lineRule="exact"/>
        <w:ind w:firstLine="640" w:firstLineChars="200"/>
        <w:rPr>
          <w:rFonts w:eastAsia="仿宋_GB2312"/>
          <w:sz w:val="32"/>
          <w:szCs w:val="32"/>
        </w:rPr>
      </w:pPr>
      <w:r>
        <w:rPr>
          <w:rFonts w:eastAsia="仿宋_GB2312"/>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26136157">
      <w:pPr>
        <w:spacing w:line="600" w:lineRule="exact"/>
        <w:ind w:firstLine="640" w:firstLineChars="200"/>
        <w:rPr>
          <w:rFonts w:eastAsia="仿宋_GB2312"/>
          <w:sz w:val="32"/>
          <w:szCs w:val="32"/>
        </w:rPr>
      </w:pPr>
      <w:r>
        <w:rPr>
          <w:rFonts w:eastAsia="仿宋_GB2312"/>
          <w:sz w:val="32"/>
          <w:szCs w:val="32"/>
        </w:rPr>
        <w:t>具体评价指标体系详情见附件1</w:t>
      </w:r>
    </w:p>
    <w:p w14:paraId="6752FA39">
      <w:pPr>
        <w:spacing w:line="600" w:lineRule="exact"/>
        <w:ind w:firstLine="643" w:firstLineChars="200"/>
        <w:rPr>
          <w:rFonts w:eastAsia="仿宋_GB2312"/>
          <w:b/>
          <w:sz w:val="32"/>
          <w:szCs w:val="32"/>
        </w:rPr>
      </w:pPr>
      <w:r>
        <w:rPr>
          <w:rFonts w:eastAsia="仿宋_GB2312"/>
          <w:b/>
          <w:sz w:val="32"/>
          <w:szCs w:val="32"/>
        </w:rPr>
        <w:t>3、绩效评价方法</w:t>
      </w:r>
    </w:p>
    <w:p w14:paraId="04CC3B49">
      <w:pPr>
        <w:spacing w:line="600" w:lineRule="exact"/>
        <w:ind w:firstLine="640" w:firstLineChars="200"/>
        <w:rPr>
          <w:rFonts w:eastAsia="仿宋_GB2312"/>
          <w:sz w:val="32"/>
          <w:szCs w:val="32"/>
        </w:rPr>
      </w:pPr>
      <w:r>
        <w:rPr>
          <w:rFonts w:eastAsia="仿宋_GB2312"/>
          <w:sz w:val="32"/>
          <w:szCs w:val="32"/>
        </w:rPr>
        <w:t>绩效评价从项目决策、项目过程、项目产出、项目效益四个维度进行评价。评价对象为项目目标实施情况，评价核心为资金的支出完成情况和项目的产出效益。</w:t>
      </w:r>
    </w:p>
    <w:p w14:paraId="4344F4BA">
      <w:pPr>
        <w:spacing w:line="600" w:lineRule="exact"/>
        <w:ind w:firstLine="640" w:firstLineChars="200"/>
        <w:rPr>
          <w:rFonts w:eastAsia="仿宋_GB2312"/>
          <w:sz w:val="32"/>
          <w:szCs w:val="32"/>
        </w:rPr>
      </w:pPr>
      <w:r>
        <w:rPr>
          <w:rFonts w:eastAsia="仿宋_GB2312"/>
          <w:sz w:val="32"/>
          <w:szCs w:val="32"/>
        </w:rPr>
        <w:t>本次评价指标中，既有定性指标又有定量指标，各类指标因考核内容不同和客观标准不同存在较大差异，因此核定具体指标时采用了不同方法，具体评价方法如下：</w:t>
      </w:r>
    </w:p>
    <w:p w14:paraId="7F22727F">
      <w:pPr>
        <w:spacing w:line="600" w:lineRule="exact"/>
        <w:ind w:firstLine="640" w:firstLineChars="200"/>
        <w:rPr>
          <w:rFonts w:eastAsia="仿宋_GB2312"/>
          <w:sz w:val="32"/>
          <w:szCs w:val="32"/>
        </w:rPr>
      </w:pPr>
      <w:r>
        <w:rPr>
          <w:rFonts w:eastAsia="仿宋_GB2312"/>
          <w:sz w:val="32"/>
          <w:szCs w:val="32"/>
        </w:rPr>
        <w:t>（1）比较法</w:t>
      </w:r>
    </w:p>
    <w:p w14:paraId="08AFC533">
      <w:pPr>
        <w:spacing w:line="600" w:lineRule="exact"/>
        <w:ind w:firstLine="640" w:firstLineChars="200"/>
        <w:rPr>
          <w:rFonts w:eastAsia="仿宋_GB2312"/>
          <w:sz w:val="32"/>
          <w:szCs w:val="32"/>
        </w:rPr>
      </w:pPr>
      <w:r>
        <w:rPr>
          <w:rFonts w:eastAsia="仿宋_GB2312"/>
          <w:sz w:val="32"/>
          <w:szCs w:val="32"/>
        </w:rPr>
        <w:t>通过对绩效目标与实施效果、历史与当期情况，综合分析绩效目标实现程度。对项目最终验收情况与年度绩效目标对比、预算资金执行情况等相关因素进行比较。</w:t>
      </w:r>
    </w:p>
    <w:p w14:paraId="2CFBA340">
      <w:pPr>
        <w:spacing w:line="600" w:lineRule="exact"/>
        <w:ind w:firstLine="640" w:firstLineChars="200"/>
        <w:rPr>
          <w:rFonts w:eastAsia="仿宋_GB2312"/>
          <w:sz w:val="32"/>
          <w:szCs w:val="32"/>
        </w:rPr>
      </w:pPr>
      <w:r>
        <w:rPr>
          <w:rFonts w:eastAsia="仿宋_GB2312"/>
          <w:sz w:val="32"/>
          <w:szCs w:val="32"/>
        </w:rPr>
        <w:t>（2）因素分析法</w:t>
      </w:r>
    </w:p>
    <w:p w14:paraId="6BC2F7D0">
      <w:pPr>
        <w:spacing w:line="600" w:lineRule="exact"/>
        <w:ind w:firstLine="640" w:firstLineChars="200"/>
        <w:rPr>
          <w:rFonts w:eastAsia="仿宋_GB2312"/>
          <w:color w:val="000000"/>
          <w:spacing w:val="17"/>
          <w:sz w:val="32"/>
          <w:szCs w:val="32"/>
        </w:rPr>
      </w:pPr>
      <w:r>
        <w:rPr>
          <w:rFonts w:eastAsia="仿宋_GB2312"/>
          <w:sz w:val="32"/>
          <w:szCs w:val="32"/>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w:t>
      </w:r>
      <w:r>
        <w:rPr>
          <w:rFonts w:eastAsia="仿宋_GB2312"/>
          <w:color w:val="000000"/>
          <w:spacing w:val="17"/>
          <w:sz w:val="32"/>
          <w:szCs w:val="32"/>
        </w:rPr>
        <w:t>响。</w:t>
      </w:r>
    </w:p>
    <w:p w14:paraId="192E6AFB">
      <w:pPr>
        <w:pStyle w:val="9"/>
        <w:widowControl w:val="0"/>
        <w:spacing w:before="0" w:after="0" w:line="600" w:lineRule="exact"/>
        <w:ind w:firstLine="643" w:firstLineChars="200"/>
        <w:jc w:val="both"/>
        <w:outlineLvl w:val="9"/>
        <w:rPr>
          <w:rFonts w:ascii="Times New Roman" w:hAnsi="Times New Roman" w:eastAsia="仿宋_GB2312"/>
          <w:bCs w:val="0"/>
        </w:rPr>
      </w:pPr>
      <w:r>
        <w:rPr>
          <w:rFonts w:ascii="Times New Roman" w:hAnsi="Times New Roman" w:eastAsia="仿宋_GB2312"/>
          <w:bCs w:val="0"/>
        </w:rPr>
        <w:t>4、评价标准</w:t>
      </w:r>
    </w:p>
    <w:p w14:paraId="103CB71D">
      <w:pPr>
        <w:spacing w:line="600" w:lineRule="exact"/>
        <w:ind w:firstLine="640" w:firstLineChars="200"/>
        <w:rPr>
          <w:rFonts w:eastAsia="仿宋_GB2312"/>
          <w:sz w:val="32"/>
          <w:szCs w:val="32"/>
        </w:rPr>
      </w:pPr>
      <w:r>
        <w:rPr>
          <w:rFonts w:eastAsia="仿宋_GB2312"/>
          <w:sz w:val="32"/>
          <w:szCs w:val="32"/>
        </w:rPr>
        <w:t>绩效评价标准通常包括计划标准、行业标准、历史标准等，用于对绩效指标完成情况进行比较、分析、评价。本次评价主要采用了历史</w:t>
      </w:r>
      <w:commentRangeStart w:id="1"/>
      <w:r>
        <w:rPr>
          <w:rFonts w:eastAsia="仿宋_GB2312"/>
          <w:sz w:val="32"/>
          <w:szCs w:val="32"/>
        </w:rPr>
        <w:t>标准</w:t>
      </w:r>
      <w:commentRangeEnd w:id="1"/>
      <w:r>
        <w:rPr>
          <w:rFonts w:eastAsia="仿宋_GB2312"/>
          <w:sz w:val="32"/>
          <w:szCs w:val="32"/>
        </w:rPr>
        <w:commentReference w:id="1"/>
      </w:r>
      <w:r>
        <w:rPr>
          <w:rFonts w:eastAsia="仿宋_GB2312"/>
          <w:sz w:val="32"/>
          <w:szCs w:val="32"/>
        </w:rPr>
        <w:t>。</w:t>
      </w:r>
    </w:p>
    <w:p w14:paraId="461F9DCB">
      <w:pPr>
        <w:spacing w:line="600" w:lineRule="exact"/>
        <w:ind w:firstLine="640" w:firstLineChars="200"/>
        <w:rPr>
          <w:rFonts w:eastAsia="仿宋_GB2312"/>
          <w:sz w:val="32"/>
          <w:szCs w:val="32"/>
        </w:rPr>
      </w:pPr>
      <w:bookmarkStart w:id="0" w:name="_Toc31464"/>
      <w:bookmarkStart w:id="1" w:name="_Toc17882"/>
      <w:r>
        <w:rPr>
          <w:rFonts w:eastAsia="仿宋_GB2312"/>
          <w:sz w:val="32"/>
          <w:szCs w:val="32"/>
        </w:rPr>
        <w:t>计划标准：指以预先制定的目标、计划、预算、定额等作为评价标准。</w:t>
      </w:r>
      <w:bookmarkEnd w:id="0"/>
      <w:bookmarkEnd w:id="1"/>
    </w:p>
    <w:p w14:paraId="325BB412">
      <w:pPr>
        <w:spacing w:line="600" w:lineRule="exact"/>
        <w:ind w:firstLine="640" w:firstLineChars="200"/>
        <w:rPr>
          <w:rFonts w:eastAsia="仿宋_GB2312"/>
          <w:sz w:val="32"/>
          <w:szCs w:val="32"/>
        </w:rPr>
      </w:pPr>
      <w:bookmarkStart w:id="2" w:name="_Toc5633"/>
      <w:bookmarkStart w:id="3" w:name="_Toc2318"/>
      <w:r>
        <w:rPr>
          <w:rFonts w:eastAsia="仿宋_GB2312"/>
          <w:sz w:val="32"/>
          <w:szCs w:val="32"/>
        </w:rPr>
        <w:t>行业标准：指参照国家公布的行业指标数据制定的评价标准。</w:t>
      </w:r>
      <w:bookmarkEnd w:id="2"/>
      <w:bookmarkEnd w:id="3"/>
    </w:p>
    <w:p w14:paraId="19F3C8A3">
      <w:pPr>
        <w:spacing w:line="600" w:lineRule="exact"/>
        <w:ind w:firstLine="640" w:firstLineChars="200"/>
        <w:rPr>
          <w:rFonts w:eastAsia="仿宋_GB2312"/>
          <w:sz w:val="32"/>
          <w:szCs w:val="32"/>
        </w:rPr>
      </w:pPr>
      <w:bookmarkStart w:id="4" w:name="_Toc16028"/>
      <w:bookmarkStart w:id="5" w:name="_Toc430"/>
      <w:r>
        <w:rPr>
          <w:rFonts w:eastAsia="仿宋_GB2312"/>
          <w:sz w:val="32"/>
          <w:szCs w:val="32"/>
        </w:rPr>
        <w:t>历史标准：指参照历史数据制定的评价标准，为体现绩效改进的原则，在可实现的条件下应当确定相对较高的评价标准。</w:t>
      </w:r>
      <w:bookmarkEnd w:id="4"/>
      <w:bookmarkEnd w:id="5"/>
    </w:p>
    <w:p w14:paraId="6B444CE8">
      <w:pPr>
        <w:pStyle w:val="9"/>
        <w:numPr>
          <w:ilvl w:val="0"/>
          <w:numId w:val="3"/>
        </w:numPr>
        <w:spacing w:before="0" w:after="0" w:line="600" w:lineRule="exact"/>
        <w:ind w:firstLine="708" w:firstLineChars="200"/>
        <w:jc w:val="both"/>
        <w:rPr>
          <w:rFonts w:ascii="Times New Roman" w:hAnsi="Times New Roman" w:eastAsia="楷体"/>
          <w:b w:val="0"/>
          <w:color w:val="000000"/>
          <w:spacing w:val="17"/>
        </w:rPr>
      </w:pPr>
      <w:r>
        <w:rPr>
          <w:rFonts w:ascii="Times New Roman" w:hAnsi="Times New Roman" w:eastAsia="楷体"/>
          <w:b w:val="0"/>
          <w:color w:val="000000"/>
          <w:spacing w:val="17"/>
        </w:rPr>
        <w:t>绩效评价工作过程</w:t>
      </w:r>
    </w:p>
    <w:p w14:paraId="42B22A9E">
      <w:pPr>
        <w:spacing w:line="600" w:lineRule="exact"/>
        <w:ind w:firstLine="643" w:firstLineChars="200"/>
        <w:rPr>
          <w:rFonts w:eastAsia="仿宋_GB2312"/>
          <w:bCs/>
          <w:sz w:val="32"/>
          <w:szCs w:val="32"/>
        </w:rPr>
      </w:pPr>
      <w:r>
        <w:rPr>
          <w:rFonts w:eastAsia="仿宋_GB2312"/>
          <w:b/>
          <w:bCs/>
          <w:sz w:val="32"/>
          <w:szCs w:val="32"/>
        </w:rPr>
        <w:t>1.前期准备。</w:t>
      </w:r>
      <w:r>
        <w:rPr>
          <w:rFonts w:eastAsia="仿宋_GB2312"/>
          <w:bCs/>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14:paraId="457F194E">
      <w:pPr>
        <w:spacing w:line="600" w:lineRule="exact"/>
        <w:ind w:firstLine="643" w:firstLineChars="200"/>
        <w:rPr>
          <w:rFonts w:eastAsia="仿宋_GB2312"/>
          <w:bCs/>
          <w:sz w:val="32"/>
          <w:szCs w:val="32"/>
        </w:rPr>
      </w:pPr>
      <w:r>
        <w:rPr>
          <w:rFonts w:eastAsia="仿宋_GB2312"/>
          <w:b/>
          <w:bCs/>
          <w:sz w:val="32"/>
          <w:szCs w:val="32"/>
        </w:rPr>
        <w:t>2.组织实施。</w:t>
      </w:r>
      <w:r>
        <w:rPr>
          <w:rFonts w:eastAsia="仿宋_GB2312"/>
          <w:bCs/>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52BD6D14">
      <w:pPr>
        <w:spacing w:line="600" w:lineRule="exact"/>
        <w:ind w:firstLine="643" w:firstLineChars="200"/>
        <w:rPr>
          <w:sz w:val="32"/>
          <w:szCs w:val="32"/>
        </w:rPr>
      </w:pPr>
      <w:r>
        <w:rPr>
          <w:rFonts w:eastAsia="仿宋_GB2312"/>
          <w:b/>
          <w:bCs/>
          <w:sz w:val="32"/>
          <w:szCs w:val="32"/>
        </w:rPr>
        <w:t>3.分析评价。</w:t>
      </w:r>
      <w:r>
        <w:rPr>
          <w:rFonts w:eastAsia="仿宋_GB2312"/>
          <w:bCs/>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0675260E">
      <w:pPr>
        <w:numPr>
          <w:ilvl w:val="0"/>
          <w:numId w:val="4"/>
        </w:numPr>
        <w:spacing w:line="600" w:lineRule="exact"/>
        <w:ind w:firstLine="640" w:firstLineChars="200"/>
        <w:rPr>
          <w:rFonts w:eastAsia="黑体"/>
          <w:sz w:val="32"/>
          <w:szCs w:val="32"/>
        </w:rPr>
      </w:pPr>
      <w:r>
        <w:rPr>
          <w:rFonts w:eastAsia="黑体"/>
          <w:sz w:val="32"/>
          <w:szCs w:val="32"/>
        </w:rPr>
        <w:t>综合评价情况及评价结论（附相关评分表）</w:t>
      </w:r>
    </w:p>
    <w:p w14:paraId="7BBFFA21">
      <w:pPr>
        <w:pStyle w:val="9"/>
        <w:spacing w:before="0" w:after="0" w:line="600" w:lineRule="exact"/>
        <w:ind w:firstLine="640" w:firstLineChars="200"/>
        <w:jc w:val="both"/>
        <w:rPr>
          <w:rFonts w:ascii="楷体" w:hAnsi="楷体" w:eastAsia="楷体"/>
          <w:b w:val="0"/>
        </w:rPr>
      </w:pPr>
      <w:r>
        <w:rPr>
          <w:rFonts w:ascii="楷体" w:hAnsi="楷体" w:eastAsia="楷体"/>
          <w:b w:val="0"/>
        </w:rPr>
        <w:t>（一）评价情况</w:t>
      </w:r>
    </w:p>
    <w:p w14:paraId="127F4C25">
      <w:pPr>
        <w:spacing w:line="600" w:lineRule="exact"/>
        <w:ind w:firstLine="640" w:firstLineChars="200"/>
        <w:outlineLvl w:val="0"/>
        <w:rPr>
          <w:rFonts w:eastAsia="仿宋_GB2312"/>
          <w:kern w:val="28"/>
          <w:sz w:val="32"/>
          <w:szCs w:val="32"/>
        </w:rPr>
      </w:pPr>
      <w:r>
        <w:rPr>
          <w:rFonts w:eastAsia="仿宋_GB2312"/>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35D5D905">
      <w:pPr>
        <w:pStyle w:val="9"/>
        <w:spacing w:before="0" w:after="0" w:line="600" w:lineRule="exact"/>
        <w:ind w:firstLine="640" w:firstLineChars="200"/>
        <w:jc w:val="both"/>
        <w:rPr>
          <w:rFonts w:ascii="楷体" w:hAnsi="楷体" w:eastAsia="楷体"/>
          <w:b w:val="0"/>
        </w:rPr>
      </w:pPr>
      <w:r>
        <w:rPr>
          <w:rFonts w:ascii="楷体" w:hAnsi="楷体" w:eastAsia="楷体"/>
          <w:b w:val="0"/>
        </w:rPr>
        <w:t>（二）评价结论</w:t>
      </w:r>
    </w:p>
    <w:p w14:paraId="593D6499">
      <w:pPr>
        <w:pStyle w:val="9"/>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Times New Roman" w:hAnsi="Times New Roman" w:eastAsia="仿宋_GB2312"/>
          <w:b w:val="0"/>
          <w:bCs w:val="0"/>
        </w:rPr>
        <w:t>100</w:t>
      </w:r>
      <w:r>
        <w:rPr>
          <w:rFonts w:ascii="Times New Roman" w:hAnsi="Times New Roman" w:eastAsia="仿宋_GB2312"/>
          <w:b w:val="0"/>
          <w:bCs w:val="0"/>
        </w:rPr>
        <w:t>分，属于“优”。其中，项目决策类指标权重为20分，得分为20分，</w:t>
      </w:r>
      <w:commentRangeStart w:id="2"/>
      <w:r>
        <w:rPr>
          <w:rFonts w:ascii="Times New Roman" w:hAnsi="Times New Roman" w:eastAsia="仿宋_GB2312"/>
          <w:b w:val="0"/>
          <w:bCs w:val="0"/>
        </w:rPr>
        <w:t>得分率</w:t>
      </w:r>
      <w:commentRangeEnd w:id="2"/>
      <w:r>
        <w:rPr>
          <w:rFonts w:ascii="Times New Roman" w:hAnsi="Times New Roman"/>
        </w:rPr>
        <w:commentReference w:id="2"/>
      </w:r>
      <w:r>
        <w:rPr>
          <w:rFonts w:ascii="Times New Roman" w:hAnsi="Times New Roman" w:eastAsia="仿宋_GB2312"/>
          <w:b w:val="0"/>
          <w:bCs w:val="0"/>
        </w:rPr>
        <w:t>为 100%。项目过程类指标权重为20分，得分为20分，得分率为 100%。项目产出类指标权重为40分，得分为</w:t>
      </w:r>
      <w:r>
        <w:rPr>
          <w:rFonts w:hint="eastAsia" w:ascii="Times New Roman" w:hAnsi="Times New Roman" w:eastAsia="仿宋_GB2312"/>
          <w:b w:val="0"/>
          <w:bCs w:val="0"/>
        </w:rPr>
        <w:t>40</w:t>
      </w:r>
      <w:r>
        <w:rPr>
          <w:rFonts w:ascii="Times New Roman" w:hAnsi="Times New Roman" w:eastAsia="仿宋_GB2312"/>
          <w:b w:val="0"/>
          <w:bCs w:val="0"/>
        </w:rPr>
        <w:t xml:space="preserve">分，得分率为 </w:t>
      </w:r>
      <w:r>
        <w:rPr>
          <w:rFonts w:hint="eastAsia" w:ascii="Times New Roman" w:hAnsi="Times New Roman" w:eastAsia="仿宋_GB2312"/>
          <w:b w:val="0"/>
          <w:bCs w:val="0"/>
        </w:rPr>
        <w:t>100</w:t>
      </w:r>
      <w:r>
        <w:rPr>
          <w:rFonts w:ascii="Times New Roman" w:hAnsi="Times New Roman" w:eastAsia="仿宋_GB2312"/>
          <w:b w:val="0"/>
          <w:bCs w:val="0"/>
        </w:rPr>
        <w:t>%。项目效益类指标权重为20分，得分为20分，得分率为100%。具体打分情况详见：附件1综合评分表。</w:t>
      </w:r>
    </w:p>
    <w:p w14:paraId="76201D3B">
      <w:pPr>
        <w:pStyle w:val="9"/>
        <w:spacing w:before="0" w:after="0"/>
        <w:rPr>
          <w:rFonts w:ascii="Times New Roman" w:hAnsi="Times New Roman" w:eastAsia="仿宋_GB2312"/>
          <w:sz w:val="30"/>
          <w:szCs w:val="30"/>
        </w:rPr>
      </w:pPr>
      <w:r>
        <w:rPr>
          <w:rFonts w:ascii="Times New Roman" w:hAnsi="Times New Roman" w:eastAsia="仿宋_GB2312"/>
          <w:sz w:val="30"/>
          <w:szCs w:val="30"/>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3DCDBA98">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auto" w:fill="auto"/>
            <w:vAlign w:val="center"/>
          </w:tcPr>
          <w:p w14:paraId="163986CD">
            <w:pPr>
              <w:jc w:val="center"/>
              <w:rPr>
                <w:rFonts w:eastAsia="仿宋_GB2312"/>
                <w:b/>
                <w:bCs/>
                <w:sz w:val="28"/>
                <w:szCs w:val="28"/>
              </w:rPr>
            </w:pPr>
            <w:r>
              <w:rPr>
                <w:rFonts w:eastAsia="仿宋_GB2312"/>
                <w:b/>
                <w:bCs/>
                <w:sz w:val="28"/>
                <w:szCs w:val="28"/>
              </w:rPr>
              <w:t>一级指标</w:t>
            </w:r>
          </w:p>
        </w:tc>
        <w:tc>
          <w:tcPr>
            <w:tcW w:w="2168" w:type="dxa"/>
            <w:tcBorders>
              <w:top w:val="single" w:color="auto" w:sz="4" w:space="0"/>
              <w:left w:val="nil"/>
              <w:bottom w:val="single" w:color="auto" w:sz="4" w:space="0"/>
              <w:right w:val="single" w:color="auto" w:sz="4" w:space="0"/>
            </w:tcBorders>
            <w:shd w:val="clear" w:color="auto" w:fill="auto"/>
            <w:vAlign w:val="center"/>
          </w:tcPr>
          <w:p w14:paraId="479039BF">
            <w:pPr>
              <w:jc w:val="center"/>
              <w:rPr>
                <w:rFonts w:eastAsia="仿宋_GB2312"/>
                <w:b/>
                <w:bCs/>
                <w:sz w:val="28"/>
                <w:szCs w:val="28"/>
              </w:rPr>
            </w:pPr>
            <w:r>
              <w:rPr>
                <w:rFonts w:eastAsia="仿宋_GB2312"/>
                <w:b/>
                <w:bCs/>
                <w:sz w:val="28"/>
                <w:szCs w:val="28"/>
              </w:rPr>
              <w:t>权重分</w:t>
            </w:r>
          </w:p>
        </w:tc>
        <w:tc>
          <w:tcPr>
            <w:tcW w:w="2278" w:type="dxa"/>
            <w:tcBorders>
              <w:top w:val="single" w:color="auto" w:sz="4" w:space="0"/>
              <w:left w:val="nil"/>
              <w:bottom w:val="single" w:color="auto" w:sz="4" w:space="0"/>
              <w:right w:val="single" w:color="auto" w:sz="4" w:space="0"/>
            </w:tcBorders>
            <w:shd w:val="clear" w:color="auto" w:fill="auto"/>
            <w:vAlign w:val="center"/>
          </w:tcPr>
          <w:p w14:paraId="71A92C5B">
            <w:pPr>
              <w:jc w:val="center"/>
              <w:rPr>
                <w:rFonts w:eastAsia="仿宋_GB2312"/>
                <w:b/>
                <w:bCs/>
                <w:sz w:val="28"/>
                <w:szCs w:val="28"/>
              </w:rPr>
            </w:pPr>
            <w:r>
              <w:rPr>
                <w:rFonts w:eastAsia="仿宋_GB2312"/>
                <w:b/>
                <w:bCs/>
                <w:sz w:val="28"/>
                <w:szCs w:val="28"/>
              </w:rPr>
              <w:t>得分</w:t>
            </w:r>
          </w:p>
        </w:tc>
      </w:tr>
      <w:tr w14:paraId="0C2A94E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D54ABB7">
            <w:pPr>
              <w:jc w:val="center"/>
              <w:rPr>
                <w:rFonts w:eastAsia="仿宋_GB2312"/>
                <w:sz w:val="28"/>
                <w:szCs w:val="28"/>
              </w:rPr>
            </w:pPr>
            <w:r>
              <w:rPr>
                <w:rFonts w:eastAsia="仿宋_GB2312"/>
                <w:sz w:val="28"/>
                <w:szCs w:val="28"/>
              </w:rPr>
              <w:t>项目决策</w:t>
            </w:r>
          </w:p>
        </w:tc>
        <w:tc>
          <w:tcPr>
            <w:tcW w:w="2168" w:type="dxa"/>
            <w:tcBorders>
              <w:top w:val="nil"/>
              <w:left w:val="nil"/>
              <w:bottom w:val="single" w:color="auto" w:sz="4" w:space="0"/>
              <w:right w:val="single" w:color="auto" w:sz="4" w:space="0"/>
            </w:tcBorders>
            <w:shd w:val="clear" w:color="auto" w:fill="auto"/>
            <w:vAlign w:val="center"/>
          </w:tcPr>
          <w:p w14:paraId="49F79A52">
            <w:pPr>
              <w:jc w:val="center"/>
              <w:rPr>
                <w:rFonts w:eastAsia="仿宋_GB2312"/>
                <w:sz w:val="28"/>
                <w:szCs w:val="28"/>
              </w:rPr>
            </w:pPr>
            <w:r>
              <w:rPr>
                <w:rFonts w:eastAsia="仿宋_GB2312"/>
                <w:sz w:val="28"/>
                <w:szCs w:val="28"/>
              </w:rPr>
              <w:t>20</w:t>
            </w:r>
          </w:p>
        </w:tc>
        <w:tc>
          <w:tcPr>
            <w:tcW w:w="2278" w:type="dxa"/>
            <w:tcBorders>
              <w:top w:val="nil"/>
              <w:left w:val="nil"/>
              <w:bottom w:val="single" w:color="auto" w:sz="4" w:space="0"/>
              <w:right w:val="single" w:color="auto" w:sz="4" w:space="0"/>
            </w:tcBorders>
            <w:shd w:val="clear" w:color="auto" w:fill="auto"/>
            <w:vAlign w:val="center"/>
          </w:tcPr>
          <w:p w14:paraId="73F92558">
            <w:pPr>
              <w:jc w:val="center"/>
              <w:rPr>
                <w:rFonts w:eastAsia="仿宋_GB2312"/>
                <w:sz w:val="28"/>
                <w:szCs w:val="28"/>
              </w:rPr>
            </w:pPr>
            <w:r>
              <w:rPr>
                <w:rFonts w:eastAsia="仿宋_GB2312"/>
                <w:sz w:val="28"/>
                <w:szCs w:val="28"/>
              </w:rPr>
              <w:t>20</w:t>
            </w:r>
          </w:p>
        </w:tc>
      </w:tr>
      <w:tr w14:paraId="7837C67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EEDF908">
            <w:pPr>
              <w:jc w:val="center"/>
              <w:rPr>
                <w:rFonts w:eastAsia="仿宋_GB2312"/>
                <w:sz w:val="28"/>
                <w:szCs w:val="28"/>
              </w:rPr>
            </w:pPr>
            <w:r>
              <w:rPr>
                <w:rFonts w:eastAsia="仿宋_GB2312"/>
                <w:sz w:val="28"/>
                <w:szCs w:val="28"/>
              </w:rPr>
              <w:t>项目过程</w:t>
            </w:r>
          </w:p>
        </w:tc>
        <w:tc>
          <w:tcPr>
            <w:tcW w:w="2168" w:type="dxa"/>
            <w:tcBorders>
              <w:top w:val="nil"/>
              <w:left w:val="nil"/>
              <w:bottom w:val="single" w:color="auto" w:sz="4" w:space="0"/>
              <w:right w:val="single" w:color="auto" w:sz="4" w:space="0"/>
            </w:tcBorders>
            <w:shd w:val="clear" w:color="auto" w:fill="auto"/>
            <w:vAlign w:val="center"/>
          </w:tcPr>
          <w:p w14:paraId="63962245">
            <w:pPr>
              <w:jc w:val="center"/>
              <w:rPr>
                <w:rFonts w:eastAsia="仿宋_GB2312"/>
                <w:sz w:val="28"/>
                <w:szCs w:val="28"/>
              </w:rPr>
            </w:pPr>
            <w:r>
              <w:rPr>
                <w:rFonts w:eastAsia="仿宋_GB2312"/>
                <w:sz w:val="28"/>
                <w:szCs w:val="28"/>
              </w:rPr>
              <w:t>20</w:t>
            </w:r>
          </w:p>
        </w:tc>
        <w:tc>
          <w:tcPr>
            <w:tcW w:w="2278" w:type="dxa"/>
            <w:tcBorders>
              <w:top w:val="nil"/>
              <w:left w:val="nil"/>
              <w:bottom w:val="single" w:color="auto" w:sz="4" w:space="0"/>
              <w:right w:val="single" w:color="auto" w:sz="4" w:space="0"/>
            </w:tcBorders>
            <w:shd w:val="clear" w:color="auto" w:fill="auto"/>
            <w:vAlign w:val="center"/>
          </w:tcPr>
          <w:p w14:paraId="258227E4">
            <w:pPr>
              <w:jc w:val="center"/>
              <w:rPr>
                <w:rFonts w:eastAsia="仿宋_GB2312"/>
                <w:sz w:val="28"/>
                <w:szCs w:val="28"/>
              </w:rPr>
            </w:pPr>
            <w:r>
              <w:rPr>
                <w:rFonts w:eastAsia="仿宋_GB2312"/>
                <w:sz w:val="28"/>
                <w:szCs w:val="28"/>
              </w:rPr>
              <w:t>20</w:t>
            </w:r>
          </w:p>
        </w:tc>
      </w:tr>
      <w:tr w14:paraId="0EFA5D3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B8CB77F">
            <w:pPr>
              <w:jc w:val="center"/>
              <w:rPr>
                <w:rFonts w:eastAsia="仿宋_GB2312"/>
                <w:sz w:val="28"/>
                <w:szCs w:val="28"/>
              </w:rPr>
            </w:pPr>
            <w:r>
              <w:rPr>
                <w:rFonts w:eastAsia="仿宋_GB2312"/>
                <w:sz w:val="28"/>
                <w:szCs w:val="28"/>
              </w:rPr>
              <w:t>项目产出</w:t>
            </w:r>
          </w:p>
        </w:tc>
        <w:tc>
          <w:tcPr>
            <w:tcW w:w="2168" w:type="dxa"/>
            <w:tcBorders>
              <w:top w:val="nil"/>
              <w:left w:val="nil"/>
              <w:bottom w:val="single" w:color="auto" w:sz="4" w:space="0"/>
              <w:right w:val="single" w:color="auto" w:sz="4" w:space="0"/>
            </w:tcBorders>
            <w:shd w:val="clear" w:color="auto" w:fill="auto"/>
            <w:vAlign w:val="center"/>
          </w:tcPr>
          <w:p w14:paraId="4F39D684">
            <w:pPr>
              <w:jc w:val="center"/>
              <w:rPr>
                <w:rFonts w:eastAsia="仿宋_GB2312"/>
                <w:sz w:val="28"/>
                <w:szCs w:val="28"/>
              </w:rPr>
            </w:pPr>
            <w:r>
              <w:rPr>
                <w:rFonts w:eastAsia="仿宋_GB2312"/>
                <w:sz w:val="28"/>
                <w:szCs w:val="28"/>
              </w:rPr>
              <w:t>40</w:t>
            </w:r>
          </w:p>
        </w:tc>
        <w:tc>
          <w:tcPr>
            <w:tcW w:w="2278" w:type="dxa"/>
            <w:tcBorders>
              <w:top w:val="nil"/>
              <w:left w:val="nil"/>
              <w:bottom w:val="single" w:color="auto" w:sz="4" w:space="0"/>
              <w:right w:val="single" w:color="auto" w:sz="4" w:space="0"/>
            </w:tcBorders>
            <w:shd w:val="clear" w:color="auto" w:fill="auto"/>
            <w:vAlign w:val="center"/>
          </w:tcPr>
          <w:p w14:paraId="1198C2D4">
            <w:pPr>
              <w:jc w:val="center"/>
              <w:rPr>
                <w:rFonts w:eastAsia="仿宋_GB2312"/>
                <w:sz w:val="28"/>
                <w:szCs w:val="28"/>
              </w:rPr>
            </w:pPr>
            <w:r>
              <w:rPr>
                <w:rFonts w:hint="eastAsia" w:eastAsia="仿宋_GB2312"/>
                <w:sz w:val="28"/>
                <w:szCs w:val="28"/>
              </w:rPr>
              <w:t>40</w:t>
            </w:r>
          </w:p>
        </w:tc>
      </w:tr>
      <w:tr w14:paraId="212A212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2B89106">
            <w:pPr>
              <w:jc w:val="center"/>
              <w:rPr>
                <w:rFonts w:eastAsia="仿宋_GB2312"/>
                <w:sz w:val="28"/>
                <w:szCs w:val="28"/>
              </w:rPr>
            </w:pPr>
            <w:r>
              <w:rPr>
                <w:rFonts w:eastAsia="仿宋_GB2312"/>
                <w:sz w:val="28"/>
                <w:szCs w:val="28"/>
              </w:rPr>
              <w:t>项目效益</w:t>
            </w:r>
          </w:p>
        </w:tc>
        <w:tc>
          <w:tcPr>
            <w:tcW w:w="2168" w:type="dxa"/>
            <w:tcBorders>
              <w:top w:val="nil"/>
              <w:left w:val="nil"/>
              <w:bottom w:val="single" w:color="auto" w:sz="4" w:space="0"/>
              <w:right w:val="single" w:color="auto" w:sz="4" w:space="0"/>
            </w:tcBorders>
            <w:shd w:val="clear" w:color="auto" w:fill="auto"/>
            <w:vAlign w:val="center"/>
          </w:tcPr>
          <w:p w14:paraId="3E041222">
            <w:pPr>
              <w:jc w:val="center"/>
              <w:rPr>
                <w:rFonts w:eastAsia="仿宋_GB2312"/>
                <w:sz w:val="28"/>
                <w:szCs w:val="28"/>
              </w:rPr>
            </w:pPr>
            <w:r>
              <w:rPr>
                <w:rFonts w:eastAsia="仿宋_GB2312"/>
                <w:sz w:val="28"/>
                <w:szCs w:val="28"/>
              </w:rPr>
              <w:t>20</w:t>
            </w:r>
          </w:p>
        </w:tc>
        <w:tc>
          <w:tcPr>
            <w:tcW w:w="2278" w:type="dxa"/>
            <w:tcBorders>
              <w:top w:val="nil"/>
              <w:left w:val="nil"/>
              <w:bottom w:val="single" w:color="auto" w:sz="4" w:space="0"/>
              <w:right w:val="single" w:color="auto" w:sz="4" w:space="0"/>
            </w:tcBorders>
            <w:shd w:val="clear" w:color="auto" w:fill="auto"/>
            <w:vAlign w:val="center"/>
          </w:tcPr>
          <w:p w14:paraId="61F15E62">
            <w:pPr>
              <w:jc w:val="center"/>
              <w:rPr>
                <w:rFonts w:eastAsia="仿宋_GB2312"/>
                <w:sz w:val="28"/>
                <w:szCs w:val="28"/>
              </w:rPr>
            </w:pPr>
            <w:r>
              <w:rPr>
                <w:rFonts w:eastAsia="仿宋_GB2312"/>
                <w:sz w:val="28"/>
                <w:szCs w:val="28"/>
              </w:rPr>
              <w:t>20</w:t>
            </w:r>
          </w:p>
        </w:tc>
      </w:tr>
      <w:tr w14:paraId="279A57A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1E62500">
            <w:pPr>
              <w:jc w:val="center"/>
              <w:rPr>
                <w:rFonts w:eastAsia="仿宋_GB2312"/>
                <w:b/>
                <w:bCs/>
                <w:sz w:val="28"/>
                <w:szCs w:val="28"/>
              </w:rPr>
            </w:pPr>
            <w:r>
              <w:rPr>
                <w:rFonts w:eastAsia="仿宋_GB2312"/>
                <w:b/>
                <w:bCs/>
                <w:sz w:val="28"/>
                <w:szCs w:val="28"/>
              </w:rPr>
              <w:t>合计</w:t>
            </w:r>
          </w:p>
        </w:tc>
        <w:tc>
          <w:tcPr>
            <w:tcW w:w="2168" w:type="dxa"/>
            <w:tcBorders>
              <w:top w:val="nil"/>
              <w:left w:val="nil"/>
              <w:bottom w:val="single" w:color="auto" w:sz="4" w:space="0"/>
              <w:right w:val="single" w:color="auto" w:sz="4" w:space="0"/>
            </w:tcBorders>
            <w:shd w:val="clear" w:color="auto" w:fill="auto"/>
            <w:vAlign w:val="center"/>
          </w:tcPr>
          <w:p w14:paraId="4E8269FE">
            <w:pPr>
              <w:jc w:val="center"/>
              <w:rPr>
                <w:rFonts w:eastAsia="仿宋_GB2312"/>
                <w:b/>
                <w:bCs/>
                <w:sz w:val="28"/>
                <w:szCs w:val="28"/>
              </w:rPr>
            </w:pPr>
            <w:r>
              <w:rPr>
                <w:rFonts w:eastAsia="仿宋_GB2312"/>
                <w:b/>
                <w:bCs/>
                <w:sz w:val="28"/>
                <w:szCs w:val="28"/>
              </w:rPr>
              <w:t>100</w:t>
            </w:r>
          </w:p>
        </w:tc>
        <w:tc>
          <w:tcPr>
            <w:tcW w:w="2278" w:type="dxa"/>
            <w:tcBorders>
              <w:top w:val="nil"/>
              <w:left w:val="nil"/>
              <w:bottom w:val="single" w:color="auto" w:sz="4" w:space="0"/>
              <w:right w:val="single" w:color="auto" w:sz="4" w:space="0"/>
            </w:tcBorders>
            <w:shd w:val="clear" w:color="auto" w:fill="auto"/>
            <w:vAlign w:val="center"/>
          </w:tcPr>
          <w:p w14:paraId="502AE8DF">
            <w:pPr>
              <w:jc w:val="center"/>
              <w:rPr>
                <w:rFonts w:eastAsia="仿宋_GB2312"/>
                <w:b/>
                <w:bCs/>
                <w:sz w:val="28"/>
                <w:szCs w:val="28"/>
              </w:rPr>
            </w:pPr>
            <w:r>
              <w:rPr>
                <w:rFonts w:hint="eastAsia" w:eastAsia="仿宋_GB2312"/>
                <w:b/>
                <w:bCs/>
                <w:sz w:val="28"/>
                <w:szCs w:val="28"/>
              </w:rPr>
              <w:t>100</w:t>
            </w:r>
          </w:p>
        </w:tc>
      </w:tr>
    </w:tbl>
    <w:p w14:paraId="4FF95D36">
      <w:pPr>
        <w:spacing w:line="600" w:lineRule="exact"/>
        <w:ind w:firstLine="640" w:firstLineChars="200"/>
        <w:rPr>
          <w:rFonts w:eastAsia="黑体"/>
          <w:sz w:val="32"/>
          <w:szCs w:val="32"/>
        </w:rPr>
      </w:pPr>
      <w:r>
        <w:rPr>
          <w:rFonts w:eastAsia="黑体"/>
          <w:sz w:val="32"/>
          <w:szCs w:val="32"/>
        </w:rPr>
        <w:t>四、绩效评价指标分析</w:t>
      </w:r>
    </w:p>
    <w:p w14:paraId="6D35A68B">
      <w:pPr>
        <w:pStyle w:val="9"/>
        <w:spacing w:before="0" w:after="0" w:line="600" w:lineRule="exact"/>
        <w:ind w:firstLine="640" w:firstLineChars="200"/>
        <w:jc w:val="both"/>
        <w:outlineLvl w:val="9"/>
        <w:rPr>
          <w:rFonts w:ascii="楷体" w:hAnsi="楷体" w:eastAsia="楷体"/>
          <w:b w:val="0"/>
        </w:rPr>
      </w:pPr>
      <w:r>
        <w:rPr>
          <w:rFonts w:ascii="楷体" w:hAnsi="楷体" w:eastAsia="楷体"/>
          <w:b w:val="0"/>
        </w:rPr>
        <w:t>（一）项目决策情况</w:t>
      </w:r>
    </w:p>
    <w:p w14:paraId="0715ABE3">
      <w:pPr>
        <w:spacing w:line="600" w:lineRule="exact"/>
        <w:ind w:firstLine="600" w:firstLineChars="200"/>
        <w:rPr>
          <w:rFonts w:eastAsia="仿宋_GB2312"/>
          <w:sz w:val="30"/>
          <w:szCs w:val="30"/>
        </w:rPr>
      </w:pPr>
      <w:r>
        <w:rPr>
          <w:rFonts w:eastAsia="仿宋_GB2312"/>
          <w:sz w:val="30"/>
          <w:szCs w:val="30"/>
        </w:rPr>
        <w:t>项目决策类指标包括项目立项、绩效目标和资金投入三方面的内容，由6个三级指标构成，权重分值为20分，实际得分20分，得分率为100%。</w:t>
      </w:r>
    </w:p>
    <w:p w14:paraId="7E407CD1">
      <w:pPr>
        <w:pStyle w:val="18"/>
        <w:spacing w:line="600" w:lineRule="exact"/>
        <w:ind w:firstLine="640"/>
        <w:rPr>
          <w:rFonts w:eastAsia="仿宋_GB2312"/>
          <w:b/>
          <w:bCs/>
          <w:sz w:val="32"/>
          <w:szCs w:val="32"/>
        </w:rPr>
      </w:pPr>
      <w:r>
        <w:rPr>
          <w:rFonts w:eastAsia="仿宋_GB2312"/>
          <w:b/>
          <w:bCs/>
          <w:sz w:val="32"/>
          <w:szCs w:val="32"/>
        </w:rPr>
        <w:t>1.项目立项</w:t>
      </w:r>
    </w:p>
    <w:p w14:paraId="44F72FBB">
      <w:pPr>
        <w:spacing w:line="600" w:lineRule="exact"/>
        <w:ind w:firstLine="640" w:firstLineChars="200"/>
        <w:rPr>
          <w:rFonts w:eastAsia="仿宋_GB2312"/>
          <w:sz w:val="32"/>
          <w:szCs w:val="32"/>
        </w:rPr>
      </w:pPr>
      <w:r>
        <w:rPr>
          <w:rFonts w:eastAsia="仿宋_GB2312"/>
          <w:sz w:val="32"/>
          <w:szCs w:val="32"/>
        </w:rPr>
        <w:t>（1）立项依据充分性</w:t>
      </w:r>
    </w:p>
    <w:p w14:paraId="7AC1E90A">
      <w:pPr>
        <w:spacing w:line="600" w:lineRule="exact"/>
        <w:ind w:firstLine="640" w:firstLineChars="200"/>
        <w:rPr>
          <w:rFonts w:eastAsia="仿宋_GB2312"/>
          <w:sz w:val="32"/>
          <w:szCs w:val="32"/>
        </w:rPr>
      </w:pPr>
      <w:r>
        <w:rPr>
          <w:rFonts w:eastAsia="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3DD6F124">
      <w:pPr>
        <w:spacing w:line="600" w:lineRule="exact"/>
        <w:ind w:firstLine="640" w:firstLineChars="200"/>
        <w:rPr>
          <w:rFonts w:eastAsia="仿宋_GB2312"/>
          <w:sz w:val="32"/>
          <w:szCs w:val="32"/>
        </w:rPr>
      </w:pPr>
      <w:r>
        <w:rPr>
          <w:rFonts w:eastAsia="仿宋_GB2312"/>
          <w:sz w:val="32"/>
          <w:szCs w:val="32"/>
        </w:rPr>
        <w:t>（2）立项程序规范性</w:t>
      </w:r>
    </w:p>
    <w:p w14:paraId="7881097D">
      <w:pPr>
        <w:spacing w:line="600" w:lineRule="exact"/>
        <w:ind w:firstLine="640" w:firstLineChars="200"/>
        <w:rPr>
          <w:rFonts w:eastAsia="仿宋_GB2312"/>
          <w:sz w:val="32"/>
          <w:szCs w:val="32"/>
        </w:rPr>
      </w:pPr>
      <w:r>
        <w:rPr>
          <w:rFonts w:eastAsia="仿宋_GB2312"/>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w:t>
      </w:r>
      <w:commentRangeStart w:id="3"/>
      <w:r>
        <w:rPr>
          <w:rFonts w:eastAsia="仿宋_GB2312"/>
          <w:sz w:val="32"/>
          <w:szCs w:val="32"/>
        </w:rPr>
        <w:t>可行性研究、专家论证、风险评估、绩效评估、集体决策</w:t>
      </w:r>
      <w:commentRangeEnd w:id="3"/>
      <w:r>
        <w:rPr>
          <w:rFonts w:eastAsia="仿宋_GB2312"/>
          <w:sz w:val="32"/>
          <w:szCs w:val="32"/>
        </w:rPr>
        <w:commentReference w:id="3"/>
      </w:r>
      <w:r>
        <w:rPr>
          <w:rFonts w:eastAsia="仿宋_GB2312"/>
          <w:sz w:val="32"/>
          <w:szCs w:val="32"/>
        </w:rPr>
        <w:t>，保障了程序的规范性。</w:t>
      </w:r>
    </w:p>
    <w:p w14:paraId="0CEBB138">
      <w:pPr>
        <w:pStyle w:val="18"/>
        <w:spacing w:line="600" w:lineRule="exact"/>
        <w:ind w:firstLine="640"/>
        <w:rPr>
          <w:rFonts w:eastAsia="仿宋_GB2312"/>
          <w:b/>
          <w:bCs/>
          <w:sz w:val="32"/>
          <w:szCs w:val="32"/>
        </w:rPr>
      </w:pPr>
      <w:r>
        <w:rPr>
          <w:rFonts w:eastAsia="仿宋_GB2312"/>
          <w:b/>
          <w:bCs/>
          <w:sz w:val="32"/>
          <w:szCs w:val="32"/>
        </w:rPr>
        <w:t>2.绩效目标</w:t>
      </w:r>
    </w:p>
    <w:p w14:paraId="3725FFBE">
      <w:pPr>
        <w:spacing w:line="600" w:lineRule="exact"/>
        <w:ind w:firstLine="640" w:firstLineChars="200"/>
        <w:rPr>
          <w:rFonts w:eastAsia="仿宋_GB2312"/>
          <w:sz w:val="32"/>
          <w:szCs w:val="32"/>
        </w:rPr>
      </w:pPr>
      <w:r>
        <w:rPr>
          <w:rFonts w:eastAsia="仿宋_GB2312"/>
          <w:sz w:val="32"/>
          <w:szCs w:val="32"/>
        </w:rPr>
        <w:t>（1）绩效目标合理性</w:t>
      </w:r>
    </w:p>
    <w:p w14:paraId="4CD72DB4">
      <w:pPr>
        <w:spacing w:line="600" w:lineRule="exact"/>
        <w:ind w:firstLine="640" w:firstLineChars="200"/>
        <w:rPr>
          <w:rFonts w:eastAsia="仿宋_GB2312"/>
          <w:sz w:val="32"/>
          <w:szCs w:val="32"/>
        </w:rPr>
      </w:pPr>
      <w:r>
        <w:rPr>
          <w:rFonts w:eastAsia="仿宋_GB2312"/>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26476BD4">
      <w:pPr>
        <w:spacing w:line="600" w:lineRule="exact"/>
        <w:ind w:firstLine="640" w:firstLineChars="200"/>
        <w:rPr>
          <w:rFonts w:eastAsia="仿宋_GB2312"/>
          <w:sz w:val="32"/>
          <w:szCs w:val="32"/>
        </w:rPr>
      </w:pPr>
      <w:r>
        <w:rPr>
          <w:rFonts w:eastAsia="仿宋_GB2312"/>
          <w:sz w:val="32"/>
          <w:szCs w:val="32"/>
        </w:rPr>
        <w:t>（2）绩效指标明确性</w:t>
      </w:r>
    </w:p>
    <w:p w14:paraId="3DBB7D2D">
      <w:pPr>
        <w:spacing w:line="600" w:lineRule="exact"/>
        <w:ind w:firstLine="640" w:firstLineChars="200"/>
        <w:rPr>
          <w:rFonts w:eastAsia="仿宋_GB2312"/>
          <w:sz w:val="32"/>
          <w:szCs w:val="32"/>
        </w:rPr>
      </w:pPr>
      <w:r>
        <w:rPr>
          <w:rFonts w:eastAsia="仿宋_GB2312"/>
          <w:sz w:val="32"/>
          <w:szCs w:val="32"/>
        </w:rPr>
        <w:t>项目设置了明确的预期产出效益和效果，将绩效目标细化分解为具体的绩效指标，绩效目标与项目目标任务数相对应，绩效目标设定的绩效指标清晰、细化、可衡量。</w:t>
      </w:r>
    </w:p>
    <w:p w14:paraId="6CEA0BA1">
      <w:pPr>
        <w:pStyle w:val="18"/>
        <w:spacing w:line="600" w:lineRule="exact"/>
        <w:ind w:firstLine="640"/>
        <w:rPr>
          <w:rFonts w:eastAsia="仿宋_GB2312"/>
          <w:b/>
          <w:bCs/>
          <w:sz w:val="32"/>
          <w:szCs w:val="32"/>
        </w:rPr>
      </w:pPr>
      <w:r>
        <w:rPr>
          <w:rFonts w:eastAsia="仿宋_GB2312"/>
          <w:b/>
          <w:bCs/>
          <w:sz w:val="32"/>
          <w:szCs w:val="32"/>
        </w:rPr>
        <w:t>3.资金投入</w:t>
      </w:r>
    </w:p>
    <w:p w14:paraId="18AAA3E7">
      <w:pPr>
        <w:spacing w:line="600" w:lineRule="exact"/>
        <w:ind w:firstLine="640" w:firstLineChars="200"/>
        <w:rPr>
          <w:rFonts w:eastAsia="仿宋_GB2312"/>
          <w:sz w:val="32"/>
          <w:szCs w:val="32"/>
        </w:rPr>
      </w:pPr>
      <w:r>
        <w:rPr>
          <w:rFonts w:eastAsia="仿宋_GB2312"/>
          <w:sz w:val="32"/>
          <w:szCs w:val="32"/>
        </w:rPr>
        <w:t>（1）预算编制科学性</w:t>
      </w:r>
    </w:p>
    <w:p w14:paraId="0143D2F0">
      <w:pPr>
        <w:spacing w:line="600" w:lineRule="exact"/>
        <w:ind w:firstLine="640" w:firstLineChars="200"/>
        <w:rPr>
          <w:rFonts w:eastAsia="仿宋_GB2312"/>
          <w:sz w:val="32"/>
          <w:szCs w:val="32"/>
        </w:rPr>
      </w:pPr>
      <w:r>
        <w:rPr>
          <w:rFonts w:eastAsia="仿宋_GB2312"/>
          <w:sz w:val="32"/>
          <w:szCs w:val="32"/>
        </w:rPr>
        <w:t>预算编制经过科学论证，提供充分的测算依据佐证资料，预算内容与项目内容相匹配。项目投资额与工作任务相匹配。</w:t>
      </w:r>
    </w:p>
    <w:p w14:paraId="36D272C2">
      <w:pPr>
        <w:spacing w:line="600" w:lineRule="exact"/>
        <w:ind w:firstLine="640" w:firstLineChars="200"/>
        <w:rPr>
          <w:rFonts w:eastAsia="仿宋_GB2312"/>
          <w:sz w:val="32"/>
          <w:szCs w:val="32"/>
        </w:rPr>
      </w:pPr>
      <w:r>
        <w:rPr>
          <w:rFonts w:eastAsia="仿宋_GB2312"/>
          <w:sz w:val="32"/>
          <w:szCs w:val="32"/>
        </w:rPr>
        <w:t>（2）资金分配合理性</w:t>
      </w:r>
    </w:p>
    <w:p w14:paraId="1D36625C">
      <w:pPr>
        <w:spacing w:line="600" w:lineRule="exact"/>
        <w:ind w:firstLine="640" w:firstLineChars="200"/>
        <w:rPr>
          <w:rFonts w:eastAsia="仿宋_GB2312"/>
          <w:sz w:val="32"/>
          <w:szCs w:val="32"/>
        </w:rPr>
      </w:pPr>
      <w:r>
        <w:rPr>
          <w:rFonts w:eastAsia="仿宋_GB2312"/>
          <w:sz w:val="32"/>
          <w:szCs w:val="32"/>
        </w:rPr>
        <w:t>资金分配额度与项目单位实际工作内容相适应，资金分配额度合理，资金分配依据充分。</w:t>
      </w:r>
    </w:p>
    <w:p w14:paraId="533F8053">
      <w:pPr>
        <w:pStyle w:val="9"/>
        <w:numPr>
          <w:ilvl w:val="0"/>
          <w:numId w:val="5"/>
        </w:numPr>
        <w:spacing w:before="0" w:after="0" w:line="600" w:lineRule="exact"/>
        <w:ind w:firstLine="640" w:firstLineChars="200"/>
        <w:jc w:val="both"/>
        <w:outlineLvl w:val="9"/>
        <w:rPr>
          <w:rFonts w:ascii="Times New Roman" w:hAnsi="Times New Roman" w:eastAsia="楷体"/>
          <w:b w:val="0"/>
        </w:rPr>
      </w:pPr>
      <w:r>
        <w:rPr>
          <w:rFonts w:ascii="Times New Roman" w:hAnsi="Times New Roman" w:eastAsia="楷体"/>
          <w:b w:val="0"/>
        </w:rPr>
        <w:t>项目过程情况</w:t>
      </w:r>
    </w:p>
    <w:p w14:paraId="638B6FAA">
      <w:pPr>
        <w:spacing w:line="600" w:lineRule="exact"/>
        <w:ind w:firstLine="640" w:firstLineChars="200"/>
        <w:rPr>
          <w:rFonts w:eastAsia="仿宋_GB2312"/>
          <w:sz w:val="32"/>
          <w:szCs w:val="32"/>
        </w:rPr>
      </w:pPr>
      <w:r>
        <w:rPr>
          <w:rFonts w:eastAsia="仿宋_GB2312"/>
          <w:sz w:val="32"/>
          <w:szCs w:val="32"/>
        </w:rPr>
        <w:t>项目过程类指标包括资金管理和组织实施两方面的内容，由5个三级指标构成，权重分值为20分，实际得分20分，得分率为100%。</w:t>
      </w:r>
    </w:p>
    <w:p w14:paraId="73D1B874">
      <w:pPr>
        <w:spacing w:line="600" w:lineRule="exact"/>
        <w:ind w:firstLine="640" w:firstLineChars="200"/>
        <w:rPr>
          <w:rFonts w:eastAsia="仿宋_GB2312"/>
          <w:sz w:val="32"/>
          <w:szCs w:val="32"/>
        </w:rPr>
      </w:pPr>
      <w:r>
        <w:rPr>
          <w:rFonts w:eastAsia="仿宋_GB2312"/>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64C04421">
      <w:pPr>
        <w:pStyle w:val="18"/>
        <w:spacing w:line="600" w:lineRule="exact"/>
        <w:ind w:firstLine="640"/>
        <w:rPr>
          <w:rFonts w:eastAsia="仿宋_GB2312"/>
          <w:b/>
          <w:bCs/>
          <w:sz w:val="32"/>
          <w:szCs w:val="32"/>
        </w:rPr>
      </w:pPr>
      <w:r>
        <w:rPr>
          <w:rFonts w:eastAsia="仿宋_GB2312"/>
          <w:b/>
          <w:bCs/>
          <w:sz w:val="32"/>
          <w:szCs w:val="32"/>
        </w:rPr>
        <w:t>1.资金管理</w:t>
      </w:r>
    </w:p>
    <w:p w14:paraId="6C33E7C3">
      <w:pPr>
        <w:spacing w:line="600" w:lineRule="exact"/>
        <w:ind w:firstLine="640" w:firstLineChars="200"/>
        <w:rPr>
          <w:rFonts w:eastAsia="仿宋_GB2312"/>
          <w:sz w:val="32"/>
          <w:szCs w:val="32"/>
        </w:rPr>
      </w:pPr>
      <w:r>
        <w:rPr>
          <w:rFonts w:eastAsia="仿宋_GB2312"/>
          <w:sz w:val="32"/>
          <w:szCs w:val="32"/>
        </w:rPr>
        <w:t>（1）资金到位率</w:t>
      </w:r>
    </w:p>
    <w:p w14:paraId="2338A050">
      <w:pPr>
        <w:spacing w:line="600" w:lineRule="exact"/>
        <w:ind w:firstLine="640" w:firstLineChars="200"/>
        <w:rPr>
          <w:rFonts w:eastAsia="仿宋_GB2312"/>
          <w:sz w:val="32"/>
          <w:szCs w:val="32"/>
        </w:rPr>
      </w:pPr>
      <w:r>
        <w:rPr>
          <w:rFonts w:eastAsia="仿宋_GB2312"/>
          <w:sz w:val="32"/>
          <w:szCs w:val="32"/>
        </w:rPr>
        <w:t>本项目总投资30.00万元，财政资金及时足额到位，到位率100%，预算资金按计划进度执行。</w:t>
      </w:r>
    </w:p>
    <w:p w14:paraId="2CD3EAD7">
      <w:pPr>
        <w:spacing w:line="600" w:lineRule="exact"/>
        <w:ind w:firstLine="640" w:firstLineChars="200"/>
        <w:rPr>
          <w:rFonts w:eastAsia="仿宋_GB2312"/>
          <w:sz w:val="32"/>
          <w:szCs w:val="32"/>
        </w:rPr>
      </w:pPr>
      <w:r>
        <w:rPr>
          <w:rFonts w:eastAsia="仿宋_GB2312"/>
          <w:sz w:val="32"/>
          <w:szCs w:val="32"/>
        </w:rPr>
        <w:t>（2）预算执行率</w:t>
      </w:r>
    </w:p>
    <w:p w14:paraId="37270F9E">
      <w:pPr>
        <w:spacing w:line="600" w:lineRule="exact"/>
        <w:ind w:firstLine="640" w:firstLineChars="200"/>
        <w:rPr>
          <w:rFonts w:eastAsia="仿宋_GB2312"/>
          <w:sz w:val="32"/>
          <w:szCs w:val="32"/>
        </w:rPr>
      </w:pPr>
      <w:r>
        <w:rPr>
          <w:rFonts w:eastAsia="仿宋_GB2312"/>
          <w:sz w:val="32"/>
          <w:szCs w:val="32"/>
        </w:rPr>
        <w:t>预算编制较为详细，项目资金支出总体能够按照预算执行，预算资金支出30.00万元，预算执行率为100%。</w:t>
      </w:r>
    </w:p>
    <w:p w14:paraId="3DF81ECA">
      <w:pPr>
        <w:spacing w:line="600" w:lineRule="exact"/>
        <w:ind w:firstLine="640" w:firstLineChars="200"/>
        <w:rPr>
          <w:rFonts w:eastAsia="仿宋_GB2312"/>
          <w:sz w:val="32"/>
          <w:szCs w:val="32"/>
        </w:rPr>
      </w:pPr>
      <w:r>
        <w:rPr>
          <w:rFonts w:eastAsia="仿宋_GB2312"/>
          <w:sz w:val="32"/>
          <w:szCs w:val="32"/>
        </w:rPr>
        <w:t>（3）资金使用合规性</w:t>
      </w:r>
    </w:p>
    <w:p w14:paraId="12210605">
      <w:pPr>
        <w:spacing w:line="600" w:lineRule="exact"/>
        <w:ind w:firstLine="640" w:firstLineChars="200"/>
        <w:rPr>
          <w:rFonts w:eastAsia="仿宋_GB2312"/>
          <w:sz w:val="32"/>
          <w:szCs w:val="32"/>
        </w:rPr>
      </w:pPr>
      <w:r>
        <w:rPr>
          <w:rFonts w:eastAsia="仿宋_GB2312"/>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2BF75C64">
      <w:pPr>
        <w:pStyle w:val="18"/>
        <w:spacing w:line="600" w:lineRule="exact"/>
        <w:ind w:firstLine="640"/>
        <w:rPr>
          <w:rFonts w:eastAsia="仿宋_GB2312"/>
          <w:b/>
          <w:bCs/>
          <w:sz w:val="32"/>
          <w:szCs w:val="32"/>
        </w:rPr>
      </w:pPr>
      <w:r>
        <w:rPr>
          <w:rFonts w:eastAsia="仿宋_GB2312"/>
          <w:b/>
          <w:bCs/>
          <w:sz w:val="32"/>
          <w:szCs w:val="32"/>
        </w:rPr>
        <w:t>2.组织实施</w:t>
      </w:r>
    </w:p>
    <w:p w14:paraId="107120C4">
      <w:pPr>
        <w:spacing w:line="600" w:lineRule="exact"/>
        <w:ind w:firstLine="640" w:firstLineChars="200"/>
        <w:rPr>
          <w:rFonts w:eastAsia="仿宋_GB2312"/>
          <w:sz w:val="32"/>
          <w:szCs w:val="32"/>
        </w:rPr>
      </w:pPr>
      <w:r>
        <w:rPr>
          <w:rFonts w:eastAsia="仿宋_GB2312"/>
          <w:sz w:val="32"/>
          <w:szCs w:val="32"/>
        </w:rPr>
        <w:t>（1）管理制度健全性</w:t>
      </w:r>
    </w:p>
    <w:p w14:paraId="59971027">
      <w:pPr>
        <w:spacing w:line="600" w:lineRule="exact"/>
        <w:ind w:firstLine="640" w:firstLineChars="200"/>
        <w:rPr>
          <w:rFonts w:eastAsia="仿宋_GB2312"/>
          <w:sz w:val="32"/>
          <w:szCs w:val="32"/>
        </w:rPr>
      </w:pPr>
      <w:r>
        <w:rPr>
          <w:rFonts w:eastAsia="仿宋_GB2312"/>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37842045">
      <w:pPr>
        <w:spacing w:line="600" w:lineRule="exact"/>
        <w:ind w:firstLine="640" w:firstLineChars="200"/>
        <w:rPr>
          <w:rFonts w:eastAsia="仿宋_GB2312"/>
          <w:sz w:val="32"/>
          <w:szCs w:val="32"/>
        </w:rPr>
      </w:pPr>
      <w:r>
        <w:rPr>
          <w:rFonts w:eastAsia="仿宋_GB2312"/>
          <w:sz w:val="32"/>
          <w:szCs w:val="32"/>
        </w:rPr>
        <w:t>（2）制度执行有效性</w:t>
      </w:r>
    </w:p>
    <w:p w14:paraId="50C79268">
      <w:pPr>
        <w:spacing w:line="600" w:lineRule="exact"/>
        <w:ind w:firstLine="640" w:firstLineChars="200"/>
        <w:rPr>
          <w:rFonts w:eastAsia="仿宋_GB2312"/>
          <w:sz w:val="32"/>
          <w:szCs w:val="32"/>
        </w:rPr>
      </w:pPr>
      <w:r>
        <w:rPr>
          <w:rFonts w:eastAsia="仿宋_GB2312"/>
          <w:sz w:val="32"/>
          <w:szCs w:val="32"/>
        </w:rPr>
        <w:t>对资金使用的合法合规性进行监督，年末对资金使用效果进行评价。项目管理、实施人员落实到位，有效按照计划执行。项目执行情况等资料齐全，项目相关手续完备，及时进行归档。</w:t>
      </w:r>
    </w:p>
    <w:p w14:paraId="3C4CA7C1">
      <w:pPr>
        <w:pStyle w:val="11"/>
        <w:numPr>
          <w:ilvl w:val="0"/>
          <w:numId w:val="5"/>
        </w:numPr>
        <w:spacing w:line="600" w:lineRule="exact"/>
        <w:ind w:firstLine="640"/>
        <w:rPr>
          <w:rFonts w:ascii="楷体" w:hAnsi="楷体" w:eastAsia="楷体"/>
          <w:bCs/>
          <w:sz w:val="32"/>
          <w:szCs w:val="32"/>
        </w:rPr>
      </w:pPr>
      <w:commentRangeStart w:id="4"/>
      <w:r>
        <w:rPr>
          <w:rFonts w:ascii="楷体" w:hAnsi="楷体" w:eastAsia="楷体"/>
          <w:bCs/>
          <w:sz w:val="32"/>
          <w:szCs w:val="32"/>
        </w:rPr>
        <w:t>项目产出</w:t>
      </w:r>
      <w:commentRangeEnd w:id="4"/>
      <w:r>
        <w:rPr>
          <w:rFonts w:ascii="楷体" w:hAnsi="楷体" w:eastAsia="楷体"/>
        </w:rPr>
        <w:commentReference w:id="4"/>
      </w:r>
      <w:r>
        <w:rPr>
          <w:rFonts w:ascii="楷体" w:hAnsi="楷体" w:eastAsia="楷体"/>
          <w:bCs/>
          <w:sz w:val="32"/>
          <w:szCs w:val="32"/>
        </w:rPr>
        <w:t>情况</w:t>
      </w:r>
    </w:p>
    <w:p w14:paraId="0A9C2D2E">
      <w:pPr>
        <w:spacing w:line="600" w:lineRule="exact"/>
        <w:ind w:firstLine="640" w:firstLineChars="200"/>
        <w:rPr>
          <w:rFonts w:eastAsia="仿宋_GB2312"/>
          <w:sz w:val="32"/>
          <w:szCs w:val="32"/>
        </w:rPr>
      </w:pPr>
      <w:r>
        <w:rPr>
          <w:rFonts w:eastAsia="仿宋_GB2312"/>
          <w:sz w:val="32"/>
          <w:szCs w:val="32"/>
        </w:rPr>
        <w:t>项目产出类指标包括产出数量、产出质量、产出时效、产出成本四方面的内容，由</w:t>
      </w:r>
      <w:r>
        <w:rPr>
          <w:rFonts w:hint="eastAsia" w:eastAsia="仿宋_GB2312"/>
          <w:sz w:val="32"/>
          <w:szCs w:val="32"/>
        </w:rPr>
        <w:t>14</w:t>
      </w:r>
      <w:r>
        <w:rPr>
          <w:rFonts w:eastAsia="仿宋_GB2312"/>
          <w:sz w:val="32"/>
          <w:szCs w:val="32"/>
        </w:rPr>
        <w:t>个三级指标构成，权重分为40分，实际得分</w:t>
      </w:r>
      <w:r>
        <w:rPr>
          <w:rFonts w:hint="eastAsia" w:eastAsia="仿宋_GB2312"/>
          <w:sz w:val="32"/>
          <w:szCs w:val="32"/>
        </w:rPr>
        <w:t>40</w:t>
      </w:r>
      <w:r>
        <w:rPr>
          <w:rFonts w:eastAsia="仿宋_GB2312"/>
          <w:sz w:val="32"/>
          <w:szCs w:val="32"/>
        </w:rPr>
        <w:t>分，得分率为</w:t>
      </w:r>
      <w:r>
        <w:rPr>
          <w:rFonts w:hint="eastAsia" w:eastAsia="仿宋_GB2312"/>
          <w:sz w:val="32"/>
          <w:szCs w:val="32"/>
        </w:rPr>
        <w:t>100</w:t>
      </w:r>
      <w:r>
        <w:rPr>
          <w:rFonts w:eastAsia="仿宋_GB2312"/>
          <w:sz w:val="32"/>
          <w:szCs w:val="32"/>
        </w:rPr>
        <w:t>%。具体产出指标完成情况如下：</w:t>
      </w:r>
    </w:p>
    <w:p w14:paraId="632DE49D">
      <w:pPr>
        <w:spacing w:line="600" w:lineRule="exact"/>
        <w:ind w:firstLine="640" w:firstLineChars="200"/>
        <w:rPr>
          <w:rFonts w:eastAsia="仿宋_GB2312"/>
          <w:sz w:val="32"/>
          <w:szCs w:val="32"/>
        </w:rPr>
      </w:pPr>
      <w:r>
        <w:rPr>
          <w:rFonts w:eastAsia="仿宋_GB2312"/>
          <w:sz w:val="32"/>
          <w:szCs w:val="32"/>
        </w:rPr>
        <w:fldChar w:fldCharType="begin"/>
      </w:r>
      <w:r>
        <w:rPr>
          <w:rFonts w:eastAsia="仿宋_GB2312"/>
          <w:sz w:val="32"/>
          <w:szCs w:val="32"/>
        </w:rPr>
        <w:instrText xml:space="preserve"> = 1 \* GB3 </w:instrText>
      </w:r>
      <w:r>
        <w:rPr>
          <w:rFonts w:eastAsia="仿宋_GB2312"/>
          <w:sz w:val="32"/>
          <w:szCs w:val="32"/>
        </w:rPr>
        <w:fldChar w:fldCharType="separate"/>
      </w:r>
      <w:r>
        <w:rPr>
          <w:rFonts w:eastAsia="仿宋_GB2312"/>
          <w:sz w:val="32"/>
          <w:szCs w:val="32"/>
        </w:rPr>
        <w:t>①</w:t>
      </w:r>
      <w:r>
        <w:rPr>
          <w:rFonts w:eastAsia="仿宋_GB2312"/>
          <w:sz w:val="32"/>
          <w:szCs w:val="32"/>
        </w:rPr>
        <w:fldChar w:fldCharType="end"/>
      </w:r>
      <w:r>
        <w:rPr>
          <w:rFonts w:eastAsia="仿宋_GB2312"/>
          <w:sz w:val="32"/>
          <w:szCs w:val="32"/>
        </w:rPr>
        <w:t>数量指标：</w:t>
      </w:r>
    </w:p>
    <w:p w14:paraId="4ED7F1DE">
      <w:pPr>
        <w:spacing w:line="600" w:lineRule="exact"/>
        <w:ind w:firstLine="640" w:firstLineChars="200"/>
        <w:rPr>
          <w:rFonts w:eastAsia="仿宋_GB2312"/>
          <w:sz w:val="32"/>
          <w:szCs w:val="32"/>
        </w:rPr>
      </w:pPr>
      <w:r>
        <w:rPr>
          <w:rFonts w:eastAsia="仿宋_GB2312"/>
          <w:sz w:val="32"/>
          <w:szCs w:val="32"/>
        </w:rPr>
        <w:t>指标1：</w:t>
      </w:r>
      <w:r>
        <w:rPr>
          <w:rFonts w:hint="eastAsia" w:eastAsia="仿宋_GB2312"/>
          <w:sz w:val="32"/>
          <w:szCs w:val="32"/>
        </w:rPr>
        <w:t>《新疆民进》印刷期数</w:t>
      </w:r>
      <w:r>
        <w:rPr>
          <w:rFonts w:eastAsia="仿宋_GB2312"/>
          <w:sz w:val="32"/>
          <w:szCs w:val="32"/>
        </w:rPr>
        <w:t>，指标值：&gt;=</w:t>
      </w:r>
      <w:r>
        <w:rPr>
          <w:rFonts w:hint="eastAsia" w:eastAsia="仿宋_GB2312"/>
          <w:sz w:val="32"/>
          <w:szCs w:val="32"/>
        </w:rPr>
        <w:t>2期</w:t>
      </w:r>
      <w:r>
        <w:rPr>
          <w:rFonts w:eastAsia="仿宋_GB2312"/>
          <w:sz w:val="32"/>
          <w:szCs w:val="32"/>
        </w:rPr>
        <w:t>，实际完成值：</w:t>
      </w:r>
      <w:r>
        <w:rPr>
          <w:rFonts w:hint="eastAsia" w:eastAsia="仿宋_GB2312"/>
          <w:sz w:val="32"/>
          <w:szCs w:val="32"/>
        </w:rPr>
        <w:t>2期</w:t>
      </w:r>
      <w:r>
        <w:rPr>
          <w:rFonts w:eastAsia="仿宋_GB2312"/>
          <w:sz w:val="32"/>
          <w:szCs w:val="32"/>
        </w:rPr>
        <w:t>，指标完成率100%，偏差率0%。</w:t>
      </w:r>
    </w:p>
    <w:p w14:paraId="7C413EE1">
      <w:pPr>
        <w:spacing w:line="600" w:lineRule="exact"/>
        <w:ind w:firstLine="640" w:firstLineChars="200"/>
        <w:rPr>
          <w:rFonts w:eastAsia="仿宋_GB2312"/>
          <w:sz w:val="32"/>
          <w:szCs w:val="32"/>
        </w:rPr>
      </w:pPr>
      <w:r>
        <w:rPr>
          <w:rFonts w:eastAsia="仿宋_GB2312"/>
          <w:sz w:val="32"/>
          <w:szCs w:val="32"/>
        </w:rPr>
        <w:t xml:space="preserve">指标2： </w:t>
      </w:r>
      <w:r>
        <w:rPr>
          <w:rFonts w:hint="eastAsia" w:eastAsia="仿宋_GB2312"/>
          <w:sz w:val="32"/>
          <w:szCs w:val="32"/>
        </w:rPr>
        <w:t>提交自治区政协会议的提案数量</w:t>
      </w:r>
      <w:r>
        <w:rPr>
          <w:rFonts w:eastAsia="仿宋_GB2312"/>
          <w:sz w:val="32"/>
          <w:szCs w:val="32"/>
        </w:rPr>
        <w:t>，指标值：&gt;=</w:t>
      </w:r>
      <w:r>
        <w:rPr>
          <w:rFonts w:hint="eastAsia" w:eastAsia="仿宋_GB2312"/>
          <w:sz w:val="32"/>
          <w:szCs w:val="32"/>
        </w:rPr>
        <w:t>1</w:t>
      </w:r>
      <w:r>
        <w:rPr>
          <w:rFonts w:eastAsia="仿宋_GB2312"/>
          <w:sz w:val="32"/>
          <w:szCs w:val="32"/>
        </w:rPr>
        <w:t>0个，实际完成值：</w:t>
      </w:r>
      <w:r>
        <w:rPr>
          <w:rFonts w:hint="eastAsia" w:eastAsia="仿宋_GB2312"/>
          <w:sz w:val="32"/>
          <w:szCs w:val="32"/>
        </w:rPr>
        <w:t>1</w:t>
      </w:r>
      <w:r>
        <w:rPr>
          <w:rFonts w:eastAsia="仿宋_GB2312"/>
          <w:sz w:val="32"/>
          <w:szCs w:val="32"/>
        </w:rPr>
        <w:t>0个，指标完成率100%，偏差率0%。</w:t>
      </w:r>
    </w:p>
    <w:p w14:paraId="41283CAA">
      <w:pPr>
        <w:spacing w:line="600" w:lineRule="exact"/>
        <w:ind w:firstLine="640" w:firstLineChars="200"/>
        <w:rPr>
          <w:rFonts w:eastAsia="仿宋_GB2312"/>
          <w:sz w:val="32"/>
          <w:szCs w:val="32"/>
        </w:rPr>
      </w:pPr>
      <w:r>
        <w:rPr>
          <w:rFonts w:eastAsia="仿宋_GB2312"/>
          <w:sz w:val="32"/>
          <w:szCs w:val="32"/>
        </w:rPr>
        <w:t>指标3：</w:t>
      </w:r>
      <w:r>
        <w:rPr>
          <w:rFonts w:hint="eastAsia" w:eastAsia="仿宋_GB2312"/>
          <w:sz w:val="32"/>
          <w:szCs w:val="32"/>
        </w:rPr>
        <w:t>开展疆内外调研次数</w:t>
      </w:r>
      <w:r>
        <w:rPr>
          <w:rFonts w:eastAsia="仿宋_GB2312"/>
          <w:sz w:val="32"/>
          <w:szCs w:val="32"/>
        </w:rPr>
        <w:t>，指标值：&gt;=</w:t>
      </w:r>
      <w:r>
        <w:rPr>
          <w:rFonts w:hint="eastAsia" w:eastAsia="仿宋_GB2312"/>
          <w:sz w:val="32"/>
          <w:szCs w:val="32"/>
        </w:rPr>
        <w:t>5次</w:t>
      </w:r>
      <w:r>
        <w:rPr>
          <w:rFonts w:eastAsia="仿宋_GB2312"/>
          <w:sz w:val="32"/>
          <w:szCs w:val="32"/>
        </w:rPr>
        <w:t>，实际完成值：</w:t>
      </w:r>
      <w:r>
        <w:rPr>
          <w:rFonts w:hint="eastAsia" w:eastAsia="仿宋_GB2312"/>
          <w:sz w:val="32"/>
          <w:szCs w:val="32"/>
        </w:rPr>
        <w:t>5次</w:t>
      </w:r>
      <w:r>
        <w:rPr>
          <w:rFonts w:eastAsia="仿宋_GB2312"/>
          <w:sz w:val="32"/>
          <w:szCs w:val="32"/>
        </w:rPr>
        <w:t>，指标完成率100%，偏差率0%。</w:t>
      </w:r>
    </w:p>
    <w:p w14:paraId="6952E58C">
      <w:pPr>
        <w:spacing w:line="600" w:lineRule="exact"/>
        <w:ind w:firstLine="640" w:firstLineChars="200"/>
        <w:rPr>
          <w:rFonts w:eastAsia="仿宋_GB2312"/>
          <w:sz w:val="32"/>
          <w:szCs w:val="32"/>
        </w:rPr>
      </w:pPr>
      <w:r>
        <w:rPr>
          <w:rFonts w:eastAsia="仿宋_GB2312"/>
          <w:sz w:val="32"/>
          <w:szCs w:val="32"/>
        </w:rPr>
        <w:t>指标4：</w:t>
      </w:r>
      <w:r>
        <w:rPr>
          <w:rFonts w:hint="eastAsia" w:eastAsia="仿宋_GB2312"/>
          <w:sz w:val="32"/>
          <w:szCs w:val="32"/>
        </w:rPr>
        <w:t>开展民主监督次数</w:t>
      </w:r>
      <w:r>
        <w:rPr>
          <w:rFonts w:eastAsia="仿宋_GB2312"/>
          <w:sz w:val="32"/>
          <w:szCs w:val="32"/>
        </w:rPr>
        <w:t>，指标值：&gt;=2</w:t>
      </w:r>
      <w:r>
        <w:rPr>
          <w:rFonts w:hint="eastAsia" w:eastAsia="仿宋_GB2312"/>
          <w:sz w:val="32"/>
          <w:szCs w:val="32"/>
        </w:rPr>
        <w:t>次</w:t>
      </w:r>
      <w:r>
        <w:rPr>
          <w:rFonts w:eastAsia="仿宋_GB2312"/>
          <w:sz w:val="32"/>
          <w:szCs w:val="32"/>
        </w:rPr>
        <w:t>，实际完成值：2</w:t>
      </w:r>
      <w:r>
        <w:rPr>
          <w:rFonts w:hint="eastAsia" w:eastAsia="仿宋_GB2312"/>
          <w:sz w:val="32"/>
          <w:szCs w:val="32"/>
        </w:rPr>
        <w:t>次</w:t>
      </w:r>
      <w:r>
        <w:rPr>
          <w:rFonts w:eastAsia="仿宋_GB2312"/>
          <w:sz w:val="32"/>
          <w:szCs w:val="32"/>
        </w:rPr>
        <w:t>，指标完成率100%，偏差率0%。</w:t>
      </w:r>
    </w:p>
    <w:p w14:paraId="31D04BC3">
      <w:pPr>
        <w:spacing w:line="600" w:lineRule="exact"/>
        <w:ind w:firstLine="640" w:firstLineChars="200"/>
        <w:rPr>
          <w:rFonts w:eastAsia="仿宋_GB2312"/>
          <w:sz w:val="32"/>
          <w:szCs w:val="32"/>
        </w:rPr>
      </w:pPr>
      <w:r>
        <w:rPr>
          <w:rFonts w:eastAsia="仿宋_GB2312"/>
          <w:sz w:val="32"/>
          <w:szCs w:val="32"/>
        </w:rPr>
        <w:t>指标5：上报社情民意信息数量，指标值：&gt;=20</w:t>
      </w:r>
      <w:r>
        <w:rPr>
          <w:rFonts w:hint="eastAsia" w:eastAsia="仿宋_GB2312"/>
          <w:sz w:val="32"/>
          <w:szCs w:val="32"/>
        </w:rPr>
        <w:t>件</w:t>
      </w:r>
      <w:r>
        <w:rPr>
          <w:rFonts w:eastAsia="仿宋_GB2312"/>
          <w:sz w:val="32"/>
          <w:szCs w:val="32"/>
        </w:rPr>
        <w:t>，实际完成值：20</w:t>
      </w:r>
      <w:r>
        <w:rPr>
          <w:rFonts w:hint="eastAsia" w:eastAsia="仿宋_GB2312"/>
          <w:sz w:val="32"/>
          <w:szCs w:val="32"/>
        </w:rPr>
        <w:t>件</w:t>
      </w:r>
      <w:r>
        <w:rPr>
          <w:rFonts w:eastAsia="仿宋_GB2312"/>
          <w:sz w:val="32"/>
          <w:szCs w:val="32"/>
        </w:rPr>
        <w:t>，指标完成率100%，偏差率0%。</w:t>
      </w:r>
    </w:p>
    <w:p w14:paraId="14D7AC1B">
      <w:pPr>
        <w:spacing w:line="600" w:lineRule="exact"/>
        <w:ind w:firstLine="640" w:firstLineChars="200"/>
        <w:rPr>
          <w:rFonts w:eastAsia="仿宋_GB2312"/>
          <w:sz w:val="32"/>
          <w:szCs w:val="32"/>
        </w:rPr>
      </w:pPr>
      <w:r>
        <w:rPr>
          <w:rFonts w:eastAsia="仿宋_GB2312"/>
          <w:sz w:val="32"/>
          <w:szCs w:val="32"/>
        </w:rPr>
        <w:t>指标6：聘用人员工资、社保人次，指标值：&gt;=</w:t>
      </w:r>
      <w:r>
        <w:rPr>
          <w:rFonts w:hint="eastAsia" w:eastAsia="仿宋_GB2312"/>
          <w:sz w:val="32"/>
          <w:szCs w:val="32"/>
        </w:rPr>
        <w:t>2</w:t>
      </w:r>
      <w:r>
        <w:rPr>
          <w:rFonts w:eastAsia="仿宋_GB2312"/>
          <w:sz w:val="32"/>
          <w:szCs w:val="32"/>
        </w:rPr>
        <w:t>4</w:t>
      </w:r>
      <w:r>
        <w:rPr>
          <w:rFonts w:hint="eastAsia" w:eastAsia="仿宋_GB2312"/>
          <w:sz w:val="32"/>
          <w:szCs w:val="32"/>
        </w:rPr>
        <w:t>人</w:t>
      </w:r>
      <w:r>
        <w:rPr>
          <w:rFonts w:eastAsia="仿宋_GB2312"/>
          <w:sz w:val="32"/>
          <w:szCs w:val="32"/>
        </w:rPr>
        <w:t>次，实际完成值：</w:t>
      </w:r>
      <w:r>
        <w:rPr>
          <w:rFonts w:hint="eastAsia" w:eastAsia="仿宋_GB2312"/>
          <w:sz w:val="32"/>
          <w:szCs w:val="32"/>
        </w:rPr>
        <w:t>2</w:t>
      </w:r>
      <w:r>
        <w:rPr>
          <w:rFonts w:eastAsia="仿宋_GB2312"/>
          <w:sz w:val="32"/>
          <w:szCs w:val="32"/>
        </w:rPr>
        <w:t>4</w:t>
      </w:r>
      <w:r>
        <w:rPr>
          <w:rFonts w:hint="eastAsia" w:eastAsia="仿宋_GB2312"/>
          <w:sz w:val="32"/>
          <w:szCs w:val="32"/>
        </w:rPr>
        <w:t>人</w:t>
      </w:r>
      <w:r>
        <w:rPr>
          <w:rFonts w:eastAsia="仿宋_GB2312"/>
          <w:sz w:val="32"/>
          <w:szCs w:val="32"/>
        </w:rPr>
        <w:t>次，指标完成率100%，偏差率0%。</w:t>
      </w:r>
    </w:p>
    <w:p w14:paraId="0F16DF31">
      <w:pPr>
        <w:spacing w:line="600" w:lineRule="exact"/>
        <w:ind w:firstLine="640" w:firstLineChars="200"/>
        <w:rPr>
          <w:rFonts w:eastAsia="仿宋_GB2312"/>
          <w:sz w:val="32"/>
          <w:szCs w:val="32"/>
        </w:rPr>
      </w:pPr>
      <w:r>
        <w:rPr>
          <w:rFonts w:eastAsia="仿宋_GB2312"/>
          <w:sz w:val="32"/>
          <w:szCs w:val="32"/>
        </w:rPr>
        <w:fldChar w:fldCharType="begin"/>
      </w:r>
      <w:r>
        <w:rPr>
          <w:rFonts w:eastAsia="仿宋_GB2312"/>
          <w:sz w:val="32"/>
          <w:szCs w:val="32"/>
        </w:rPr>
        <w:instrText xml:space="preserve"> = 2 \* GB3 </w:instrText>
      </w:r>
      <w:r>
        <w:rPr>
          <w:rFonts w:eastAsia="仿宋_GB2312"/>
          <w:sz w:val="32"/>
          <w:szCs w:val="32"/>
        </w:rPr>
        <w:fldChar w:fldCharType="separate"/>
      </w:r>
      <w:r>
        <w:rPr>
          <w:rFonts w:eastAsia="仿宋_GB2312"/>
          <w:sz w:val="32"/>
          <w:szCs w:val="32"/>
        </w:rPr>
        <w:t>②</w:t>
      </w:r>
      <w:r>
        <w:rPr>
          <w:rFonts w:eastAsia="仿宋_GB2312"/>
          <w:sz w:val="32"/>
          <w:szCs w:val="32"/>
        </w:rPr>
        <w:fldChar w:fldCharType="end"/>
      </w:r>
      <w:r>
        <w:rPr>
          <w:rFonts w:eastAsia="仿宋_GB2312"/>
          <w:sz w:val="32"/>
          <w:szCs w:val="32"/>
        </w:rPr>
        <w:t>质量指标：</w:t>
      </w:r>
    </w:p>
    <w:p w14:paraId="779072DE">
      <w:pPr>
        <w:spacing w:line="600" w:lineRule="exact"/>
        <w:ind w:firstLine="640" w:firstLineChars="200"/>
        <w:rPr>
          <w:rFonts w:eastAsia="仿宋_GB2312"/>
          <w:sz w:val="32"/>
          <w:szCs w:val="32"/>
        </w:rPr>
      </w:pPr>
      <w:r>
        <w:rPr>
          <w:rFonts w:eastAsia="仿宋_GB2312"/>
          <w:sz w:val="32"/>
          <w:szCs w:val="32"/>
        </w:rPr>
        <w:t>指标1：</w:t>
      </w:r>
      <w:r>
        <w:rPr>
          <w:rFonts w:hint="eastAsia" w:eastAsia="仿宋_GB2312"/>
          <w:sz w:val="32"/>
          <w:szCs w:val="32"/>
        </w:rPr>
        <w:t>期刊印刷完成率</w:t>
      </w:r>
      <w:r>
        <w:rPr>
          <w:rFonts w:eastAsia="仿宋_GB2312"/>
          <w:sz w:val="32"/>
          <w:szCs w:val="32"/>
        </w:rPr>
        <w:t>，指标值：&gt;=</w:t>
      </w:r>
      <w:r>
        <w:rPr>
          <w:rFonts w:hint="eastAsia" w:eastAsia="仿宋_GB2312"/>
          <w:sz w:val="32"/>
          <w:szCs w:val="32"/>
        </w:rPr>
        <w:t>9</w:t>
      </w:r>
      <w:r>
        <w:rPr>
          <w:rFonts w:eastAsia="仿宋_GB2312"/>
          <w:sz w:val="32"/>
          <w:szCs w:val="32"/>
        </w:rPr>
        <w:t>0%，实际完成值：</w:t>
      </w:r>
      <w:r>
        <w:rPr>
          <w:rFonts w:hint="eastAsia" w:eastAsia="仿宋_GB2312"/>
          <w:sz w:val="32"/>
          <w:szCs w:val="32"/>
        </w:rPr>
        <w:t>9</w:t>
      </w:r>
      <w:r>
        <w:rPr>
          <w:rFonts w:eastAsia="仿宋_GB2312"/>
          <w:sz w:val="32"/>
          <w:szCs w:val="32"/>
        </w:rPr>
        <w:t>0%，指标完成率100%，偏差率0%。</w:t>
      </w:r>
    </w:p>
    <w:p w14:paraId="5D2D8CB8">
      <w:pPr>
        <w:spacing w:line="600" w:lineRule="exact"/>
        <w:ind w:firstLine="640" w:firstLineChars="200"/>
        <w:rPr>
          <w:rFonts w:eastAsia="仿宋_GB2312"/>
          <w:sz w:val="32"/>
          <w:szCs w:val="32"/>
        </w:rPr>
      </w:pPr>
      <w:r>
        <w:rPr>
          <w:rFonts w:eastAsia="仿宋_GB2312"/>
          <w:sz w:val="32"/>
          <w:szCs w:val="32"/>
        </w:rPr>
        <w:t>指标2：</w:t>
      </w:r>
      <w:r>
        <w:rPr>
          <w:rFonts w:hint="eastAsia" w:eastAsia="仿宋_GB2312"/>
          <w:sz w:val="32"/>
          <w:szCs w:val="32"/>
        </w:rPr>
        <w:t>提案立案合格率</w:t>
      </w:r>
      <w:r>
        <w:rPr>
          <w:rFonts w:eastAsia="仿宋_GB2312"/>
          <w:sz w:val="32"/>
          <w:szCs w:val="32"/>
        </w:rPr>
        <w:t>，指标值：&gt;=90%，实际完成值：90%，指标完成率100%，偏差率0%。</w:t>
      </w:r>
    </w:p>
    <w:p w14:paraId="489A19B3">
      <w:pPr>
        <w:spacing w:line="600" w:lineRule="exact"/>
        <w:ind w:firstLine="640" w:firstLineChars="200"/>
        <w:rPr>
          <w:rFonts w:eastAsia="仿宋_GB2312"/>
          <w:sz w:val="32"/>
          <w:szCs w:val="32"/>
        </w:rPr>
      </w:pPr>
      <w:r>
        <w:rPr>
          <w:rFonts w:eastAsia="仿宋_GB2312"/>
          <w:sz w:val="32"/>
          <w:szCs w:val="32"/>
        </w:rPr>
        <w:fldChar w:fldCharType="begin"/>
      </w:r>
      <w:r>
        <w:rPr>
          <w:rFonts w:eastAsia="仿宋_GB2312"/>
          <w:sz w:val="32"/>
          <w:szCs w:val="32"/>
        </w:rPr>
        <w:instrText xml:space="preserve"> = 3 \* GB3 </w:instrText>
      </w:r>
      <w:r>
        <w:rPr>
          <w:rFonts w:eastAsia="仿宋_GB2312"/>
          <w:sz w:val="32"/>
          <w:szCs w:val="32"/>
        </w:rPr>
        <w:fldChar w:fldCharType="separate"/>
      </w:r>
      <w:r>
        <w:rPr>
          <w:rFonts w:eastAsia="仿宋_GB2312"/>
          <w:sz w:val="32"/>
          <w:szCs w:val="32"/>
        </w:rPr>
        <w:t>③</w:t>
      </w:r>
      <w:r>
        <w:rPr>
          <w:rFonts w:eastAsia="仿宋_GB2312"/>
          <w:sz w:val="32"/>
          <w:szCs w:val="32"/>
        </w:rPr>
        <w:fldChar w:fldCharType="end"/>
      </w:r>
      <w:r>
        <w:rPr>
          <w:rFonts w:eastAsia="仿宋_GB2312"/>
          <w:sz w:val="32"/>
          <w:szCs w:val="32"/>
        </w:rPr>
        <w:t>时效指标：</w:t>
      </w:r>
    </w:p>
    <w:p w14:paraId="5CF2731B">
      <w:pPr>
        <w:spacing w:line="600" w:lineRule="exact"/>
        <w:ind w:firstLine="640" w:firstLineChars="200"/>
        <w:rPr>
          <w:rFonts w:eastAsia="仿宋_GB2312"/>
          <w:sz w:val="32"/>
          <w:szCs w:val="32"/>
        </w:rPr>
      </w:pPr>
      <w:r>
        <w:rPr>
          <w:rFonts w:eastAsia="仿宋_GB2312"/>
          <w:sz w:val="32"/>
          <w:szCs w:val="32"/>
        </w:rPr>
        <w:t>指标1：</w:t>
      </w:r>
      <w:r>
        <w:rPr>
          <w:rFonts w:hint="eastAsia" w:eastAsia="仿宋_GB2312"/>
          <w:sz w:val="32"/>
          <w:szCs w:val="32"/>
        </w:rPr>
        <w:t>聘用人员经费支出及时率</w:t>
      </w:r>
      <w:r>
        <w:rPr>
          <w:rFonts w:eastAsia="仿宋_GB2312"/>
          <w:sz w:val="32"/>
          <w:szCs w:val="32"/>
        </w:rPr>
        <w:t>，指标值：&gt;=9</w:t>
      </w:r>
      <w:r>
        <w:rPr>
          <w:rFonts w:hint="eastAsia" w:eastAsia="仿宋_GB2312"/>
          <w:sz w:val="32"/>
          <w:szCs w:val="32"/>
        </w:rPr>
        <w:t>5</w:t>
      </w:r>
      <w:r>
        <w:rPr>
          <w:rFonts w:eastAsia="仿宋_GB2312"/>
          <w:sz w:val="32"/>
          <w:szCs w:val="32"/>
        </w:rPr>
        <w:t>%，实际完成值：9</w:t>
      </w:r>
      <w:r>
        <w:rPr>
          <w:rFonts w:hint="eastAsia" w:eastAsia="仿宋_GB2312"/>
          <w:sz w:val="32"/>
          <w:szCs w:val="32"/>
        </w:rPr>
        <w:t>5</w:t>
      </w:r>
      <w:r>
        <w:rPr>
          <w:rFonts w:eastAsia="仿宋_GB2312"/>
          <w:sz w:val="32"/>
          <w:szCs w:val="32"/>
        </w:rPr>
        <w:t>%，指标完成率100%，偏差率0%。</w:t>
      </w:r>
    </w:p>
    <w:p w14:paraId="37E7C76F">
      <w:pPr>
        <w:spacing w:line="600" w:lineRule="exact"/>
        <w:ind w:firstLine="640" w:firstLineChars="200"/>
        <w:rPr>
          <w:rFonts w:eastAsia="仿宋_GB2312"/>
          <w:sz w:val="32"/>
          <w:szCs w:val="32"/>
        </w:rPr>
      </w:pPr>
      <w:r>
        <w:rPr>
          <w:rFonts w:eastAsia="仿宋_GB2312"/>
          <w:sz w:val="32"/>
          <w:szCs w:val="32"/>
        </w:rPr>
        <w:t>指标2：</w:t>
      </w:r>
      <w:r>
        <w:rPr>
          <w:rFonts w:hint="eastAsia" w:eastAsia="仿宋_GB2312"/>
          <w:sz w:val="32"/>
          <w:szCs w:val="32"/>
        </w:rPr>
        <w:t>调研课题完成及时率</w:t>
      </w:r>
      <w:r>
        <w:rPr>
          <w:rFonts w:eastAsia="仿宋_GB2312"/>
          <w:sz w:val="32"/>
          <w:szCs w:val="32"/>
        </w:rPr>
        <w:t>，指标值：&gt;=9</w:t>
      </w:r>
      <w:r>
        <w:rPr>
          <w:rFonts w:hint="eastAsia" w:eastAsia="仿宋_GB2312"/>
          <w:sz w:val="32"/>
          <w:szCs w:val="32"/>
        </w:rPr>
        <w:t>5</w:t>
      </w:r>
      <w:r>
        <w:rPr>
          <w:rFonts w:eastAsia="仿宋_GB2312"/>
          <w:sz w:val="32"/>
          <w:szCs w:val="32"/>
        </w:rPr>
        <w:t>%，实际完成值：9</w:t>
      </w:r>
      <w:r>
        <w:rPr>
          <w:rFonts w:hint="eastAsia" w:eastAsia="仿宋_GB2312"/>
          <w:sz w:val="32"/>
          <w:szCs w:val="32"/>
        </w:rPr>
        <w:t>5</w:t>
      </w:r>
      <w:r>
        <w:rPr>
          <w:rFonts w:eastAsia="仿宋_GB2312"/>
          <w:sz w:val="32"/>
          <w:szCs w:val="32"/>
        </w:rPr>
        <w:t>%，指标完成率100%，偏差率0%。</w:t>
      </w:r>
    </w:p>
    <w:p w14:paraId="246EBF7D">
      <w:pPr>
        <w:spacing w:line="600" w:lineRule="exact"/>
        <w:ind w:firstLine="640" w:firstLineChars="200"/>
        <w:rPr>
          <w:rFonts w:eastAsia="仿宋_GB2312"/>
          <w:sz w:val="32"/>
          <w:szCs w:val="32"/>
        </w:rPr>
      </w:pPr>
      <w:r>
        <w:rPr>
          <w:rFonts w:eastAsia="仿宋_GB2312"/>
          <w:sz w:val="32"/>
          <w:szCs w:val="32"/>
        </w:rPr>
        <w:fldChar w:fldCharType="begin"/>
      </w:r>
      <w:r>
        <w:rPr>
          <w:rFonts w:eastAsia="仿宋_GB2312"/>
          <w:sz w:val="32"/>
          <w:szCs w:val="32"/>
        </w:rPr>
        <w:instrText xml:space="preserve"> = 4 \* GB3 </w:instrText>
      </w:r>
      <w:r>
        <w:rPr>
          <w:rFonts w:eastAsia="仿宋_GB2312"/>
          <w:sz w:val="32"/>
          <w:szCs w:val="32"/>
        </w:rPr>
        <w:fldChar w:fldCharType="separate"/>
      </w:r>
      <w:r>
        <w:rPr>
          <w:rFonts w:eastAsia="仿宋_GB2312"/>
          <w:sz w:val="32"/>
          <w:szCs w:val="32"/>
        </w:rPr>
        <w:t>④</w:t>
      </w:r>
      <w:r>
        <w:rPr>
          <w:rFonts w:eastAsia="仿宋_GB2312"/>
          <w:sz w:val="32"/>
          <w:szCs w:val="32"/>
        </w:rPr>
        <w:fldChar w:fldCharType="end"/>
      </w:r>
      <w:r>
        <w:rPr>
          <w:rFonts w:eastAsia="仿宋_GB2312"/>
          <w:sz w:val="32"/>
          <w:szCs w:val="32"/>
        </w:rPr>
        <w:t>成本指标：</w:t>
      </w:r>
    </w:p>
    <w:p w14:paraId="52D83DAD">
      <w:pPr>
        <w:spacing w:line="600" w:lineRule="exact"/>
        <w:ind w:firstLine="640" w:firstLineChars="200"/>
        <w:rPr>
          <w:rFonts w:eastAsia="仿宋_GB2312"/>
          <w:sz w:val="32"/>
          <w:szCs w:val="32"/>
        </w:rPr>
      </w:pPr>
      <w:r>
        <w:rPr>
          <w:rFonts w:eastAsia="仿宋_GB2312"/>
          <w:sz w:val="32"/>
          <w:szCs w:val="32"/>
        </w:rPr>
        <w:t>指标1：</w:t>
      </w:r>
      <w:r>
        <w:rPr>
          <w:rFonts w:hint="eastAsia" w:eastAsia="仿宋_GB2312"/>
          <w:sz w:val="32"/>
          <w:szCs w:val="32"/>
        </w:rPr>
        <w:t>开展疆内外调研及民主监督差旅费</w:t>
      </w:r>
      <w:r>
        <w:rPr>
          <w:rFonts w:eastAsia="仿宋_GB2312"/>
          <w:sz w:val="32"/>
          <w:szCs w:val="32"/>
        </w:rPr>
        <w:t>，指标值：&lt;=</w:t>
      </w:r>
      <w:r>
        <w:rPr>
          <w:rFonts w:hint="eastAsia" w:eastAsia="仿宋_GB2312"/>
          <w:sz w:val="32"/>
          <w:szCs w:val="32"/>
        </w:rPr>
        <w:t>6</w:t>
      </w:r>
      <w:r>
        <w:rPr>
          <w:rFonts w:eastAsia="仿宋_GB2312"/>
          <w:sz w:val="32"/>
          <w:szCs w:val="32"/>
        </w:rPr>
        <w:t>万元，实际完成值：</w:t>
      </w:r>
      <w:r>
        <w:rPr>
          <w:rFonts w:hint="eastAsia" w:eastAsia="仿宋_GB2312"/>
          <w:sz w:val="32"/>
          <w:szCs w:val="32"/>
        </w:rPr>
        <w:t>6</w:t>
      </w:r>
      <w:r>
        <w:rPr>
          <w:rFonts w:eastAsia="仿宋_GB2312"/>
          <w:sz w:val="32"/>
          <w:szCs w:val="32"/>
        </w:rPr>
        <w:t>万元，指标完成率</w:t>
      </w:r>
      <w:r>
        <w:rPr>
          <w:rFonts w:hint="eastAsia" w:eastAsia="仿宋_GB2312"/>
          <w:sz w:val="32"/>
          <w:szCs w:val="32"/>
        </w:rPr>
        <w:t>100</w:t>
      </w:r>
      <w:r>
        <w:rPr>
          <w:rFonts w:eastAsia="仿宋_GB2312"/>
          <w:sz w:val="32"/>
          <w:szCs w:val="32"/>
        </w:rPr>
        <w:t>%，偏差率</w:t>
      </w:r>
      <w:r>
        <w:rPr>
          <w:rFonts w:hint="eastAsia" w:eastAsia="仿宋_GB2312"/>
          <w:sz w:val="32"/>
          <w:szCs w:val="32"/>
        </w:rPr>
        <w:t>0</w:t>
      </w:r>
      <w:r>
        <w:rPr>
          <w:rFonts w:eastAsia="仿宋_GB2312"/>
          <w:sz w:val="32"/>
          <w:szCs w:val="32"/>
        </w:rPr>
        <w:t>%</w:t>
      </w:r>
    </w:p>
    <w:p w14:paraId="22BE1563">
      <w:pPr>
        <w:spacing w:line="600" w:lineRule="exact"/>
        <w:ind w:firstLine="640" w:firstLineChars="200"/>
        <w:rPr>
          <w:rFonts w:eastAsia="仿宋_GB2312"/>
          <w:sz w:val="32"/>
          <w:szCs w:val="32"/>
        </w:rPr>
      </w:pPr>
      <w:r>
        <w:rPr>
          <w:rFonts w:eastAsia="仿宋_GB2312"/>
          <w:sz w:val="32"/>
          <w:szCs w:val="32"/>
        </w:rPr>
        <w:t>指标2：</w:t>
      </w:r>
      <w:r>
        <w:rPr>
          <w:rFonts w:hint="eastAsia" w:eastAsia="仿宋_GB2312"/>
          <w:sz w:val="32"/>
          <w:szCs w:val="32"/>
        </w:rPr>
        <w:t>办公设备购置费</w:t>
      </w:r>
      <w:r>
        <w:rPr>
          <w:rFonts w:eastAsia="仿宋_GB2312"/>
          <w:sz w:val="32"/>
          <w:szCs w:val="32"/>
        </w:rPr>
        <w:t>，指标值：&lt;=</w:t>
      </w:r>
      <w:r>
        <w:rPr>
          <w:rFonts w:hint="eastAsia" w:eastAsia="仿宋_GB2312"/>
          <w:sz w:val="32"/>
          <w:szCs w:val="32"/>
        </w:rPr>
        <w:t>4.8</w:t>
      </w:r>
      <w:r>
        <w:rPr>
          <w:rFonts w:eastAsia="仿宋_GB2312"/>
          <w:sz w:val="32"/>
          <w:szCs w:val="32"/>
        </w:rPr>
        <w:t>万元，实际完成值：</w:t>
      </w:r>
      <w:r>
        <w:rPr>
          <w:rFonts w:hint="eastAsia" w:eastAsia="仿宋_GB2312"/>
          <w:sz w:val="32"/>
          <w:szCs w:val="32"/>
        </w:rPr>
        <w:t>4.8</w:t>
      </w:r>
      <w:r>
        <w:rPr>
          <w:rFonts w:eastAsia="仿宋_GB2312"/>
          <w:sz w:val="32"/>
          <w:szCs w:val="32"/>
        </w:rPr>
        <w:t>万元，指标完成率</w:t>
      </w:r>
      <w:r>
        <w:rPr>
          <w:rFonts w:hint="eastAsia" w:eastAsia="仿宋_GB2312"/>
          <w:sz w:val="32"/>
          <w:szCs w:val="32"/>
        </w:rPr>
        <w:t>100</w:t>
      </w:r>
      <w:r>
        <w:rPr>
          <w:rFonts w:eastAsia="仿宋_GB2312"/>
          <w:sz w:val="32"/>
          <w:szCs w:val="32"/>
        </w:rPr>
        <w:t>%，偏差率</w:t>
      </w:r>
      <w:r>
        <w:rPr>
          <w:rFonts w:hint="eastAsia" w:eastAsia="仿宋_GB2312"/>
          <w:sz w:val="32"/>
          <w:szCs w:val="32"/>
        </w:rPr>
        <w:t>0</w:t>
      </w:r>
      <w:r>
        <w:rPr>
          <w:rFonts w:eastAsia="仿宋_GB2312"/>
          <w:sz w:val="32"/>
          <w:szCs w:val="32"/>
        </w:rPr>
        <w:t>%。</w:t>
      </w:r>
    </w:p>
    <w:p w14:paraId="592634F0">
      <w:pPr>
        <w:spacing w:line="600" w:lineRule="exact"/>
        <w:ind w:firstLine="640" w:firstLineChars="200"/>
        <w:rPr>
          <w:rFonts w:eastAsia="仿宋_GB2312"/>
          <w:sz w:val="32"/>
          <w:szCs w:val="32"/>
        </w:rPr>
      </w:pPr>
      <w:r>
        <w:rPr>
          <w:rFonts w:eastAsia="仿宋_GB2312"/>
          <w:sz w:val="32"/>
          <w:szCs w:val="32"/>
        </w:rPr>
        <w:t>指标3：</w:t>
      </w:r>
      <w:r>
        <w:rPr>
          <w:rFonts w:hint="eastAsia" w:eastAsia="仿宋_GB2312"/>
          <w:sz w:val="32"/>
          <w:szCs w:val="32"/>
        </w:rPr>
        <w:t>刊物印刷</w:t>
      </w:r>
      <w:r>
        <w:rPr>
          <w:rFonts w:eastAsia="仿宋_GB2312"/>
          <w:sz w:val="32"/>
          <w:szCs w:val="32"/>
        </w:rPr>
        <w:t>费用，指标值：&lt;=</w:t>
      </w:r>
      <w:r>
        <w:rPr>
          <w:rFonts w:hint="eastAsia" w:eastAsia="仿宋_GB2312"/>
          <w:sz w:val="32"/>
          <w:szCs w:val="32"/>
        </w:rPr>
        <w:t>2</w:t>
      </w:r>
      <w:r>
        <w:rPr>
          <w:rFonts w:eastAsia="仿宋_GB2312"/>
          <w:sz w:val="32"/>
          <w:szCs w:val="32"/>
        </w:rPr>
        <w:t>万元，实际完成值：</w:t>
      </w:r>
      <w:r>
        <w:rPr>
          <w:rFonts w:hint="eastAsia" w:eastAsia="仿宋_GB2312"/>
          <w:sz w:val="32"/>
          <w:szCs w:val="32"/>
        </w:rPr>
        <w:t>2万元</w:t>
      </w:r>
      <w:r>
        <w:rPr>
          <w:rFonts w:eastAsia="仿宋_GB2312"/>
          <w:sz w:val="32"/>
          <w:szCs w:val="32"/>
        </w:rPr>
        <w:t>，指标完成率</w:t>
      </w:r>
      <w:r>
        <w:rPr>
          <w:rFonts w:hint="eastAsia" w:eastAsia="仿宋_GB2312"/>
          <w:sz w:val="32"/>
          <w:szCs w:val="32"/>
        </w:rPr>
        <w:t>10</w:t>
      </w:r>
      <w:r>
        <w:rPr>
          <w:rFonts w:eastAsia="仿宋_GB2312"/>
          <w:sz w:val="32"/>
          <w:szCs w:val="32"/>
        </w:rPr>
        <w:t>0%，偏差率</w:t>
      </w:r>
      <w:r>
        <w:rPr>
          <w:rFonts w:hint="eastAsia" w:eastAsia="仿宋_GB2312"/>
          <w:sz w:val="32"/>
          <w:szCs w:val="32"/>
        </w:rPr>
        <w:t>0</w:t>
      </w:r>
      <w:r>
        <w:rPr>
          <w:rFonts w:eastAsia="仿宋_GB2312"/>
          <w:sz w:val="32"/>
          <w:szCs w:val="32"/>
        </w:rPr>
        <w:t>%。</w:t>
      </w:r>
    </w:p>
    <w:p w14:paraId="5CE9ECEE">
      <w:pPr>
        <w:spacing w:line="600" w:lineRule="exact"/>
        <w:ind w:firstLine="640" w:firstLineChars="200"/>
        <w:rPr>
          <w:rFonts w:eastAsia="仿宋_GB2312"/>
          <w:sz w:val="32"/>
          <w:szCs w:val="32"/>
        </w:rPr>
      </w:pPr>
      <w:r>
        <w:rPr>
          <w:rFonts w:eastAsia="仿宋_GB2312"/>
          <w:sz w:val="32"/>
          <w:szCs w:val="32"/>
        </w:rPr>
        <w:t>指标4：聘用人员工资</w:t>
      </w:r>
      <w:r>
        <w:rPr>
          <w:rFonts w:hint="eastAsia" w:eastAsia="仿宋_GB2312"/>
          <w:sz w:val="32"/>
          <w:szCs w:val="32"/>
        </w:rPr>
        <w:t>及</w:t>
      </w:r>
      <w:r>
        <w:rPr>
          <w:rFonts w:eastAsia="仿宋_GB2312"/>
          <w:sz w:val="32"/>
          <w:szCs w:val="32"/>
        </w:rPr>
        <w:t>社保</w:t>
      </w:r>
      <w:r>
        <w:rPr>
          <w:rFonts w:hint="eastAsia" w:eastAsia="仿宋_GB2312"/>
          <w:sz w:val="32"/>
          <w:szCs w:val="32"/>
        </w:rPr>
        <w:t>金额</w:t>
      </w:r>
      <w:r>
        <w:rPr>
          <w:rFonts w:eastAsia="仿宋_GB2312"/>
          <w:sz w:val="32"/>
          <w:szCs w:val="32"/>
        </w:rPr>
        <w:t>，指标值：&lt;=</w:t>
      </w:r>
      <w:r>
        <w:rPr>
          <w:rFonts w:hint="eastAsia" w:eastAsia="仿宋_GB2312"/>
          <w:sz w:val="32"/>
          <w:szCs w:val="32"/>
        </w:rPr>
        <w:t>13</w:t>
      </w:r>
      <w:r>
        <w:rPr>
          <w:rFonts w:eastAsia="仿宋_GB2312"/>
          <w:sz w:val="32"/>
          <w:szCs w:val="32"/>
        </w:rPr>
        <w:t>万元，实际完成值：</w:t>
      </w:r>
      <w:r>
        <w:rPr>
          <w:rFonts w:hint="eastAsia" w:eastAsia="仿宋_GB2312"/>
          <w:sz w:val="32"/>
          <w:szCs w:val="32"/>
        </w:rPr>
        <w:t>13</w:t>
      </w:r>
      <w:r>
        <w:rPr>
          <w:rFonts w:eastAsia="仿宋_GB2312"/>
          <w:sz w:val="32"/>
          <w:szCs w:val="32"/>
        </w:rPr>
        <w:t xml:space="preserve">万元，指标完成率100%，偏差率0%。  </w:t>
      </w:r>
    </w:p>
    <w:p w14:paraId="08751810">
      <w:pPr>
        <w:pStyle w:val="11"/>
        <w:numPr>
          <w:ilvl w:val="0"/>
          <w:numId w:val="5"/>
        </w:numPr>
        <w:spacing w:line="600" w:lineRule="exact"/>
        <w:ind w:firstLine="640"/>
        <w:rPr>
          <w:rFonts w:ascii="楷体" w:hAnsi="楷体" w:eastAsia="楷体"/>
          <w:bCs/>
          <w:sz w:val="32"/>
          <w:szCs w:val="32"/>
        </w:rPr>
      </w:pPr>
      <w:r>
        <w:rPr>
          <w:rFonts w:ascii="楷体" w:hAnsi="楷体" w:eastAsia="楷体"/>
          <w:bCs/>
          <w:sz w:val="32"/>
          <w:szCs w:val="32"/>
        </w:rPr>
        <w:t>项目效益情况</w:t>
      </w:r>
    </w:p>
    <w:p w14:paraId="04E94B46">
      <w:pPr>
        <w:spacing w:line="600" w:lineRule="exact"/>
        <w:ind w:firstLine="640" w:firstLineChars="200"/>
        <w:rPr>
          <w:rFonts w:eastAsia="仿宋_GB2312"/>
          <w:sz w:val="32"/>
          <w:szCs w:val="32"/>
        </w:rPr>
      </w:pPr>
      <w:r>
        <w:rPr>
          <w:rFonts w:eastAsia="仿宋_GB2312"/>
          <w:sz w:val="32"/>
          <w:szCs w:val="32"/>
        </w:rPr>
        <w:t>项目效益类指标包括项目实施效益和满意度两方面的内容，由</w:t>
      </w:r>
      <w:r>
        <w:rPr>
          <w:rFonts w:hint="eastAsia" w:eastAsia="仿宋_GB2312"/>
          <w:sz w:val="32"/>
          <w:szCs w:val="32"/>
        </w:rPr>
        <w:t>2</w:t>
      </w:r>
      <w:r>
        <w:rPr>
          <w:rFonts w:eastAsia="仿宋_GB2312"/>
          <w:sz w:val="32"/>
          <w:szCs w:val="32"/>
        </w:rPr>
        <w:t>个三级指标构成，权重分为20分，实际得分20分，得分率为100%。具体效益指标及满意度指标完成情况如下：</w:t>
      </w:r>
    </w:p>
    <w:p w14:paraId="25052703">
      <w:pPr>
        <w:spacing w:line="600" w:lineRule="exact"/>
        <w:ind w:firstLine="640" w:firstLineChars="200"/>
        <w:rPr>
          <w:rFonts w:eastAsia="仿宋_GB2312"/>
          <w:sz w:val="32"/>
          <w:szCs w:val="32"/>
        </w:rPr>
      </w:pPr>
      <w:r>
        <w:rPr>
          <w:rFonts w:eastAsia="仿宋_GB2312"/>
          <w:sz w:val="32"/>
          <w:szCs w:val="32"/>
        </w:rPr>
        <w:t>1.实施效益</w:t>
      </w:r>
    </w:p>
    <w:p w14:paraId="12F85071">
      <w:pPr>
        <w:spacing w:line="600" w:lineRule="exact"/>
        <w:ind w:firstLine="640" w:firstLineChars="200"/>
        <w:rPr>
          <w:rFonts w:eastAsia="仿宋_GB2312"/>
          <w:sz w:val="32"/>
          <w:szCs w:val="32"/>
        </w:rPr>
      </w:pPr>
      <w:r>
        <w:rPr>
          <w:rFonts w:hint="eastAsia" w:ascii="宋体" w:hAnsi="宋体" w:cs="宋体"/>
          <w:sz w:val="32"/>
          <w:szCs w:val="32"/>
        </w:rPr>
        <w:t>①</w:t>
      </w:r>
      <w:r>
        <w:rPr>
          <w:rFonts w:eastAsia="仿宋_GB2312"/>
          <w:sz w:val="32"/>
          <w:szCs w:val="32"/>
        </w:rPr>
        <w:t>社会效益指标：</w:t>
      </w:r>
    </w:p>
    <w:p w14:paraId="778861E4">
      <w:pPr>
        <w:spacing w:line="600" w:lineRule="exact"/>
        <w:ind w:firstLine="640" w:firstLineChars="200"/>
        <w:rPr>
          <w:rFonts w:eastAsia="仿宋_GB2312"/>
          <w:sz w:val="32"/>
          <w:szCs w:val="32"/>
        </w:rPr>
      </w:pPr>
      <w:r>
        <w:rPr>
          <w:rFonts w:eastAsia="仿宋_GB2312"/>
          <w:sz w:val="32"/>
          <w:szCs w:val="32"/>
        </w:rPr>
        <w:t>指标1：</w:t>
      </w:r>
      <w:r>
        <w:rPr>
          <w:rFonts w:hint="eastAsia" w:eastAsia="仿宋_GB2312"/>
          <w:sz w:val="32"/>
          <w:szCs w:val="32"/>
        </w:rPr>
        <w:t>提交的提案和社情民意信息</w:t>
      </w:r>
      <w:r>
        <w:rPr>
          <w:rFonts w:eastAsia="仿宋_GB2312"/>
          <w:sz w:val="32"/>
          <w:szCs w:val="32"/>
        </w:rPr>
        <w:t>被采纳率，指标值：&gt;=80%，实际完成值：80%，指标完成率100%，偏差率0%。</w:t>
      </w:r>
    </w:p>
    <w:p w14:paraId="3A946CF7">
      <w:pPr>
        <w:spacing w:line="600" w:lineRule="exact"/>
        <w:ind w:firstLine="640" w:firstLineChars="200"/>
        <w:rPr>
          <w:rFonts w:eastAsia="仿宋_GB2312"/>
          <w:sz w:val="32"/>
          <w:szCs w:val="32"/>
        </w:rPr>
      </w:pPr>
      <w:r>
        <w:rPr>
          <w:rFonts w:eastAsia="仿宋_GB2312"/>
          <w:sz w:val="32"/>
          <w:szCs w:val="32"/>
        </w:rPr>
        <w:t>2.满意度</w:t>
      </w:r>
    </w:p>
    <w:p w14:paraId="4D2801C8">
      <w:pPr>
        <w:spacing w:line="600" w:lineRule="exact"/>
        <w:ind w:firstLine="640" w:firstLineChars="200"/>
        <w:rPr>
          <w:rFonts w:eastAsia="仿宋_GB2312"/>
          <w:sz w:val="32"/>
          <w:szCs w:val="32"/>
        </w:rPr>
      </w:pPr>
      <w:r>
        <w:rPr>
          <w:rFonts w:eastAsia="仿宋_GB2312"/>
          <w:sz w:val="32"/>
          <w:szCs w:val="32"/>
        </w:rPr>
        <w:t>满意度指标1：</w:t>
      </w:r>
      <w:r>
        <w:rPr>
          <w:rFonts w:hint="eastAsia" w:eastAsia="仿宋_GB2312"/>
          <w:sz w:val="32"/>
          <w:szCs w:val="32"/>
        </w:rPr>
        <w:t>民进</w:t>
      </w:r>
      <w:r>
        <w:rPr>
          <w:rFonts w:eastAsia="仿宋_GB2312"/>
          <w:sz w:val="32"/>
          <w:szCs w:val="32"/>
        </w:rPr>
        <w:t>会员满意度，指标值：&gt;=</w:t>
      </w:r>
      <w:r>
        <w:rPr>
          <w:rFonts w:hint="eastAsia" w:eastAsia="仿宋_GB2312"/>
          <w:sz w:val="32"/>
          <w:szCs w:val="32"/>
        </w:rPr>
        <w:t>9</w:t>
      </w:r>
      <w:r>
        <w:rPr>
          <w:rFonts w:eastAsia="仿宋_GB2312"/>
          <w:sz w:val="32"/>
          <w:szCs w:val="32"/>
        </w:rPr>
        <w:t>0%，实际完成值：</w:t>
      </w:r>
      <w:r>
        <w:rPr>
          <w:rFonts w:hint="eastAsia" w:eastAsia="仿宋_GB2312"/>
          <w:sz w:val="32"/>
          <w:szCs w:val="32"/>
        </w:rPr>
        <w:t>9</w:t>
      </w:r>
      <w:r>
        <w:rPr>
          <w:rFonts w:eastAsia="仿宋_GB2312"/>
          <w:sz w:val="32"/>
          <w:szCs w:val="32"/>
        </w:rPr>
        <w:t>0%，指标完成率100%，偏差率0%。</w:t>
      </w:r>
    </w:p>
    <w:p w14:paraId="2426ACE8">
      <w:pPr>
        <w:spacing w:line="600" w:lineRule="exact"/>
        <w:ind w:firstLine="640" w:firstLineChars="200"/>
        <w:rPr>
          <w:rStyle w:val="17"/>
          <w:rFonts w:ascii="Times New Roman" w:hAnsi="Times New Roman" w:cs="Times New Roman"/>
          <w:color w:val="auto"/>
        </w:rPr>
      </w:pPr>
      <w:r>
        <w:rPr>
          <w:rFonts w:hint="eastAsia" w:eastAsia="黑体"/>
          <w:sz w:val="32"/>
          <w:szCs w:val="32"/>
        </w:rPr>
        <w:t>五</w:t>
      </w:r>
      <w:r>
        <w:rPr>
          <w:rFonts w:eastAsia="黑体"/>
          <w:sz w:val="32"/>
          <w:szCs w:val="32"/>
        </w:rPr>
        <w:t>、主要经验及做法、存在的问题及原因分析</w:t>
      </w:r>
    </w:p>
    <w:p w14:paraId="26191131">
      <w:pPr>
        <w:spacing w:line="600" w:lineRule="exact"/>
        <w:ind w:firstLine="624" w:firstLineChars="200"/>
        <w:rPr>
          <w:rFonts w:eastAsia="楷体"/>
          <w:spacing w:val="-4"/>
          <w:sz w:val="32"/>
          <w:szCs w:val="32"/>
        </w:rPr>
      </w:pPr>
      <w:r>
        <w:rPr>
          <w:rFonts w:hint="eastAsia" w:eastAsia="楷体"/>
          <w:spacing w:val="-4"/>
          <w:sz w:val="32"/>
          <w:szCs w:val="32"/>
        </w:rPr>
        <w:t>（一）主要经验及做法。</w:t>
      </w:r>
    </w:p>
    <w:p w14:paraId="0F1FB77D">
      <w:pPr>
        <w:spacing w:line="600" w:lineRule="exact"/>
        <w:ind w:firstLine="640" w:firstLineChars="200"/>
        <w:rPr>
          <w:rFonts w:eastAsia="仿宋_GB2312"/>
          <w:sz w:val="32"/>
          <w:szCs w:val="32"/>
        </w:rPr>
      </w:pPr>
      <w:r>
        <w:rPr>
          <w:rFonts w:hint="eastAsia" w:eastAsia="仿宋_GB2312"/>
          <w:sz w:val="32"/>
          <w:szCs w:val="32"/>
        </w:rPr>
        <w:t>1、强化组织领导，明确职责分配。为确保民进新疆区委会参政议政工作的顺利开展，成立了以主任委员为组长、副主任委员为副组长的民进新疆区委会预算绩效领导小组，负责领导、统筹、协调参政议政调研工作。组长负责项目整体的指导、协调和监督，副组长负责资金使用的检查监督。</w:t>
      </w:r>
    </w:p>
    <w:p w14:paraId="00ECFEC5">
      <w:pPr>
        <w:spacing w:line="600" w:lineRule="exact"/>
        <w:ind w:firstLine="640" w:firstLineChars="200"/>
        <w:rPr>
          <w:rFonts w:eastAsia="仿宋_GB2312"/>
          <w:sz w:val="32"/>
          <w:szCs w:val="32"/>
        </w:rPr>
      </w:pPr>
      <w:r>
        <w:rPr>
          <w:rFonts w:hint="eastAsia" w:eastAsia="仿宋_GB2312"/>
          <w:sz w:val="32"/>
          <w:szCs w:val="32"/>
        </w:rPr>
        <w:t>2、合理安排使用资金，严抓专项资金的规范使用为保证资金的安全、合理、高效使用，制定了《专项调研经费管理办法》，指定专人从事绩效管理工作，区委会统筹管理项目经费并严格按照单位财务制度和预算支出范围使用，项目资金受自治区财政部门的监管，严格实行专款专用。</w:t>
      </w:r>
    </w:p>
    <w:p w14:paraId="04091614">
      <w:pPr>
        <w:spacing w:line="600" w:lineRule="exact"/>
        <w:ind w:firstLine="624" w:firstLineChars="200"/>
        <w:rPr>
          <w:rFonts w:eastAsia="楷体"/>
          <w:spacing w:val="-4"/>
          <w:sz w:val="32"/>
          <w:szCs w:val="32"/>
        </w:rPr>
      </w:pPr>
      <w:r>
        <w:rPr>
          <w:rFonts w:hint="eastAsia" w:eastAsia="楷体"/>
          <w:spacing w:val="-4"/>
          <w:sz w:val="32"/>
          <w:szCs w:val="32"/>
        </w:rPr>
        <w:t>（二）存在的问题及原因分析。</w:t>
      </w:r>
    </w:p>
    <w:p w14:paraId="5133B0DF">
      <w:pPr>
        <w:spacing w:line="600" w:lineRule="exact"/>
        <w:ind w:firstLine="640" w:firstLineChars="200"/>
        <w:rPr>
          <w:rFonts w:eastAsia="仿宋_GB2312"/>
          <w:sz w:val="32"/>
          <w:szCs w:val="32"/>
        </w:rPr>
      </w:pPr>
      <w:r>
        <w:rPr>
          <w:rFonts w:hint="eastAsia" w:eastAsia="仿宋_GB2312"/>
          <w:sz w:val="32"/>
          <w:szCs w:val="32"/>
        </w:rPr>
        <w:t>项目预算的资金使用进度应与项目分阶段目标相匹配。从项目总体看，项目预算与目标是匹配的，但从项目分阶段来看，本项目分阶段目标和预算资金使用进度匹配程度需进一步加强。</w:t>
      </w:r>
    </w:p>
    <w:p w14:paraId="733DE224">
      <w:pPr>
        <w:spacing w:line="600" w:lineRule="exact"/>
        <w:ind w:firstLine="640" w:firstLineChars="200"/>
        <w:rPr>
          <w:rFonts w:eastAsia="黑体"/>
          <w:sz w:val="32"/>
          <w:szCs w:val="32"/>
        </w:rPr>
      </w:pPr>
      <w:r>
        <w:rPr>
          <w:rFonts w:hint="eastAsia" w:eastAsia="黑体"/>
          <w:sz w:val="32"/>
          <w:szCs w:val="32"/>
        </w:rPr>
        <w:t>六</w:t>
      </w:r>
      <w:r>
        <w:rPr>
          <w:rFonts w:eastAsia="黑体"/>
          <w:sz w:val="32"/>
          <w:szCs w:val="32"/>
        </w:rPr>
        <w:t>、有关建议</w:t>
      </w:r>
    </w:p>
    <w:p w14:paraId="497B671F">
      <w:pPr>
        <w:spacing w:line="600" w:lineRule="exact"/>
        <w:ind w:firstLine="640" w:firstLineChars="200"/>
        <w:rPr>
          <w:rFonts w:eastAsia="仿宋_GB2312"/>
          <w:sz w:val="32"/>
          <w:szCs w:val="32"/>
        </w:rPr>
      </w:pPr>
      <w:r>
        <w:rPr>
          <w:rFonts w:eastAsia="仿宋_GB2312"/>
          <w:sz w:val="32"/>
          <w:szCs w:val="32"/>
        </w:rPr>
        <w:t>1.多进行有关绩效管理工作方面的培训。积极组织第三方开展绩效管理工作培训，进一步夯实业务基础，提高我单位绩效人员水平。</w:t>
      </w:r>
    </w:p>
    <w:p w14:paraId="62890A35">
      <w:pPr>
        <w:spacing w:line="600" w:lineRule="exact"/>
        <w:ind w:firstLine="640" w:firstLineChars="200"/>
        <w:rPr>
          <w:rFonts w:eastAsia="仿宋_GB2312"/>
          <w:sz w:val="32"/>
          <w:szCs w:val="32"/>
        </w:rPr>
      </w:pPr>
      <w:r>
        <w:rPr>
          <w:rFonts w:eastAsia="仿宋_GB2312"/>
          <w:sz w:val="32"/>
          <w:szCs w:val="32"/>
        </w:rPr>
        <w:t>2.专门设定对绩效工作人员定职、定岗、定责等相关制度措施，进一步提升我单位绩效管理工作业务水平，扎实做好绩效管理工作。</w:t>
      </w:r>
    </w:p>
    <w:p w14:paraId="66688074">
      <w:pPr>
        <w:spacing w:line="600" w:lineRule="exact"/>
        <w:ind w:firstLine="640" w:firstLineChars="200"/>
        <w:rPr>
          <w:rFonts w:eastAsia="仿宋_GB2312"/>
          <w:sz w:val="32"/>
          <w:szCs w:val="32"/>
        </w:rPr>
      </w:pPr>
      <w:r>
        <w:rPr>
          <w:rFonts w:eastAsia="仿宋_GB2312"/>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5DAD1615">
      <w:pPr>
        <w:spacing w:line="600" w:lineRule="exact"/>
        <w:ind w:firstLine="640" w:firstLineChars="200"/>
        <w:rPr>
          <w:sz w:val="22"/>
          <w:szCs w:val="28"/>
        </w:rPr>
      </w:pPr>
      <w:r>
        <w:rPr>
          <w:rFonts w:eastAsia="仿宋_GB2312"/>
          <w:sz w:val="32"/>
          <w:szCs w:val="32"/>
        </w:rPr>
        <w:t>4.进一步完善项目评价过程中有关数据和资料的收集、整理、审核及分析。项目启动时同步做好档案的归纳与整理，及时整理、收集、汇总，健全档案资料。项目后续管理有待进一步加强和跟踪</w:t>
      </w:r>
      <w:r>
        <w:rPr>
          <w:rFonts w:eastAsia="仿宋_GB2312"/>
          <w:sz w:val="36"/>
          <w:szCs w:val="32"/>
        </w:rPr>
        <w:t>。</w:t>
      </w:r>
    </w:p>
    <w:p w14:paraId="79498F7B">
      <w:pPr>
        <w:spacing w:line="600" w:lineRule="exact"/>
        <w:ind w:firstLine="640" w:firstLineChars="200"/>
        <w:rPr>
          <w:rFonts w:eastAsia="黑体"/>
          <w:sz w:val="32"/>
          <w:szCs w:val="32"/>
        </w:rPr>
      </w:pPr>
      <w:r>
        <w:rPr>
          <w:rFonts w:hint="eastAsia" w:eastAsia="黑体"/>
          <w:sz w:val="32"/>
          <w:szCs w:val="32"/>
        </w:rPr>
        <w:t>七</w:t>
      </w:r>
      <w:r>
        <w:rPr>
          <w:rFonts w:eastAsia="黑体"/>
          <w:sz w:val="32"/>
          <w:szCs w:val="32"/>
        </w:rPr>
        <w:t>、其他需要说</w:t>
      </w:r>
      <w:bookmarkStart w:id="6" w:name="page8"/>
      <w:bookmarkEnd w:id="6"/>
      <w:r>
        <w:rPr>
          <w:rFonts w:eastAsia="黑体"/>
          <w:sz w:val="32"/>
          <w:szCs w:val="32"/>
        </w:rPr>
        <w:t>明的问题</w:t>
      </w:r>
    </w:p>
    <w:p w14:paraId="553936C6">
      <w:pPr>
        <w:spacing w:line="600" w:lineRule="exact"/>
        <w:ind w:firstLine="640" w:firstLineChars="200"/>
        <w:rPr>
          <w:rFonts w:eastAsia="仿宋_GB2312"/>
          <w:sz w:val="32"/>
          <w:szCs w:val="32"/>
        </w:rPr>
        <w:sectPr>
          <w:footerReference r:id="rId5" w:type="default"/>
          <w:pgSz w:w="11906" w:h="16838"/>
          <w:pgMar w:top="1531" w:right="1474" w:bottom="1985" w:left="1531" w:header="851" w:footer="992" w:gutter="0"/>
          <w:cols w:space="425" w:num="1"/>
          <w:docGrid w:type="lines" w:linePitch="312" w:charSpace="0"/>
        </w:sectPr>
      </w:pPr>
      <w:r>
        <w:rPr>
          <w:rFonts w:eastAsia="仿宋_GB2312"/>
          <w:sz w:val="32"/>
          <w:szCs w:val="32"/>
        </w:rPr>
        <w:t>本项目无其他需说明的问题。</w:t>
      </w:r>
    </w:p>
    <w:tbl>
      <w:tblPr>
        <w:tblStyle w:val="13"/>
        <w:tblW w:w="14509" w:type="dxa"/>
        <w:jc w:val="center"/>
        <w:tblLayout w:type="fixed"/>
        <w:tblCellMar>
          <w:top w:w="0" w:type="dxa"/>
          <w:left w:w="108" w:type="dxa"/>
          <w:bottom w:w="0" w:type="dxa"/>
          <w:right w:w="108" w:type="dxa"/>
        </w:tblCellMar>
      </w:tblPr>
      <w:tblGrid>
        <w:gridCol w:w="454"/>
        <w:gridCol w:w="905"/>
        <w:gridCol w:w="941"/>
        <w:gridCol w:w="2004"/>
        <w:gridCol w:w="582"/>
        <w:gridCol w:w="1091"/>
        <w:gridCol w:w="872"/>
        <w:gridCol w:w="750"/>
        <w:gridCol w:w="1010"/>
        <w:gridCol w:w="963"/>
        <w:gridCol w:w="177"/>
        <w:gridCol w:w="873"/>
        <w:gridCol w:w="218"/>
        <w:gridCol w:w="1050"/>
        <w:gridCol w:w="423"/>
        <w:gridCol w:w="973"/>
        <w:gridCol w:w="1223"/>
      </w:tblGrid>
      <w:tr w14:paraId="5FAFFE52">
        <w:tblPrEx>
          <w:tblCellMar>
            <w:top w:w="0" w:type="dxa"/>
            <w:left w:w="108" w:type="dxa"/>
            <w:bottom w:w="0" w:type="dxa"/>
            <w:right w:w="108" w:type="dxa"/>
          </w:tblCellMar>
        </w:tblPrEx>
        <w:trPr>
          <w:trHeight w:val="405" w:hRule="atLeast"/>
          <w:jc w:val="center"/>
        </w:trPr>
        <w:tc>
          <w:tcPr>
            <w:tcW w:w="14509" w:type="dxa"/>
            <w:gridSpan w:val="17"/>
            <w:tcBorders>
              <w:top w:val="nil"/>
              <w:left w:val="nil"/>
              <w:bottom w:val="nil"/>
              <w:right w:val="nil"/>
            </w:tcBorders>
            <w:shd w:val="clear" w:color="auto" w:fill="auto"/>
            <w:vAlign w:val="center"/>
          </w:tcPr>
          <w:p w14:paraId="21AF83B9">
            <w:pPr>
              <w:widowControl/>
              <w:jc w:val="center"/>
              <w:rPr>
                <w:rFonts w:ascii="宋体" w:hAnsi="宋体" w:cs="宋体"/>
                <w:b/>
                <w:bCs/>
                <w:color w:val="000000"/>
                <w:kern w:val="0"/>
                <w:sz w:val="32"/>
                <w:szCs w:val="32"/>
              </w:rPr>
            </w:pPr>
            <w:r>
              <w:rPr>
                <w:rFonts w:hint="eastAsia" w:ascii="宋体" w:hAnsi="宋体" w:cs="宋体"/>
                <w:b/>
                <w:bCs/>
                <w:color w:val="000000"/>
                <w:kern w:val="0"/>
                <w:sz w:val="32"/>
                <w:szCs w:val="32"/>
              </w:rPr>
              <w:t>项目支出绩效自评表</w:t>
            </w:r>
          </w:p>
        </w:tc>
      </w:tr>
      <w:tr w14:paraId="15092EBE">
        <w:tblPrEx>
          <w:tblCellMar>
            <w:top w:w="0" w:type="dxa"/>
            <w:left w:w="108" w:type="dxa"/>
            <w:bottom w:w="0" w:type="dxa"/>
            <w:right w:w="108" w:type="dxa"/>
          </w:tblCellMar>
        </w:tblPrEx>
        <w:trPr>
          <w:trHeight w:val="379" w:hRule="atLeast"/>
          <w:jc w:val="center"/>
        </w:trPr>
        <w:tc>
          <w:tcPr>
            <w:tcW w:w="14509" w:type="dxa"/>
            <w:gridSpan w:val="17"/>
            <w:tcBorders>
              <w:top w:val="single" w:color="auto" w:sz="4" w:space="0"/>
              <w:left w:val="single" w:color="auto" w:sz="4" w:space="0"/>
              <w:bottom w:val="single" w:color="auto" w:sz="4" w:space="0"/>
              <w:right w:val="single" w:color="auto" w:sz="4" w:space="0"/>
            </w:tcBorders>
            <w:shd w:val="clear" w:color="auto" w:fill="auto"/>
            <w:vAlign w:val="center"/>
          </w:tcPr>
          <w:p w14:paraId="6509B9E5">
            <w:pPr>
              <w:widowControl/>
              <w:jc w:val="center"/>
              <w:rPr>
                <w:rFonts w:ascii="宋体" w:hAnsi="宋体" w:cs="宋体"/>
                <w:color w:val="000000"/>
                <w:kern w:val="0"/>
                <w:sz w:val="22"/>
                <w:szCs w:val="22"/>
              </w:rPr>
            </w:pPr>
            <w:r>
              <w:rPr>
                <w:rFonts w:hint="eastAsia" w:ascii="宋体" w:hAnsi="宋体" w:cs="宋体"/>
                <w:color w:val="000000"/>
                <w:kern w:val="0"/>
                <w:sz w:val="22"/>
                <w:szCs w:val="22"/>
              </w:rPr>
              <w:t>(2023年度)</w:t>
            </w:r>
          </w:p>
        </w:tc>
      </w:tr>
      <w:tr w14:paraId="2C975EF7">
        <w:tblPrEx>
          <w:tblCellMar>
            <w:top w:w="0" w:type="dxa"/>
            <w:left w:w="108" w:type="dxa"/>
            <w:bottom w:w="0" w:type="dxa"/>
            <w:right w:w="108" w:type="dxa"/>
          </w:tblCellMar>
        </w:tblPrEx>
        <w:trPr>
          <w:trHeight w:val="379" w:hRule="atLeast"/>
          <w:jc w:val="center"/>
        </w:trPr>
        <w:tc>
          <w:tcPr>
            <w:tcW w:w="135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D9F800">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13150" w:type="dxa"/>
            <w:gridSpan w:val="15"/>
            <w:tcBorders>
              <w:top w:val="single" w:color="auto" w:sz="4" w:space="0"/>
              <w:left w:val="nil"/>
              <w:bottom w:val="single" w:color="auto" w:sz="4" w:space="0"/>
              <w:right w:val="single" w:color="auto" w:sz="4" w:space="0"/>
            </w:tcBorders>
            <w:shd w:val="clear" w:color="auto" w:fill="auto"/>
            <w:vAlign w:val="center"/>
          </w:tcPr>
          <w:p w14:paraId="6CD52B8E">
            <w:pPr>
              <w:widowControl/>
              <w:jc w:val="center"/>
              <w:rPr>
                <w:rFonts w:ascii="宋体" w:hAnsi="宋体" w:cs="宋体"/>
                <w:color w:val="000000"/>
                <w:kern w:val="0"/>
                <w:sz w:val="18"/>
                <w:szCs w:val="18"/>
              </w:rPr>
            </w:pPr>
            <w:r>
              <w:rPr>
                <w:rFonts w:hint="eastAsia" w:ascii="宋体" w:hAnsi="宋体" w:cs="宋体"/>
                <w:color w:val="000000"/>
                <w:kern w:val="0"/>
                <w:sz w:val="18"/>
                <w:szCs w:val="18"/>
              </w:rPr>
              <w:t>参政议政专项业务费</w:t>
            </w:r>
          </w:p>
        </w:tc>
      </w:tr>
      <w:tr w14:paraId="1176EAAD">
        <w:tblPrEx>
          <w:tblCellMar>
            <w:top w:w="0" w:type="dxa"/>
            <w:left w:w="108" w:type="dxa"/>
            <w:bottom w:w="0" w:type="dxa"/>
            <w:right w:w="108" w:type="dxa"/>
          </w:tblCellMar>
        </w:tblPrEx>
        <w:trPr>
          <w:trHeight w:val="379" w:hRule="atLeast"/>
          <w:jc w:val="center"/>
        </w:trPr>
        <w:tc>
          <w:tcPr>
            <w:tcW w:w="135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F8D2B0">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5490" w:type="dxa"/>
            <w:gridSpan w:val="5"/>
            <w:tcBorders>
              <w:top w:val="single" w:color="auto" w:sz="4" w:space="0"/>
              <w:left w:val="nil"/>
              <w:bottom w:val="single" w:color="auto" w:sz="4" w:space="0"/>
              <w:right w:val="single" w:color="auto" w:sz="4" w:space="0"/>
            </w:tcBorders>
            <w:shd w:val="clear" w:color="auto" w:fill="auto"/>
            <w:vAlign w:val="center"/>
          </w:tcPr>
          <w:p w14:paraId="21ECBD5C">
            <w:pPr>
              <w:widowControl/>
              <w:jc w:val="center"/>
              <w:rPr>
                <w:rFonts w:ascii="宋体" w:hAnsi="宋体" w:cs="宋体"/>
                <w:color w:val="000000"/>
                <w:kern w:val="0"/>
                <w:sz w:val="18"/>
                <w:szCs w:val="18"/>
              </w:rPr>
            </w:pPr>
            <w:r>
              <w:rPr>
                <w:rFonts w:hint="eastAsia" w:ascii="宋体" w:hAnsi="宋体" w:cs="宋体"/>
                <w:color w:val="000000"/>
                <w:kern w:val="0"/>
                <w:sz w:val="18"/>
                <w:szCs w:val="18"/>
              </w:rPr>
              <w:t>中国民主促进会新疆维吾尔自治区委员会</w:t>
            </w:r>
          </w:p>
        </w:tc>
        <w:tc>
          <w:tcPr>
            <w:tcW w:w="1760" w:type="dxa"/>
            <w:gridSpan w:val="2"/>
            <w:tcBorders>
              <w:top w:val="single" w:color="auto" w:sz="4" w:space="0"/>
              <w:left w:val="nil"/>
              <w:bottom w:val="single" w:color="auto" w:sz="4" w:space="0"/>
              <w:right w:val="single" w:color="auto" w:sz="4" w:space="0"/>
            </w:tcBorders>
            <w:shd w:val="clear" w:color="auto" w:fill="auto"/>
            <w:vAlign w:val="center"/>
          </w:tcPr>
          <w:p w14:paraId="45F0AE64">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5900" w:type="dxa"/>
            <w:gridSpan w:val="8"/>
            <w:tcBorders>
              <w:top w:val="single" w:color="auto" w:sz="4" w:space="0"/>
              <w:left w:val="nil"/>
              <w:bottom w:val="single" w:color="auto" w:sz="4" w:space="0"/>
              <w:right w:val="single" w:color="auto" w:sz="4" w:space="0"/>
            </w:tcBorders>
            <w:shd w:val="clear" w:color="auto" w:fill="auto"/>
            <w:vAlign w:val="center"/>
          </w:tcPr>
          <w:p w14:paraId="4E52F2D7">
            <w:pPr>
              <w:widowControl/>
              <w:jc w:val="center"/>
              <w:rPr>
                <w:rFonts w:ascii="宋体" w:hAnsi="宋体" w:cs="宋体"/>
                <w:color w:val="000000"/>
                <w:kern w:val="0"/>
                <w:sz w:val="18"/>
                <w:szCs w:val="18"/>
              </w:rPr>
            </w:pPr>
            <w:r>
              <w:rPr>
                <w:rFonts w:hint="eastAsia" w:ascii="宋体" w:hAnsi="宋体" w:cs="宋体"/>
                <w:color w:val="000000"/>
                <w:kern w:val="0"/>
                <w:sz w:val="18"/>
                <w:szCs w:val="18"/>
              </w:rPr>
              <w:t>中国民主促进会新疆维吾尔自治区委员会</w:t>
            </w:r>
          </w:p>
        </w:tc>
      </w:tr>
      <w:tr w14:paraId="2FE7C166">
        <w:tblPrEx>
          <w:tblCellMar>
            <w:top w:w="0" w:type="dxa"/>
            <w:left w:w="108" w:type="dxa"/>
            <w:bottom w:w="0" w:type="dxa"/>
            <w:right w:w="108" w:type="dxa"/>
          </w:tblCellMar>
        </w:tblPrEx>
        <w:trPr>
          <w:trHeight w:val="379" w:hRule="atLeast"/>
          <w:jc w:val="center"/>
        </w:trPr>
        <w:tc>
          <w:tcPr>
            <w:tcW w:w="135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353C7A">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项目资金</w:t>
            </w:r>
            <w:r>
              <w:rPr>
                <w:rFonts w:hint="eastAsia" w:ascii="宋体" w:hAnsi="宋体" w:cs="宋体"/>
                <w:b/>
                <w:bCs/>
                <w:color w:val="000000"/>
                <w:kern w:val="0"/>
                <w:sz w:val="18"/>
                <w:szCs w:val="18"/>
              </w:rPr>
              <w:br w:type="textWrapping"/>
            </w:r>
            <w:r>
              <w:rPr>
                <w:rFonts w:hint="eastAsia" w:ascii="宋体" w:hAnsi="宋体" w:cs="宋体"/>
                <w:b/>
                <w:bCs/>
                <w:color w:val="000000"/>
                <w:kern w:val="0"/>
                <w:sz w:val="18"/>
                <w:szCs w:val="18"/>
              </w:rPr>
              <w:t>（万元）</w:t>
            </w:r>
          </w:p>
        </w:tc>
        <w:tc>
          <w:tcPr>
            <w:tcW w:w="2945" w:type="dxa"/>
            <w:gridSpan w:val="2"/>
            <w:tcBorders>
              <w:top w:val="single" w:color="auto" w:sz="4" w:space="0"/>
              <w:left w:val="nil"/>
              <w:bottom w:val="single" w:color="auto" w:sz="4" w:space="0"/>
              <w:right w:val="single" w:color="auto" w:sz="4" w:space="0"/>
            </w:tcBorders>
            <w:shd w:val="clear" w:color="auto" w:fill="auto"/>
            <w:vAlign w:val="center"/>
          </w:tcPr>
          <w:p w14:paraId="074D9C77">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　</w:t>
            </w:r>
          </w:p>
        </w:tc>
        <w:tc>
          <w:tcPr>
            <w:tcW w:w="582" w:type="dxa"/>
            <w:tcBorders>
              <w:top w:val="nil"/>
              <w:left w:val="nil"/>
              <w:bottom w:val="single" w:color="auto" w:sz="4" w:space="0"/>
              <w:right w:val="single" w:color="auto" w:sz="4" w:space="0"/>
            </w:tcBorders>
            <w:shd w:val="clear" w:color="auto" w:fill="auto"/>
            <w:vAlign w:val="center"/>
          </w:tcPr>
          <w:p w14:paraId="3E424E7D">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963" w:type="dxa"/>
            <w:gridSpan w:val="2"/>
            <w:tcBorders>
              <w:top w:val="single" w:color="auto" w:sz="4" w:space="0"/>
              <w:left w:val="nil"/>
              <w:bottom w:val="single" w:color="auto" w:sz="4" w:space="0"/>
              <w:right w:val="single" w:color="auto" w:sz="4" w:space="0"/>
            </w:tcBorders>
            <w:shd w:val="clear" w:color="auto" w:fill="auto"/>
            <w:vAlign w:val="center"/>
          </w:tcPr>
          <w:p w14:paraId="08B74D88">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760" w:type="dxa"/>
            <w:gridSpan w:val="2"/>
            <w:tcBorders>
              <w:top w:val="single" w:color="auto" w:sz="4" w:space="0"/>
              <w:left w:val="nil"/>
              <w:bottom w:val="single" w:color="auto" w:sz="4" w:space="0"/>
              <w:right w:val="single" w:color="auto" w:sz="4" w:space="0"/>
            </w:tcBorders>
            <w:shd w:val="clear" w:color="auto" w:fill="auto"/>
            <w:vAlign w:val="center"/>
          </w:tcPr>
          <w:p w14:paraId="06DD917C">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2231" w:type="dxa"/>
            <w:gridSpan w:val="4"/>
            <w:tcBorders>
              <w:top w:val="single" w:color="auto" w:sz="4" w:space="0"/>
              <w:left w:val="nil"/>
              <w:bottom w:val="single" w:color="auto" w:sz="4" w:space="0"/>
              <w:right w:val="single" w:color="auto" w:sz="4" w:space="0"/>
            </w:tcBorders>
            <w:shd w:val="clear" w:color="auto" w:fill="auto"/>
            <w:vAlign w:val="center"/>
          </w:tcPr>
          <w:p w14:paraId="18F16AA7">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2446" w:type="dxa"/>
            <w:gridSpan w:val="3"/>
            <w:tcBorders>
              <w:top w:val="single" w:color="auto" w:sz="4" w:space="0"/>
              <w:left w:val="nil"/>
              <w:bottom w:val="single" w:color="auto" w:sz="4" w:space="0"/>
              <w:right w:val="single" w:color="auto" w:sz="4" w:space="0"/>
            </w:tcBorders>
            <w:shd w:val="clear" w:color="auto" w:fill="auto"/>
            <w:vAlign w:val="center"/>
          </w:tcPr>
          <w:p w14:paraId="2B75BB61">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23" w:type="dxa"/>
            <w:tcBorders>
              <w:top w:val="nil"/>
              <w:left w:val="nil"/>
              <w:bottom w:val="single" w:color="auto" w:sz="4" w:space="0"/>
              <w:right w:val="single" w:color="auto" w:sz="4" w:space="0"/>
            </w:tcBorders>
            <w:shd w:val="clear" w:color="auto" w:fill="auto"/>
            <w:vAlign w:val="center"/>
          </w:tcPr>
          <w:p w14:paraId="06858505">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12B2220">
        <w:tblPrEx>
          <w:tblCellMar>
            <w:top w:w="0" w:type="dxa"/>
            <w:left w:w="108" w:type="dxa"/>
            <w:bottom w:w="0" w:type="dxa"/>
            <w:right w:w="108" w:type="dxa"/>
          </w:tblCellMar>
        </w:tblPrEx>
        <w:trPr>
          <w:trHeight w:val="379" w:hRule="atLeast"/>
          <w:jc w:val="center"/>
        </w:trPr>
        <w:tc>
          <w:tcPr>
            <w:tcW w:w="1359" w:type="dxa"/>
            <w:gridSpan w:val="2"/>
            <w:vMerge w:val="continue"/>
            <w:tcBorders>
              <w:top w:val="single" w:color="auto" w:sz="4" w:space="0"/>
              <w:left w:val="single" w:color="auto" w:sz="4" w:space="0"/>
              <w:bottom w:val="single" w:color="auto" w:sz="4" w:space="0"/>
              <w:right w:val="single" w:color="auto" w:sz="4" w:space="0"/>
            </w:tcBorders>
            <w:vAlign w:val="center"/>
          </w:tcPr>
          <w:p w14:paraId="2928BDF7">
            <w:pPr>
              <w:widowControl/>
              <w:jc w:val="left"/>
              <w:rPr>
                <w:rFonts w:ascii="宋体" w:hAnsi="宋体" w:cs="宋体"/>
                <w:b/>
                <w:bCs/>
                <w:color w:val="000000"/>
                <w:kern w:val="0"/>
                <w:sz w:val="18"/>
                <w:szCs w:val="18"/>
              </w:rPr>
            </w:pPr>
          </w:p>
        </w:tc>
        <w:tc>
          <w:tcPr>
            <w:tcW w:w="2945" w:type="dxa"/>
            <w:gridSpan w:val="2"/>
            <w:tcBorders>
              <w:top w:val="single" w:color="auto" w:sz="4" w:space="0"/>
              <w:left w:val="nil"/>
              <w:bottom w:val="single" w:color="auto" w:sz="4" w:space="0"/>
              <w:right w:val="single" w:color="auto" w:sz="4" w:space="0"/>
            </w:tcBorders>
            <w:shd w:val="clear" w:color="auto" w:fill="auto"/>
            <w:vAlign w:val="center"/>
          </w:tcPr>
          <w:p w14:paraId="7485CF0B">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582" w:type="dxa"/>
            <w:tcBorders>
              <w:top w:val="nil"/>
              <w:left w:val="nil"/>
              <w:bottom w:val="single" w:color="auto" w:sz="4" w:space="0"/>
              <w:right w:val="single" w:color="auto" w:sz="4" w:space="0"/>
            </w:tcBorders>
            <w:shd w:val="clear" w:color="auto" w:fill="auto"/>
            <w:vAlign w:val="center"/>
          </w:tcPr>
          <w:p w14:paraId="7AF40A60">
            <w:pPr>
              <w:widowControl/>
              <w:jc w:val="center"/>
              <w:rPr>
                <w:rFonts w:ascii="宋体" w:hAnsi="宋体" w:cs="宋体"/>
                <w:color w:val="000000"/>
                <w:kern w:val="0"/>
                <w:sz w:val="18"/>
                <w:szCs w:val="18"/>
              </w:rPr>
            </w:pPr>
            <w:r>
              <w:rPr>
                <w:rFonts w:hint="eastAsia" w:ascii="宋体" w:hAnsi="宋体" w:cs="宋体"/>
                <w:color w:val="000000"/>
                <w:kern w:val="0"/>
                <w:sz w:val="18"/>
                <w:szCs w:val="18"/>
              </w:rPr>
              <w:t>30.00</w:t>
            </w:r>
          </w:p>
        </w:tc>
        <w:tc>
          <w:tcPr>
            <w:tcW w:w="1963" w:type="dxa"/>
            <w:gridSpan w:val="2"/>
            <w:tcBorders>
              <w:top w:val="single" w:color="auto" w:sz="4" w:space="0"/>
              <w:left w:val="nil"/>
              <w:bottom w:val="single" w:color="auto" w:sz="4" w:space="0"/>
              <w:right w:val="single" w:color="auto" w:sz="4" w:space="0"/>
            </w:tcBorders>
            <w:shd w:val="clear" w:color="auto" w:fill="auto"/>
            <w:vAlign w:val="center"/>
          </w:tcPr>
          <w:p w14:paraId="2EF25746">
            <w:pPr>
              <w:widowControl/>
              <w:jc w:val="center"/>
              <w:rPr>
                <w:rFonts w:ascii="宋体" w:hAnsi="宋体" w:cs="宋体"/>
                <w:color w:val="000000"/>
                <w:kern w:val="0"/>
                <w:sz w:val="18"/>
                <w:szCs w:val="18"/>
              </w:rPr>
            </w:pPr>
            <w:r>
              <w:rPr>
                <w:rFonts w:hint="eastAsia" w:ascii="宋体" w:hAnsi="宋体" w:cs="宋体"/>
                <w:color w:val="000000"/>
                <w:kern w:val="0"/>
                <w:sz w:val="18"/>
                <w:szCs w:val="18"/>
              </w:rPr>
              <w:t>30</w:t>
            </w:r>
          </w:p>
        </w:tc>
        <w:tc>
          <w:tcPr>
            <w:tcW w:w="1760" w:type="dxa"/>
            <w:gridSpan w:val="2"/>
            <w:tcBorders>
              <w:top w:val="single" w:color="auto" w:sz="4" w:space="0"/>
              <w:left w:val="nil"/>
              <w:bottom w:val="single" w:color="auto" w:sz="4" w:space="0"/>
              <w:right w:val="single" w:color="auto" w:sz="4" w:space="0"/>
            </w:tcBorders>
            <w:shd w:val="clear" w:color="auto" w:fill="auto"/>
            <w:vAlign w:val="center"/>
          </w:tcPr>
          <w:p w14:paraId="0B6B9C7A">
            <w:pPr>
              <w:widowControl/>
              <w:jc w:val="center"/>
              <w:rPr>
                <w:rFonts w:ascii="宋体" w:hAnsi="宋体" w:cs="宋体"/>
                <w:color w:val="000000"/>
                <w:kern w:val="0"/>
                <w:sz w:val="18"/>
                <w:szCs w:val="18"/>
              </w:rPr>
            </w:pPr>
            <w:r>
              <w:rPr>
                <w:rFonts w:hint="eastAsia" w:ascii="宋体" w:hAnsi="宋体" w:cs="宋体"/>
                <w:color w:val="000000"/>
                <w:kern w:val="0"/>
                <w:sz w:val="18"/>
                <w:szCs w:val="18"/>
              </w:rPr>
              <w:t>30.00</w:t>
            </w:r>
          </w:p>
        </w:tc>
        <w:tc>
          <w:tcPr>
            <w:tcW w:w="2231" w:type="dxa"/>
            <w:gridSpan w:val="4"/>
            <w:tcBorders>
              <w:top w:val="single" w:color="auto" w:sz="4" w:space="0"/>
              <w:left w:val="nil"/>
              <w:bottom w:val="single" w:color="auto" w:sz="4" w:space="0"/>
              <w:right w:val="single" w:color="auto" w:sz="4" w:space="0"/>
            </w:tcBorders>
            <w:shd w:val="clear" w:color="auto" w:fill="auto"/>
            <w:vAlign w:val="center"/>
          </w:tcPr>
          <w:p w14:paraId="22146BF4">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2446" w:type="dxa"/>
            <w:gridSpan w:val="3"/>
            <w:tcBorders>
              <w:top w:val="single" w:color="auto" w:sz="4" w:space="0"/>
              <w:left w:val="nil"/>
              <w:bottom w:val="single" w:color="auto" w:sz="4" w:space="0"/>
              <w:right w:val="single" w:color="auto" w:sz="4" w:space="0"/>
            </w:tcBorders>
            <w:shd w:val="clear" w:color="auto" w:fill="auto"/>
            <w:vAlign w:val="center"/>
          </w:tcPr>
          <w:p w14:paraId="21A0BC17">
            <w:pPr>
              <w:widowControl/>
              <w:jc w:val="center"/>
              <w:rPr>
                <w:rFonts w:ascii="宋体" w:hAnsi="宋体" w:cs="宋体"/>
                <w:color w:val="000000"/>
                <w:kern w:val="0"/>
                <w:sz w:val="18"/>
                <w:szCs w:val="18"/>
              </w:rPr>
            </w:pPr>
            <w:r>
              <w:rPr>
                <w:rFonts w:hint="eastAsia" w:ascii="宋体" w:hAnsi="宋体" w:cs="宋体"/>
                <w:color w:val="000000"/>
                <w:kern w:val="0"/>
                <w:sz w:val="18"/>
                <w:szCs w:val="18"/>
              </w:rPr>
              <w:t>100.00%</w:t>
            </w:r>
          </w:p>
        </w:tc>
        <w:tc>
          <w:tcPr>
            <w:tcW w:w="1223" w:type="dxa"/>
            <w:tcBorders>
              <w:top w:val="nil"/>
              <w:left w:val="nil"/>
              <w:bottom w:val="single" w:color="auto" w:sz="4" w:space="0"/>
              <w:right w:val="single" w:color="auto" w:sz="4" w:space="0"/>
            </w:tcBorders>
            <w:shd w:val="clear" w:color="auto" w:fill="auto"/>
            <w:vAlign w:val="center"/>
          </w:tcPr>
          <w:p w14:paraId="3EA5679E">
            <w:pPr>
              <w:widowControl/>
              <w:jc w:val="center"/>
              <w:rPr>
                <w:rFonts w:ascii="宋体" w:hAnsi="宋体" w:cs="宋体"/>
                <w:color w:val="000000"/>
                <w:kern w:val="0"/>
                <w:sz w:val="18"/>
                <w:szCs w:val="18"/>
              </w:rPr>
            </w:pPr>
            <w:r>
              <w:rPr>
                <w:rFonts w:hint="eastAsia" w:ascii="宋体" w:hAnsi="宋体" w:cs="宋体"/>
                <w:color w:val="000000"/>
                <w:kern w:val="0"/>
                <w:sz w:val="18"/>
                <w:szCs w:val="18"/>
              </w:rPr>
              <w:t>10.00分</w:t>
            </w:r>
          </w:p>
        </w:tc>
      </w:tr>
      <w:tr w14:paraId="42445219">
        <w:tblPrEx>
          <w:tblCellMar>
            <w:top w:w="0" w:type="dxa"/>
            <w:left w:w="108" w:type="dxa"/>
            <w:bottom w:w="0" w:type="dxa"/>
            <w:right w:w="108" w:type="dxa"/>
          </w:tblCellMar>
        </w:tblPrEx>
        <w:trPr>
          <w:trHeight w:val="379" w:hRule="atLeast"/>
          <w:jc w:val="center"/>
        </w:trPr>
        <w:tc>
          <w:tcPr>
            <w:tcW w:w="1359" w:type="dxa"/>
            <w:gridSpan w:val="2"/>
            <w:vMerge w:val="continue"/>
            <w:tcBorders>
              <w:top w:val="single" w:color="auto" w:sz="4" w:space="0"/>
              <w:left w:val="single" w:color="auto" w:sz="4" w:space="0"/>
              <w:bottom w:val="single" w:color="auto" w:sz="4" w:space="0"/>
              <w:right w:val="single" w:color="auto" w:sz="4" w:space="0"/>
            </w:tcBorders>
            <w:vAlign w:val="center"/>
          </w:tcPr>
          <w:p w14:paraId="1F886F4D">
            <w:pPr>
              <w:widowControl/>
              <w:jc w:val="left"/>
              <w:rPr>
                <w:rFonts w:ascii="宋体" w:hAnsi="宋体" w:cs="宋体"/>
                <w:b/>
                <w:bCs/>
                <w:color w:val="000000"/>
                <w:kern w:val="0"/>
                <w:sz w:val="18"/>
                <w:szCs w:val="18"/>
              </w:rPr>
            </w:pPr>
          </w:p>
        </w:tc>
        <w:tc>
          <w:tcPr>
            <w:tcW w:w="2945" w:type="dxa"/>
            <w:gridSpan w:val="2"/>
            <w:tcBorders>
              <w:top w:val="single" w:color="auto" w:sz="4" w:space="0"/>
              <w:left w:val="nil"/>
              <w:bottom w:val="single" w:color="auto" w:sz="4" w:space="0"/>
              <w:right w:val="single" w:color="auto" w:sz="4" w:space="0"/>
            </w:tcBorders>
            <w:shd w:val="clear" w:color="auto" w:fill="auto"/>
            <w:vAlign w:val="center"/>
          </w:tcPr>
          <w:p w14:paraId="72BD8AE3">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582" w:type="dxa"/>
            <w:tcBorders>
              <w:top w:val="nil"/>
              <w:left w:val="nil"/>
              <w:bottom w:val="single" w:color="auto" w:sz="4" w:space="0"/>
              <w:right w:val="single" w:color="auto" w:sz="4" w:space="0"/>
            </w:tcBorders>
            <w:shd w:val="clear" w:color="auto" w:fill="auto"/>
            <w:vAlign w:val="center"/>
          </w:tcPr>
          <w:p w14:paraId="53EC5AA4">
            <w:pPr>
              <w:widowControl/>
              <w:jc w:val="center"/>
              <w:rPr>
                <w:rFonts w:ascii="宋体" w:hAnsi="宋体" w:cs="宋体"/>
                <w:color w:val="000000"/>
                <w:kern w:val="0"/>
                <w:sz w:val="18"/>
                <w:szCs w:val="18"/>
              </w:rPr>
            </w:pPr>
            <w:r>
              <w:rPr>
                <w:rFonts w:hint="eastAsia" w:ascii="宋体" w:hAnsi="宋体" w:cs="宋体"/>
                <w:color w:val="000000"/>
                <w:kern w:val="0"/>
                <w:sz w:val="18"/>
                <w:szCs w:val="18"/>
              </w:rPr>
              <w:t>30</w:t>
            </w:r>
          </w:p>
        </w:tc>
        <w:tc>
          <w:tcPr>
            <w:tcW w:w="1963" w:type="dxa"/>
            <w:gridSpan w:val="2"/>
            <w:tcBorders>
              <w:top w:val="single" w:color="auto" w:sz="4" w:space="0"/>
              <w:left w:val="nil"/>
              <w:bottom w:val="single" w:color="auto" w:sz="4" w:space="0"/>
              <w:right w:val="single" w:color="auto" w:sz="4" w:space="0"/>
            </w:tcBorders>
            <w:shd w:val="clear" w:color="auto" w:fill="auto"/>
            <w:vAlign w:val="center"/>
          </w:tcPr>
          <w:p w14:paraId="33854E7E">
            <w:pPr>
              <w:widowControl/>
              <w:jc w:val="center"/>
              <w:rPr>
                <w:rFonts w:ascii="宋体" w:hAnsi="宋体" w:cs="宋体"/>
                <w:color w:val="000000"/>
                <w:kern w:val="0"/>
                <w:sz w:val="18"/>
                <w:szCs w:val="18"/>
              </w:rPr>
            </w:pPr>
            <w:r>
              <w:rPr>
                <w:rFonts w:hint="eastAsia" w:ascii="宋体" w:hAnsi="宋体" w:cs="宋体"/>
                <w:color w:val="000000"/>
                <w:kern w:val="0"/>
                <w:sz w:val="18"/>
                <w:szCs w:val="18"/>
              </w:rPr>
              <w:t>30</w:t>
            </w:r>
          </w:p>
        </w:tc>
        <w:tc>
          <w:tcPr>
            <w:tcW w:w="1760" w:type="dxa"/>
            <w:gridSpan w:val="2"/>
            <w:tcBorders>
              <w:top w:val="single" w:color="auto" w:sz="4" w:space="0"/>
              <w:left w:val="nil"/>
              <w:bottom w:val="single" w:color="auto" w:sz="4" w:space="0"/>
              <w:right w:val="single" w:color="auto" w:sz="4" w:space="0"/>
            </w:tcBorders>
            <w:shd w:val="clear" w:color="auto" w:fill="auto"/>
            <w:vAlign w:val="center"/>
          </w:tcPr>
          <w:p w14:paraId="571D9EBE">
            <w:pPr>
              <w:widowControl/>
              <w:jc w:val="center"/>
              <w:rPr>
                <w:rFonts w:ascii="宋体" w:hAnsi="宋体" w:cs="宋体"/>
                <w:color w:val="000000"/>
                <w:kern w:val="0"/>
                <w:sz w:val="18"/>
                <w:szCs w:val="18"/>
              </w:rPr>
            </w:pPr>
            <w:r>
              <w:rPr>
                <w:rFonts w:hint="eastAsia" w:ascii="宋体" w:hAnsi="宋体" w:cs="宋体"/>
                <w:color w:val="000000"/>
                <w:kern w:val="0"/>
                <w:sz w:val="18"/>
                <w:szCs w:val="18"/>
              </w:rPr>
              <w:t>30</w:t>
            </w:r>
          </w:p>
        </w:tc>
        <w:tc>
          <w:tcPr>
            <w:tcW w:w="2231" w:type="dxa"/>
            <w:gridSpan w:val="4"/>
            <w:tcBorders>
              <w:top w:val="single" w:color="auto" w:sz="4" w:space="0"/>
              <w:left w:val="nil"/>
              <w:bottom w:val="single" w:color="auto" w:sz="4" w:space="0"/>
              <w:right w:val="single" w:color="auto" w:sz="4" w:space="0"/>
            </w:tcBorders>
            <w:shd w:val="clear" w:color="auto" w:fill="auto"/>
            <w:vAlign w:val="center"/>
          </w:tcPr>
          <w:p w14:paraId="195AD4C3">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2446" w:type="dxa"/>
            <w:gridSpan w:val="3"/>
            <w:tcBorders>
              <w:top w:val="single" w:color="auto" w:sz="4" w:space="0"/>
              <w:left w:val="nil"/>
              <w:bottom w:val="single" w:color="auto" w:sz="4" w:space="0"/>
              <w:right w:val="single" w:color="auto" w:sz="4" w:space="0"/>
            </w:tcBorders>
            <w:shd w:val="clear" w:color="auto" w:fill="auto"/>
            <w:vAlign w:val="center"/>
          </w:tcPr>
          <w:p w14:paraId="686E970F">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23" w:type="dxa"/>
            <w:tcBorders>
              <w:top w:val="nil"/>
              <w:left w:val="nil"/>
              <w:bottom w:val="single" w:color="auto" w:sz="4" w:space="0"/>
              <w:right w:val="single" w:color="auto" w:sz="4" w:space="0"/>
            </w:tcBorders>
            <w:shd w:val="clear" w:color="auto" w:fill="auto"/>
            <w:vAlign w:val="center"/>
          </w:tcPr>
          <w:p w14:paraId="638D9B96">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r>
      <w:tr w14:paraId="4E034F11">
        <w:tblPrEx>
          <w:tblCellMar>
            <w:top w:w="0" w:type="dxa"/>
            <w:left w:w="108" w:type="dxa"/>
            <w:bottom w:w="0" w:type="dxa"/>
            <w:right w:w="108" w:type="dxa"/>
          </w:tblCellMar>
        </w:tblPrEx>
        <w:trPr>
          <w:trHeight w:val="379" w:hRule="atLeast"/>
          <w:jc w:val="center"/>
        </w:trPr>
        <w:tc>
          <w:tcPr>
            <w:tcW w:w="1359" w:type="dxa"/>
            <w:gridSpan w:val="2"/>
            <w:vMerge w:val="continue"/>
            <w:tcBorders>
              <w:top w:val="single" w:color="auto" w:sz="4" w:space="0"/>
              <w:left w:val="single" w:color="auto" w:sz="4" w:space="0"/>
              <w:bottom w:val="single" w:color="auto" w:sz="4" w:space="0"/>
              <w:right w:val="single" w:color="auto" w:sz="4" w:space="0"/>
            </w:tcBorders>
            <w:vAlign w:val="center"/>
          </w:tcPr>
          <w:p w14:paraId="0327F3A7">
            <w:pPr>
              <w:widowControl/>
              <w:jc w:val="left"/>
              <w:rPr>
                <w:rFonts w:ascii="宋体" w:hAnsi="宋体" w:cs="宋体"/>
                <w:b/>
                <w:bCs/>
                <w:color w:val="000000"/>
                <w:kern w:val="0"/>
                <w:sz w:val="18"/>
                <w:szCs w:val="18"/>
              </w:rPr>
            </w:pPr>
          </w:p>
        </w:tc>
        <w:tc>
          <w:tcPr>
            <w:tcW w:w="2945" w:type="dxa"/>
            <w:gridSpan w:val="2"/>
            <w:tcBorders>
              <w:top w:val="single" w:color="auto" w:sz="4" w:space="0"/>
              <w:left w:val="nil"/>
              <w:bottom w:val="single" w:color="auto" w:sz="4" w:space="0"/>
              <w:right w:val="single" w:color="auto" w:sz="4" w:space="0"/>
            </w:tcBorders>
            <w:shd w:val="clear" w:color="auto" w:fill="auto"/>
            <w:vAlign w:val="center"/>
          </w:tcPr>
          <w:p w14:paraId="0CC8D763">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 xml:space="preserve">  其他资金</w:t>
            </w:r>
          </w:p>
        </w:tc>
        <w:tc>
          <w:tcPr>
            <w:tcW w:w="582" w:type="dxa"/>
            <w:tcBorders>
              <w:top w:val="nil"/>
              <w:left w:val="nil"/>
              <w:bottom w:val="single" w:color="auto" w:sz="4" w:space="0"/>
              <w:right w:val="single" w:color="auto" w:sz="4" w:space="0"/>
            </w:tcBorders>
            <w:shd w:val="clear" w:color="auto" w:fill="auto"/>
            <w:vAlign w:val="center"/>
          </w:tcPr>
          <w:p w14:paraId="68175F5B">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1963" w:type="dxa"/>
            <w:gridSpan w:val="2"/>
            <w:tcBorders>
              <w:top w:val="single" w:color="auto" w:sz="4" w:space="0"/>
              <w:left w:val="nil"/>
              <w:bottom w:val="single" w:color="auto" w:sz="4" w:space="0"/>
              <w:right w:val="single" w:color="auto" w:sz="4" w:space="0"/>
            </w:tcBorders>
            <w:shd w:val="clear" w:color="auto" w:fill="auto"/>
            <w:vAlign w:val="center"/>
          </w:tcPr>
          <w:p w14:paraId="0DB44ABB">
            <w:pPr>
              <w:widowControl/>
              <w:jc w:val="center"/>
              <w:rPr>
                <w:rFonts w:ascii="宋体" w:hAnsi="宋体" w:cs="宋体"/>
                <w:color w:val="000000"/>
                <w:kern w:val="0"/>
                <w:sz w:val="18"/>
                <w:szCs w:val="18"/>
              </w:rPr>
            </w:pPr>
            <w:r>
              <w:rPr>
                <w:rFonts w:hint="eastAsia" w:ascii="宋体" w:hAnsi="宋体" w:cs="宋体"/>
                <w:color w:val="000000"/>
                <w:kern w:val="0"/>
                <w:sz w:val="18"/>
                <w:szCs w:val="18"/>
              </w:rPr>
              <w:t>0</w:t>
            </w:r>
          </w:p>
        </w:tc>
        <w:tc>
          <w:tcPr>
            <w:tcW w:w="1760" w:type="dxa"/>
            <w:gridSpan w:val="2"/>
            <w:tcBorders>
              <w:top w:val="single" w:color="auto" w:sz="4" w:space="0"/>
              <w:left w:val="nil"/>
              <w:bottom w:val="single" w:color="auto" w:sz="4" w:space="0"/>
              <w:right w:val="single" w:color="auto" w:sz="4" w:space="0"/>
            </w:tcBorders>
            <w:shd w:val="clear" w:color="auto" w:fill="auto"/>
            <w:vAlign w:val="center"/>
          </w:tcPr>
          <w:p w14:paraId="10D08BB4">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2231" w:type="dxa"/>
            <w:gridSpan w:val="4"/>
            <w:tcBorders>
              <w:top w:val="single" w:color="auto" w:sz="4" w:space="0"/>
              <w:left w:val="nil"/>
              <w:bottom w:val="single" w:color="auto" w:sz="4" w:space="0"/>
              <w:right w:val="single" w:color="auto" w:sz="4" w:space="0"/>
            </w:tcBorders>
            <w:shd w:val="clear" w:color="auto" w:fill="auto"/>
            <w:vAlign w:val="center"/>
          </w:tcPr>
          <w:p w14:paraId="67F254DA">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2446" w:type="dxa"/>
            <w:gridSpan w:val="3"/>
            <w:tcBorders>
              <w:top w:val="single" w:color="auto" w:sz="4" w:space="0"/>
              <w:left w:val="nil"/>
              <w:bottom w:val="single" w:color="auto" w:sz="4" w:space="0"/>
              <w:right w:val="single" w:color="auto" w:sz="4" w:space="0"/>
            </w:tcBorders>
            <w:shd w:val="clear" w:color="auto" w:fill="auto"/>
            <w:vAlign w:val="center"/>
          </w:tcPr>
          <w:p w14:paraId="6901B401">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c>
          <w:tcPr>
            <w:tcW w:w="1223" w:type="dxa"/>
            <w:tcBorders>
              <w:top w:val="nil"/>
              <w:left w:val="nil"/>
              <w:bottom w:val="single" w:color="auto" w:sz="4" w:space="0"/>
              <w:right w:val="single" w:color="auto" w:sz="4" w:space="0"/>
            </w:tcBorders>
            <w:shd w:val="clear" w:color="auto" w:fill="auto"/>
            <w:vAlign w:val="center"/>
          </w:tcPr>
          <w:p w14:paraId="3458C2D8">
            <w:pPr>
              <w:widowControl/>
              <w:jc w:val="center"/>
              <w:rPr>
                <w:rFonts w:ascii="宋体" w:hAnsi="宋体" w:cs="宋体"/>
                <w:color w:val="000000"/>
                <w:kern w:val="0"/>
                <w:sz w:val="18"/>
                <w:szCs w:val="18"/>
              </w:rPr>
            </w:pPr>
            <w:r>
              <w:rPr>
                <w:rFonts w:hint="eastAsia" w:ascii="宋体" w:hAnsi="宋体" w:cs="宋体"/>
                <w:color w:val="000000"/>
                <w:kern w:val="0"/>
                <w:sz w:val="18"/>
                <w:szCs w:val="18"/>
              </w:rPr>
              <w:t>—</w:t>
            </w:r>
          </w:p>
        </w:tc>
      </w:tr>
      <w:tr w14:paraId="3F5F215F">
        <w:tblPrEx>
          <w:tblCellMar>
            <w:top w:w="0" w:type="dxa"/>
            <w:left w:w="108" w:type="dxa"/>
            <w:bottom w:w="0" w:type="dxa"/>
            <w:right w:w="108" w:type="dxa"/>
          </w:tblCellMar>
        </w:tblPrEx>
        <w:trPr>
          <w:trHeight w:val="379" w:hRule="atLeast"/>
          <w:jc w:val="center"/>
        </w:trPr>
        <w:tc>
          <w:tcPr>
            <w:tcW w:w="454" w:type="dxa"/>
            <w:vMerge w:val="restart"/>
            <w:tcBorders>
              <w:top w:val="nil"/>
              <w:left w:val="single" w:color="auto" w:sz="4" w:space="0"/>
              <w:bottom w:val="single" w:color="auto" w:sz="4" w:space="0"/>
              <w:right w:val="single" w:color="auto" w:sz="4" w:space="0"/>
            </w:tcBorders>
            <w:shd w:val="clear" w:color="auto" w:fill="auto"/>
            <w:vAlign w:val="center"/>
          </w:tcPr>
          <w:p w14:paraId="1753289E">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6395" w:type="dxa"/>
            <w:gridSpan w:val="6"/>
            <w:tcBorders>
              <w:top w:val="single" w:color="auto" w:sz="4" w:space="0"/>
              <w:left w:val="nil"/>
              <w:bottom w:val="single" w:color="auto" w:sz="4" w:space="0"/>
              <w:right w:val="single" w:color="auto" w:sz="4" w:space="0"/>
            </w:tcBorders>
            <w:shd w:val="clear" w:color="auto" w:fill="auto"/>
            <w:vAlign w:val="center"/>
          </w:tcPr>
          <w:p w14:paraId="3A161252">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7660" w:type="dxa"/>
            <w:gridSpan w:val="10"/>
            <w:tcBorders>
              <w:top w:val="single" w:color="auto" w:sz="4" w:space="0"/>
              <w:left w:val="nil"/>
              <w:bottom w:val="single" w:color="auto" w:sz="4" w:space="0"/>
              <w:right w:val="single" w:color="auto" w:sz="4" w:space="0"/>
            </w:tcBorders>
            <w:shd w:val="clear" w:color="auto" w:fill="auto"/>
            <w:vAlign w:val="center"/>
          </w:tcPr>
          <w:p w14:paraId="59291A26">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B411228">
        <w:tblPrEx>
          <w:tblCellMar>
            <w:top w:w="0" w:type="dxa"/>
            <w:left w:w="108" w:type="dxa"/>
            <w:bottom w:w="0" w:type="dxa"/>
            <w:right w:w="108" w:type="dxa"/>
          </w:tblCellMar>
        </w:tblPrEx>
        <w:trPr>
          <w:trHeight w:val="1815" w:hRule="atLeast"/>
          <w:jc w:val="center"/>
        </w:trPr>
        <w:tc>
          <w:tcPr>
            <w:tcW w:w="454" w:type="dxa"/>
            <w:vMerge w:val="continue"/>
            <w:tcBorders>
              <w:top w:val="nil"/>
              <w:left w:val="single" w:color="auto" w:sz="4" w:space="0"/>
              <w:bottom w:val="single" w:color="auto" w:sz="4" w:space="0"/>
              <w:right w:val="single" w:color="auto" w:sz="4" w:space="0"/>
            </w:tcBorders>
            <w:vAlign w:val="center"/>
          </w:tcPr>
          <w:p w14:paraId="780B949B">
            <w:pPr>
              <w:widowControl/>
              <w:jc w:val="left"/>
              <w:rPr>
                <w:rFonts w:ascii="宋体" w:hAnsi="宋体" w:cs="宋体"/>
                <w:b/>
                <w:bCs/>
                <w:color w:val="000000"/>
                <w:kern w:val="0"/>
                <w:sz w:val="18"/>
                <w:szCs w:val="18"/>
              </w:rPr>
            </w:pPr>
          </w:p>
        </w:tc>
        <w:tc>
          <w:tcPr>
            <w:tcW w:w="6395" w:type="dxa"/>
            <w:gridSpan w:val="6"/>
            <w:tcBorders>
              <w:top w:val="single" w:color="auto" w:sz="4" w:space="0"/>
              <w:left w:val="nil"/>
              <w:bottom w:val="single" w:color="auto" w:sz="4" w:space="0"/>
              <w:right w:val="single" w:color="auto" w:sz="4" w:space="0"/>
            </w:tcBorders>
            <w:shd w:val="clear" w:color="auto" w:fill="auto"/>
            <w:vAlign w:val="center"/>
          </w:tcPr>
          <w:p w14:paraId="19916EFB">
            <w:pPr>
              <w:widowControl/>
              <w:jc w:val="center"/>
              <w:rPr>
                <w:rFonts w:ascii="宋体" w:hAnsi="宋体" w:cs="宋体"/>
                <w:color w:val="000000"/>
                <w:kern w:val="0"/>
                <w:sz w:val="18"/>
                <w:szCs w:val="18"/>
              </w:rPr>
            </w:pPr>
            <w:r>
              <w:rPr>
                <w:rFonts w:hint="eastAsia" w:ascii="宋体" w:hAnsi="宋体" w:cs="宋体"/>
                <w:color w:val="000000"/>
                <w:kern w:val="0"/>
                <w:sz w:val="18"/>
                <w:szCs w:val="18"/>
              </w:rPr>
              <w:t>认真履行民主党派参政议政和民主监督的职能，发挥民进界别优势和民进会员的集体智慧，紧紧围绕民进中央、自治区党委和政府的中心工作，深入各地州开展调研，撰写调研报告，形成有价值的对策建议，向全国政协、民进中央和自治区政协报送高质量提案和大会发言，反映社情民意信息，为实现新疆社会稳定和长治久安总目标贡献力量。</w:t>
            </w:r>
          </w:p>
        </w:tc>
        <w:tc>
          <w:tcPr>
            <w:tcW w:w="7660" w:type="dxa"/>
            <w:gridSpan w:val="10"/>
            <w:tcBorders>
              <w:top w:val="single" w:color="auto" w:sz="4" w:space="0"/>
              <w:left w:val="nil"/>
              <w:bottom w:val="single" w:color="auto" w:sz="4" w:space="0"/>
              <w:right w:val="single" w:color="000000" w:sz="4" w:space="0"/>
            </w:tcBorders>
            <w:shd w:val="clear" w:color="auto" w:fill="auto"/>
            <w:vAlign w:val="center"/>
          </w:tcPr>
          <w:p w14:paraId="1321181A">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2023年民进新疆区委会坚持以习近平新时代中国特色社会主义思想为指导，全面贯彻落实党的二十大、民进十三大和习近平总书记听取自治区和兵团工作汇报时重要指示精神，对照“四新”“三好”总要求，完整准确贯彻新时代党的治疆方略，按照“凝心铸魂强根基、团结奋进新征程”主题教育要求，围绕民进中央“作风建设年”工作部署，深刻领悟“两个确立”的决定性意义，增强“四个意识”、坚定“四个自信”、做到“两个维护”，引领广大会员在凝聚共识中把握新方位，在建言资政中践行新使命，按照立足新发展阶段、贯彻新发展理念、构建新发展格局、推动高质量发展的要求，以能力建设支撑作用发挥，从议政建言和凝心聚力双向发力，履职尽责取得新成绩。</w:t>
            </w:r>
          </w:p>
        </w:tc>
      </w:tr>
      <w:tr w14:paraId="6693E151">
        <w:tblPrEx>
          <w:tblCellMar>
            <w:top w:w="0" w:type="dxa"/>
            <w:left w:w="108" w:type="dxa"/>
            <w:bottom w:w="0" w:type="dxa"/>
            <w:right w:w="108" w:type="dxa"/>
          </w:tblCellMar>
        </w:tblPrEx>
        <w:trPr>
          <w:trHeight w:val="312" w:hRule="atLeast"/>
          <w:jc w:val="center"/>
        </w:trPr>
        <w:tc>
          <w:tcPr>
            <w:tcW w:w="454" w:type="dxa"/>
            <w:vMerge w:val="restart"/>
            <w:tcBorders>
              <w:top w:val="nil"/>
              <w:left w:val="single" w:color="auto" w:sz="4" w:space="0"/>
              <w:bottom w:val="single" w:color="auto" w:sz="4" w:space="0"/>
              <w:right w:val="single" w:color="auto" w:sz="4" w:space="0"/>
            </w:tcBorders>
            <w:shd w:val="clear" w:color="auto" w:fill="auto"/>
            <w:vAlign w:val="center"/>
          </w:tcPr>
          <w:p w14:paraId="3560D482">
            <w:pPr>
              <w:widowControl/>
              <w:jc w:val="center"/>
              <w:rPr>
                <w:rFonts w:ascii="宋体" w:hAnsi="宋体" w:cs="宋体"/>
                <w:color w:val="000000"/>
                <w:kern w:val="0"/>
                <w:sz w:val="15"/>
                <w:szCs w:val="15"/>
              </w:rPr>
            </w:pPr>
            <w:r>
              <w:rPr>
                <w:rFonts w:hint="eastAsia" w:ascii="宋体" w:hAnsi="宋体" w:cs="宋体"/>
                <w:color w:val="000000"/>
                <w:kern w:val="0"/>
                <w:sz w:val="15"/>
                <w:szCs w:val="15"/>
              </w:rPr>
              <w:t>　</w:t>
            </w:r>
          </w:p>
        </w:tc>
        <w:tc>
          <w:tcPr>
            <w:tcW w:w="905" w:type="dxa"/>
            <w:vMerge w:val="restart"/>
            <w:tcBorders>
              <w:top w:val="nil"/>
              <w:left w:val="single" w:color="auto" w:sz="4" w:space="0"/>
              <w:bottom w:val="single" w:color="auto" w:sz="4" w:space="0"/>
              <w:right w:val="single" w:color="auto" w:sz="4" w:space="0"/>
            </w:tcBorders>
            <w:shd w:val="clear" w:color="auto" w:fill="auto"/>
            <w:vAlign w:val="center"/>
          </w:tcPr>
          <w:p w14:paraId="773AE30A">
            <w:pPr>
              <w:widowControl/>
              <w:jc w:val="center"/>
              <w:rPr>
                <w:rFonts w:ascii="宋体" w:hAnsi="宋体" w:cs="宋体"/>
                <w:b/>
                <w:bCs/>
                <w:color w:val="000000"/>
                <w:kern w:val="0"/>
                <w:sz w:val="15"/>
                <w:szCs w:val="15"/>
              </w:rPr>
            </w:pPr>
            <w:r>
              <w:rPr>
                <w:rFonts w:hint="eastAsia" w:ascii="宋体" w:hAnsi="宋体" w:cs="宋体"/>
                <w:b/>
                <w:bCs/>
                <w:color w:val="000000"/>
                <w:kern w:val="0"/>
                <w:sz w:val="15"/>
                <w:szCs w:val="15"/>
              </w:rPr>
              <w:t>一级指标</w:t>
            </w:r>
          </w:p>
        </w:tc>
        <w:tc>
          <w:tcPr>
            <w:tcW w:w="941" w:type="dxa"/>
            <w:vMerge w:val="restart"/>
            <w:tcBorders>
              <w:top w:val="nil"/>
              <w:left w:val="single" w:color="auto" w:sz="4" w:space="0"/>
              <w:bottom w:val="single" w:color="auto" w:sz="4" w:space="0"/>
              <w:right w:val="single" w:color="auto" w:sz="4" w:space="0"/>
            </w:tcBorders>
            <w:shd w:val="clear" w:color="auto" w:fill="auto"/>
            <w:vAlign w:val="center"/>
          </w:tcPr>
          <w:p w14:paraId="29E34469">
            <w:pPr>
              <w:widowControl/>
              <w:jc w:val="center"/>
              <w:rPr>
                <w:rFonts w:ascii="宋体" w:hAnsi="宋体" w:cs="宋体"/>
                <w:b/>
                <w:bCs/>
                <w:color w:val="000000"/>
                <w:kern w:val="0"/>
                <w:sz w:val="15"/>
                <w:szCs w:val="15"/>
              </w:rPr>
            </w:pPr>
            <w:r>
              <w:rPr>
                <w:rFonts w:hint="eastAsia" w:ascii="宋体" w:hAnsi="宋体" w:cs="宋体"/>
                <w:b/>
                <w:bCs/>
                <w:color w:val="000000"/>
                <w:kern w:val="0"/>
                <w:sz w:val="15"/>
                <w:szCs w:val="15"/>
              </w:rPr>
              <w:t>二级指标</w:t>
            </w:r>
          </w:p>
        </w:tc>
        <w:tc>
          <w:tcPr>
            <w:tcW w:w="2004" w:type="dxa"/>
            <w:vMerge w:val="restart"/>
            <w:tcBorders>
              <w:top w:val="nil"/>
              <w:left w:val="single" w:color="auto" w:sz="4" w:space="0"/>
              <w:bottom w:val="single" w:color="auto" w:sz="4" w:space="0"/>
              <w:right w:val="single" w:color="auto" w:sz="4" w:space="0"/>
            </w:tcBorders>
            <w:shd w:val="clear" w:color="auto" w:fill="auto"/>
            <w:vAlign w:val="center"/>
          </w:tcPr>
          <w:p w14:paraId="5955E0DB">
            <w:pPr>
              <w:widowControl/>
              <w:jc w:val="center"/>
              <w:rPr>
                <w:rFonts w:ascii="宋体" w:hAnsi="宋体" w:cs="宋体"/>
                <w:b/>
                <w:bCs/>
                <w:color w:val="000000"/>
                <w:kern w:val="0"/>
                <w:sz w:val="15"/>
                <w:szCs w:val="15"/>
              </w:rPr>
            </w:pPr>
            <w:r>
              <w:rPr>
                <w:rFonts w:hint="eastAsia" w:ascii="宋体" w:hAnsi="宋体" w:cs="宋体"/>
                <w:b/>
                <w:bCs/>
                <w:color w:val="000000"/>
                <w:kern w:val="0"/>
                <w:sz w:val="15"/>
                <w:szCs w:val="15"/>
              </w:rPr>
              <w:t>三级指标</w:t>
            </w:r>
          </w:p>
        </w:tc>
        <w:tc>
          <w:tcPr>
            <w:tcW w:w="582" w:type="dxa"/>
            <w:vMerge w:val="restart"/>
            <w:tcBorders>
              <w:top w:val="nil"/>
              <w:left w:val="single" w:color="auto" w:sz="4" w:space="0"/>
              <w:bottom w:val="single" w:color="auto" w:sz="4" w:space="0"/>
              <w:right w:val="single" w:color="auto" w:sz="4" w:space="0"/>
            </w:tcBorders>
            <w:shd w:val="clear" w:color="auto" w:fill="auto"/>
            <w:vAlign w:val="center"/>
          </w:tcPr>
          <w:p w14:paraId="468665D4">
            <w:pPr>
              <w:widowControl/>
              <w:jc w:val="center"/>
              <w:rPr>
                <w:rFonts w:ascii="宋体" w:hAnsi="宋体" w:cs="宋体"/>
                <w:b/>
                <w:bCs/>
                <w:color w:val="000000"/>
                <w:kern w:val="0"/>
                <w:sz w:val="15"/>
                <w:szCs w:val="15"/>
              </w:rPr>
            </w:pPr>
            <w:r>
              <w:rPr>
                <w:rFonts w:hint="eastAsia" w:ascii="宋体" w:hAnsi="宋体" w:cs="宋体"/>
                <w:b/>
                <w:bCs/>
                <w:color w:val="000000"/>
                <w:kern w:val="0"/>
                <w:sz w:val="15"/>
                <w:szCs w:val="15"/>
              </w:rPr>
              <w:t>权重</w:t>
            </w:r>
          </w:p>
        </w:tc>
        <w:tc>
          <w:tcPr>
            <w:tcW w:w="1091" w:type="dxa"/>
            <w:vMerge w:val="restart"/>
            <w:tcBorders>
              <w:top w:val="nil"/>
              <w:left w:val="single" w:color="auto" w:sz="4" w:space="0"/>
              <w:bottom w:val="single" w:color="auto" w:sz="4" w:space="0"/>
              <w:right w:val="single" w:color="auto" w:sz="4" w:space="0"/>
            </w:tcBorders>
            <w:shd w:val="clear" w:color="auto" w:fill="auto"/>
            <w:vAlign w:val="center"/>
          </w:tcPr>
          <w:p w14:paraId="0B5CFBC8">
            <w:pPr>
              <w:widowControl/>
              <w:jc w:val="center"/>
              <w:rPr>
                <w:rFonts w:ascii="宋体" w:hAnsi="宋体" w:cs="宋体"/>
                <w:b/>
                <w:bCs/>
                <w:color w:val="000000"/>
                <w:kern w:val="0"/>
                <w:sz w:val="15"/>
                <w:szCs w:val="15"/>
              </w:rPr>
            </w:pPr>
            <w:r>
              <w:rPr>
                <w:rFonts w:hint="eastAsia" w:ascii="宋体" w:hAnsi="宋体" w:cs="宋体"/>
                <w:b/>
                <w:bCs/>
                <w:color w:val="000000"/>
                <w:kern w:val="0"/>
                <w:sz w:val="15"/>
                <w:szCs w:val="15"/>
              </w:rPr>
              <w:t>目标值</w:t>
            </w:r>
          </w:p>
        </w:tc>
        <w:tc>
          <w:tcPr>
            <w:tcW w:w="872" w:type="dxa"/>
            <w:vMerge w:val="restart"/>
            <w:tcBorders>
              <w:top w:val="nil"/>
              <w:left w:val="single" w:color="auto" w:sz="4" w:space="0"/>
              <w:bottom w:val="single" w:color="auto" w:sz="4" w:space="0"/>
              <w:right w:val="single" w:color="auto" w:sz="4" w:space="0"/>
            </w:tcBorders>
            <w:shd w:val="clear" w:color="auto" w:fill="auto"/>
            <w:vAlign w:val="center"/>
          </w:tcPr>
          <w:p w14:paraId="277492BD">
            <w:pPr>
              <w:widowControl/>
              <w:jc w:val="center"/>
              <w:rPr>
                <w:rFonts w:ascii="宋体" w:hAnsi="宋体" w:cs="宋体"/>
                <w:b/>
                <w:bCs/>
                <w:color w:val="000000"/>
                <w:kern w:val="0"/>
                <w:sz w:val="15"/>
                <w:szCs w:val="15"/>
              </w:rPr>
            </w:pPr>
            <w:r>
              <w:rPr>
                <w:rFonts w:hint="eastAsia" w:ascii="宋体" w:hAnsi="宋体" w:cs="宋体"/>
                <w:b/>
                <w:bCs/>
                <w:color w:val="000000"/>
                <w:kern w:val="0"/>
                <w:sz w:val="15"/>
                <w:szCs w:val="15"/>
              </w:rPr>
              <w:t>业绩值</w:t>
            </w:r>
          </w:p>
        </w:tc>
        <w:tc>
          <w:tcPr>
            <w:tcW w:w="750" w:type="dxa"/>
            <w:vMerge w:val="restart"/>
            <w:tcBorders>
              <w:top w:val="nil"/>
              <w:left w:val="single" w:color="auto" w:sz="4" w:space="0"/>
              <w:bottom w:val="single" w:color="auto" w:sz="4" w:space="0"/>
              <w:right w:val="single" w:color="auto" w:sz="4" w:space="0"/>
            </w:tcBorders>
            <w:shd w:val="clear" w:color="auto" w:fill="auto"/>
            <w:vAlign w:val="center"/>
          </w:tcPr>
          <w:p w14:paraId="1EA8928A">
            <w:pPr>
              <w:widowControl/>
              <w:jc w:val="center"/>
              <w:rPr>
                <w:rFonts w:ascii="宋体" w:hAnsi="宋体" w:cs="宋体"/>
                <w:b/>
                <w:bCs/>
                <w:color w:val="000000"/>
                <w:kern w:val="0"/>
                <w:sz w:val="15"/>
                <w:szCs w:val="15"/>
              </w:rPr>
            </w:pPr>
            <w:r>
              <w:rPr>
                <w:rFonts w:hint="eastAsia" w:ascii="宋体" w:hAnsi="宋体" w:cs="宋体"/>
                <w:b/>
                <w:bCs/>
                <w:color w:val="000000"/>
                <w:kern w:val="0"/>
                <w:sz w:val="15"/>
                <w:szCs w:val="15"/>
              </w:rPr>
              <w:t>完成率</w:t>
            </w:r>
          </w:p>
        </w:tc>
        <w:tc>
          <w:tcPr>
            <w:tcW w:w="1010" w:type="dxa"/>
            <w:vMerge w:val="restart"/>
            <w:tcBorders>
              <w:top w:val="nil"/>
              <w:left w:val="single" w:color="auto" w:sz="4" w:space="0"/>
              <w:bottom w:val="single" w:color="auto" w:sz="4" w:space="0"/>
              <w:right w:val="single" w:color="auto" w:sz="4" w:space="0"/>
            </w:tcBorders>
            <w:shd w:val="clear" w:color="auto" w:fill="auto"/>
            <w:vAlign w:val="center"/>
          </w:tcPr>
          <w:p w14:paraId="39BC74E0">
            <w:pPr>
              <w:widowControl/>
              <w:jc w:val="center"/>
              <w:rPr>
                <w:rFonts w:ascii="宋体" w:hAnsi="宋体" w:cs="宋体"/>
                <w:b/>
                <w:bCs/>
                <w:color w:val="000000"/>
                <w:kern w:val="0"/>
                <w:sz w:val="15"/>
                <w:szCs w:val="15"/>
              </w:rPr>
            </w:pPr>
            <w:r>
              <w:rPr>
                <w:rFonts w:hint="eastAsia" w:ascii="宋体" w:hAnsi="宋体" w:cs="宋体"/>
                <w:b/>
                <w:bCs/>
                <w:color w:val="000000"/>
                <w:kern w:val="0"/>
                <w:sz w:val="15"/>
                <w:szCs w:val="15"/>
              </w:rPr>
              <w:t>指标得分</w:t>
            </w:r>
          </w:p>
        </w:tc>
        <w:tc>
          <w:tcPr>
            <w:tcW w:w="1140" w:type="dxa"/>
            <w:gridSpan w:val="2"/>
            <w:vMerge w:val="restart"/>
            <w:tcBorders>
              <w:top w:val="nil"/>
              <w:left w:val="single" w:color="auto" w:sz="4" w:space="0"/>
              <w:bottom w:val="single" w:color="auto" w:sz="4" w:space="0"/>
              <w:right w:val="single" w:color="auto" w:sz="4" w:space="0"/>
            </w:tcBorders>
            <w:shd w:val="clear" w:color="auto" w:fill="auto"/>
            <w:vAlign w:val="center"/>
          </w:tcPr>
          <w:p w14:paraId="19702F37">
            <w:pPr>
              <w:widowControl/>
              <w:jc w:val="center"/>
              <w:rPr>
                <w:rFonts w:ascii="宋体" w:hAnsi="宋体" w:cs="宋体"/>
                <w:b/>
                <w:bCs/>
                <w:color w:val="000000"/>
                <w:kern w:val="0"/>
                <w:sz w:val="15"/>
                <w:szCs w:val="15"/>
              </w:rPr>
            </w:pPr>
            <w:r>
              <w:rPr>
                <w:rFonts w:hint="eastAsia" w:ascii="宋体" w:hAnsi="宋体" w:cs="宋体"/>
                <w:b/>
                <w:bCs/>
                <w:color w:val="000000"/>
                <w:kern w:val="0"/>
                <w:sz w:val="15"/>
                <w:szCs w:val="15"/>
              </w:rPr>
              <w:t>指标值设定依据</w:t>
            </w:r>
          </w:p>
        </w:tc>
        <w:tc>
          <w:tcPr>
            <w:tcW w:w="1091" w:type="dxa"/>
            <w:gridSpan w:val="2"/>
            <w:vMerge w:val="restart"/>
            <w:tcBorders>
              <w:top w:val="nil"/>
              <w:left w:val="single" w:color="auto" w:sz="4" w:space="0"/>
              <w:bottom w:val="single" w:color="auto" w:sz="4" w:space="0"/>
              <w:right w:val="single" w:color="auto" w:sz="4" w:space="0"/>
            </w:tcBorders>
            <w:shd w:val="clear" w:color="auto" w:fill="auto"/>
            <w:vAlign w:val="center"/>
          </w:tcPr>
          <w:p w14:paraId="1D3FE2AA">
            <w:pPr>
              <w:widowControl/>
              <w:jc w:val="center"/>
              <w:rPr>
                <w:rFonts w:ascii="宋体" w:hAnsi="宋体" w:cs="宋体"/>
                <w:b/>
                <w:bCs/>
                <w:color w:val="000000"/>
                <w:kern w:val="0"/>
                <w:sz w:val="15"/>
                <w:szCs w:val="15"/>
              </w:rPr>
            </w:pPr>
            <w:r>
              <w:rPr>
                <w:rFonts w:hint="eastAsia" w:ascii="宋体" w:hAnsi="宋体" w:cs="宋体"/>
                <w:b/>
                <w:bCs/>
                <w:color w:val="000000"/>
                <w:kern w:val="0"/>
                <w:sz w:val="15"/>
                <w:szCs w:val="15"/>
              </w:rPr>
              <w:t>上年完成情况</w:t>
            </w:r>
          </w:p>
        </w:tc>
        <w:tc>
          <w:tcPr>
            <w:tcW w:w="1050" w:type="dxa"/>
            <w:vMerge w:val="restart"/>
            <w:tcBorders>
              <w:top w:val="nil"/>
              <w:left w:val="single" w:color="auto" w:sz="4" w:space="0"/>
              <w:bottom w:val="single" w:color="auto" w:sz="4" w:space="0"/>
              <w:right w:val="single" w:color="auto" w:sz="4" w:space="0"/>
            </w:tcBorders>
            <w:shd w:val="clear" w:color="auto" w:fill="auto"/>
            <w:vAlign w:val="center"/>
          </w:tcPr>
          <w:p w14:paraId="71636AD9">
            <w:pPr>
              <w:widowControl/>
              <w:jc w:val="center"/>
              <w:rPr>
                <w:rFonts w:ascii="宋体" w:hAnsi="宋体" w:cs="宋体"/>
                <w:b/>
                <w:bCs/>
                <w:color w:val="000000"/>
                <w:kern w:val="0"/>
                <w:sz w:val="15"/>
                <w:szCs w:val="15"/>
              </w:rPr>
            </w:pPr>
            <w:r>
              <w:rPr>
                <w:rFonts w:hint="eastAsia" w:ascii="宋体" w:hAnsi="宋体" w:cs="宋体"/>
                <w:b/>
                <w:bCs/>
                <w:color w:val="000000"/>
                <w:kern w:val="0"/>
                <w:sz w:val="15"/>
                <w:szCs w:val="15"/>
              </w:rPr>
              <w:t>赋分规则</w:t>
            </w:r>
          </w:p>
        </w:tc>
        <w:tc>
          <w:tcPr>
            <w:tcW w:w="1396" w:type="dxa"/>
            <w:gridSpan w:val="2"/>
            <w:vMerge w:val="restart"/>
            <w:tcBorders>
              <w:top w:val="nil"/>
              <w:left w:val="single" w:color="auto" w:sz="4" w:space="0"/>
              <w:bottom w:val="single" w:color="auto" w:sz="4" w:space="0"/>
              <w:right w:val="single" w:color="auto" w:sz="4" w:space="0"/>
            </w:tcBorders>
            <w:shd w:val="clear" w:color="auto" w:fill="auto"/>
            <w:vAlign w:val="center"/>
          </w:tcPr>
          <w:p w14:paraId="7B82D86A">
            <w:pPr>
              <w:widowControl/>
              <w:jc w:val="center"/>
              <w:rPr>
                <w:rFonts w:ascii="宋体" w:hAnsi="宋体" w:cs="宋体"/>
                <w:b/>
                <w:bCs/>
                <w:color w:val="000000"/>
                <w:kern w:val="0"/>
                <w:sz w:val="15"/>
                <w:szCs w:val="15"/>
              </w:rPr>
            </w:pPr>
            <w:r>
              <w:rPr>
                <w:rFonts w:hint="eastAsia" w:ascii="宋体" w:hAnsi="宋体" w:cs="宋体"/>
                <w:b/>
                <w:bCs/>
                <w:color w:val="000000"/>
                <w:kern w:val="0"/>
                <w:sz w:val="15"/>
                <w:szCs w:val="15"/>
              </w:rPr>
              <w:t>佐证资料</w:t>
            </w:r>
          </w:p>
        </w:tc>
        <w:tc>
          <w:tcPr>
            <w:tcW w:w="1223" w:type="dxa"/>
            <w:vMerge w:val="restart"/>
            <w:tcBorders>
              <w:top w:val="nil"/>
              <w:left w:val="single" w:color="auto" w:sz="4" w:space="0"/>
              <w:bottom w:val="single" w:color="auto" w:sz="4" w:space="0"/>
              <w:right w:val="single" w:color="auto" w:sz="4" w:space="0"/>
            </w:tcBorders>
            <w:shd w:val="clear" w:color="auto" w:fill="auto"/>
            <w:vAlign w:val="center"/>
          </w:tcPr>
          <w:p w14:paraId="3F2D1143">
            <w:pPr>
              <w:widowControl/>
              <w:jc w:val="center"/>
              <w:rPr>
                <w:rFonts w:ascii="宋体" w:hAnsi="宋体" w:cs="宋体"/>
                <w:b/>
                <w:bCs/>
                <w:color w:val="000000"/>
                <w:kern w:val="0"/>
                <w:sz w:val="15"/>
                <w:szCs w:val="15"/>
              </w:rPr>
            </w:pPr>
            <w:r>
              <w:rPr>
                <w:rFonts w:hint="eastAsia" w:ascii="宋体" w:hAnsi="宋体" w:cs="宋体"/>
                <w:b/>
                <w:bCs/>
                <w:color w:val="000000"/>
                <w:kern w:val="0"/>
                <w:sz w:val="15"/>
                <w:szCs w:val="15"/>
              </w:rPr>
              <w:t>偏差原因分析及改进措施</w:t>
            </w:r>
          </w:p>
        </w:tc>
      </w:tr>
      <w:tr w14:paraId="791814E4">
        <w:tblPrEx>
          <w:tblCellMar>
            <w:top w:w="0" w:type="dxa"/>
            <w:left w:w="108" w:type="dxa"/>
            <w:bottom w:w="0" w:type="dxa"/>
            <w:right w:w="108" w:type="dxa"/>
          </w:tblCellMar>
        </w:tblPrEx>
        <w:trPr>
          <w:trHeight w:val="465" w:hRule="atLeast"/>
          <w:jc w:val="center"/>
        </w:trPr>
        <w:tc>
          <w:tcPr>
            <w:tcW w:w="454" w:type="dxa"/>
            <w:vMerge w:val="continue"/>
            <w:tcBorders>
              <w:top w:val="nil"/>
              <w:left w:val="single" w:color="auto" w:sz="4" w:space="0"/>
              <w:bottom w:val="single" w:color="auto" w:sz="4" w:space="0"/>
              <w:right w:val="single" w:color="auto" w:sz="4" w:space="0"/>
            </w:tcBorders>
            <w:vAlign w:val="center"/>
          </w:tcPr>
          <w:p w14:paraId="03C6BDB1">
            <w:pPr>
              <w:widowControl/>
              <w:jc w:val="left"/>
              <w:rPr>
                <w:rFonts w:ascii="宋体" w:hAnsi="宋体" w:cs="宋体"/>
                <w:color w:val="000000"/>
                <w:kern w:val="0"/>
                <w:sz w:val="18"/>
                <w:szCs w:val="18"/>
              </w:rPr>
            </w:pPr>
          </w:p>
        </w:tc>
        <w:tc>
          <w:tcPr>
            <w:tcW w:w="905" w:type="dxa"/>
            <w:vMerge w:val="continue"/>
            <w:tcBorders>
              <w:top w:val="nil"/>
              <w:left w:val="single" w:color="auto" w:sz="4" w:space="0"/>
              <w:bottom w:val="single" w:color="auto" w:sz="4" w:space="0"/>
              <w:right w:val="single" w:color="auto" w:sz="4" w:space="0"/>
            </w:tcBorders>
            <w:vAlign w:val="center"/>
          </w:tcPr>
          <w:p w14:paraId="161DB791">
            <w:pPr>
              <w:widowControl/>
              <w:jc w:val="left"/>
              <w:rPr>
                <w:rFonts w:ascii="宋体" w:hAnsi="宋体" w:cs="宋体"/>
                <w:b/>
                <w:bCs/>
                <w:color w:val="000000"/>
                <w:kern w:val="0"/>
                <w:sz w:val="18"/>
                <w:szCs w:val="18"/>
              </w:rPr>
            </w:pPr>
          </w:p>
        </w:tc>
        <w:tc>
          <w:tcPr>
            <w:tcW w:w="941" w:type="dxa"/>
            <w:vMerge w:val="continue"/>
            <w:tcBorders>
              <w:top w:val="nil"/>
              <w:left w:val="single" w:color="auto" w:sz="4" w:space="0"/>
              <w:bottom w:val="single" w:color="auto" w:sz="4" w:space="0"/>
              <w:right w:val="single" w:color="auto" w:sz="4" w:space="0"/>
            </w:tcBorders>
            <w:vAlign w:val="center"/>
          </w:tcPr>
          <w:p w14:paraId="36BB2A98">
            <w:pPr>
              <w:widowControl/>
              <w:jc w:val="left"/>
              <w:rPr>
                <w:rFonts w:ascii="宋体" w:hAnsi="宋体" w:cs="宋体"/>
                <w:b/>
                <w:bCs/>
                <w:color w:val="000000"/>
                <w:kern w:val="0"/>
                <w:sz w:val="18"/>
                <w:szCs w:val="18"/>
              </w:rPr>
            </w:pPr>
          </w:p>
        </w:tc>
        <w:tc>
          <w:tcPr>
            <w:tcW w:w="2004" w:type="dxa"/>
            <w:vMerge w:val="continue"/>
            <w:tcBorders>
              <w:top w:val="nil"/>
              <w:left w:val="single" w:color="auto" w:sz="4" w:space="0"/>
              <w:bottom w:val="single" w:color="auto" w:sz="4" w:space="0"/>
              <w:right w:val="single" w:color="auto" w:sz="4" w:space="0"/>
            </w:tcBorders>
            <w:vAlign w:val="center"/>
          </w:tcPr>
          <w:p w14:paraId="713D312B">
            <w:pPr>
              <w:widowControl/>
              <w:jc w:val="left"/>
              <w:rPr>
                <w:rFonts w:ascii="宋体" w:hAnsi="宋体" w:cs="宋体"/>
                <w:b/>
                <w:bCs/>
                <w:color w:val="000000"/>
                <w:kern w:val="0"/>
                <w:sz w:val="18"/>
                <w:szCs w:val="18"/>
              </w:rPr>
            </w:pPr>
          </w:p>
        </w:tc>
        <w:tc>
          <w:tcPr>
            <w:tcW w:w="582" w:type="dxa"/>
            <w:vMerge w:val="continue"/>
            <w:tcBorders>
              <w:top w:val="nil"/>
              <w:left w:val="single" w:color="auto" w:sz="4" w:space="0"/>
              <w:bottom w:val="single" w:color="auto" w:sz="4" w:space="0"/>
              <w:right w:val="single" w:color="auto" w:sz="4" w:space="0"/>
            </w:tcBorders>
            <w:vAlign w:val="center"/>
          </w:tcPr>
          <w:p w14:paraId="1F8C505A">
            <w:pPr>
              <w:widowControl/>
              <w:jc w:val="left"/>
              <w:rPr>
                <w:rFonts w:ascii="宋体" w:hAnsi="宋体" w:cs="宋体"/>
                <w:b/>
                <w:bCs/>
                <w:color w:val="000000"/>
                <w:kern w:val="0"/>
                <w:sz w:val="18"/>
                <w:szCs w:val="18"/>
              </w:rPr>
            </w:pPr>
          </w:p>
        </w:tc>
        <w:tc>
          <w:tcPr>
            <w:tcW w:w="1091" w:type="dxa"/>
            <w:vMerge w:val="continue"/>
            <w:tcBorders>
              <w:top w:val="nil"/>
              <w:left w:val="single" w:color="auto" w:sz="4" w:space="0"/>
              <w:bottom w:val="single" w:color="auto" w:sz="4" w:space="0"/>
              <w:right w:val="single" w:color="auto" w:sz="4" w:space="0"/>
            </w:tcBorders>
            <w:vAlign w:val="center"/>
          </w:tcPr>
          <w:p w14:paraId="485F3165">
            <w:pPr>
              <w:widowControl/>
              <w:jc w:val="left"/>
              <w:rPr>
                <w:rFonts w:ascii="宋体" w:hAnsi="宋体" w:cs="宋体"/>
                <w:b/>
                <w:bCs/>
                <w:color w:val="000000"/>
                <w:kern w:val="0"/>
                <w:sz w:val="18"/>
                <w:szCs w:val="18"/>
              </w:rPr>
            </w:pPr>
          </w:p>
        </w:tc>
        <w:tc>
          <w:tcPr>
            <w:tcW w:w="872" w:type="dxa"/>
            <w:vMerge w:val="continue"/>
            <w:tcBorders>
              <w:top w:val="nil"/>
              <w:left w:val="single" w:color="auto" w:sz="4" w:space="0"/>
              <w:bottom w:val="single" w:color="auto" w:sz="4" w:space="0"/>
              <w:right w:val="single" w:color="auto" w:sz="4" w:space="0"/>
            </w:tcBorders>
            <w:vAlign w:val="center"/>
          </w:tcPr>
          <w:p w14:paraId="73F79D59">
            <w:pPr>
              <w:widowControl/>
              <w:jc w:val="left"/>
              <w:rPr>
                <w:rFonts w:ascii="宋体" w:hAnsi="宋体" w:cs="宋体"/>
                <w:b/>
                <w:bCs/>
                <w:color w:val="000000"/>
                <w:kern w:val="0"/>
                <w:sz w:val="18"/>
                <w:szCs w:val="18"/>
              </w:rPr>
            </w:pPr>
          </w:p>
        </w:tc>
        <w:tc>
          <w:tcPr>
            <w:tcW w:w="750" w:type="dxa"/>
            <w:vMerge w:val="continue"/>
            <w:tcBorders>
              <w:top w:val="nil"/>
              <w:left w:val="single" w:color="auto" w:sz="4" w:space="0"/>
              <w:bottom w:val="single" w:color="auto" w:sz="4" w:space="0"/>
              <w:right w:val="single" w:color="auto" w:sz="4" w:space="0"/>
            </w:tcBorders>
            <w:vAlign w:val="center"/>
          </w:tcPr>
          <w:p w14:paraId="191F26DA">
            <w:pPr>
              <w:widowControl/>
              <w:jc w:val="left"/>
              <w:rPr>
                <w:rFonts w:ascii="宋体" w:hAnsi="宋体" w:cs="宋体"/>
                <w:b/>
                <w:bCs/>
                <w:color w:val="000000"/>
                <w:kern w:val="0"/>
                <w:sz w:val="18"/>
                <w:szCs w:val="18"/>
              </w:rPr>
            </w:pPr>
          </w:p>
        </w:tc>
        <w:tc>
          <w:tcPr>
            <w:tcW w:w="1010" w:type="dxa"/>
            <w:vMerge w:val="continue"/>
            <w:tcBorders>
              <w:top w:val="nil"/>
              <w:left w:val="single" w:color="auto" w:sz="4" w:space="0"/>
              <w:bottom w:val="single" w:color="auto" w:sz="4" w:space="0"/>
              <w:right w:val="single" w:color="auto" w:sz="4" w:space="0"/>
            </w:tcBorders>
            <w:vAlign w:val="center"/>
          </w:tcPr>
          <w:p w14:paraId="3D5ED7E8">
            <w:pPr>
              <w:widowControl/>
              <w:jc w:val="left"/>
              <w:rPr>
                <w:rFonts w:ascii="宋体" w:hAnsi="宋体" w:cs="宋体"/>
                <w:b/>
                <w:bCs/>
                <w:color w:val="000000"/>
                <w:kern w:val="0"/>
                <w:sz w:val="18"/>
                <w:szCs w:val="18"/>
              </w:rPr>
            </w:pPr>
          </w:p>
        </w:tc>
        <w:tc>
          <w:tcPr>
            <w:tcW w:w="1140" w:type="dxa"/>
            <w:gridSpan w:val="2"/>
            <w:vMerge w:val="continue"/>
            <w:tcBorders>
              <w:top w:val="nil"/>
              <w:left w:val="single" w:color="auto" w:sz="4" w:space="0"/>
              <w:bottom w:val="single" w:color="auto" w:sz="4" w:space="0"/>
              <w:right w:val="single" w:color="auto" w:sz="4" w:space="0"/>
            </w:tcBorders>
            <w:vAlign w:val="center"/>
          </w:tcPr>
          <w:p w14:paraId="3745AB74">
            <w:pPr>
              <w:widowControl/>
              <w:jc w:val="left"/>
              <w:rPr>
                <w:rFonts w:ascii="宋体" w:hAnsi="宋体" w:cs="宋体"/>
                <w:b/>
                <w:bCs/>
                <w:color w:val="000000"/>
                <w:kern w:val="0"/>
                <w:sz w:val="18"/>
                <w:szCs w:val="18"/>
              </w:rPr>
            </w:pPr>
          </w:p>
        </w:tc>
        <w:tc>
          <w:tcPr>
            <w:tcW w:w="1091" w:type="dxa"/>
            <w:gridSpan w:val="2"/>
            <w:vMerge w:val="continue"/>
            <w:tcBorders>
              <w:top w:val="nil"/>
              <w:left w:val="single" w:color="auto" w:sz="4" w:space="0"/>
              <w:bottom w:val="single" w:color="auto" w:sz="4" w:space="0"/>
              <w:right w:val="single" w:color="auto" w:sz="4" w:space="0"/>
            </w:tcBorders>
            <w:vAlign w:val="center"/>
          </w:tcPr>
          <w:p w14:paraId="0B836722">
            <w:pPr>
              <w:widowControl/>
              <w:jc w:val="left"/>
              <w:rPr>
                <w:rFonts w:ascii="宋体" w:hAnsi="宋体" w:cs="宋体"/>
                <w:b/>
                <w:bCs/>
                <w:color w:val="000000"/>
                <w:kern w:val="0"/>
                <w:sz w:val="18"/>
                <w:szCs w:val="18"/>
              </w:rPr>
            </w:pPr>
          </w:p>
        </w:tc>
        <w:tc>
          <w:tcPr>
            <w:tcW w:w="1050" w:type="dxa"/>
            <w:vMerge w:val="continue"/>
            <w:tcBorders>
              <w:top w:val="nil"/>
              <w:left w:val="single" w:color="auto" w:sz="4" w:space="0"/>
              <w:bottom w:val="single" w:color="auto" w:sz="4" w:space="0"/>
              <w:right w:val="single" w:color="auto" w:sz="4" w:space="0"/>
            </w:tcBorders>
            <w:vAlign w:val="center"/>
          </w:tcPr>
          <w:p w14:paraId="78FE41A3">
            <w:pPr>
              <w:widowControl/>
              <w:jc w:val="left"/>
              <w:rPr>
                <w:rFonts w:ascii="宋体" w:hAnsi="宋体" w:cs="宋体"/>
                <w:b/>
                <w:bCs/>
                <w:color w:val="000000"/>
                <w:kern w:val="0"/>
                <w:sz w:val="18"/>
                <w:szCs w:val="18"/>
              </w:rPr>
            </w:pPr>
          </w:p>
        </w:tc>
        <w:tc>
          <w:tcPr>
            <w:tcW w:w="1396" w:type="dxa"/>
            <w:gridSpan w:val="2"/>
            <w:vMerge w:val="continue"/>
            <w:tcBorders>
              <w:top w:val="nil"/>
              <w:left w:val="single" w:color="auto" w:sz="4" w:space="0"/>
              <w:bottom w:val="single" w:color="auto" w:sz="4" w:space="0"/>
              <w:right w:val="single" w:color="auto" w:sz="4" w:space="0"/>
            </w:tcBorders>
            <w:vAlign w:val="center"/>
          </w:tcPr>
          <w:p w14:paraId="0190195C">
            <w:pPr>
              <w:widowControl/>
              <w:jc w:val="left"/>
              <w:rPr>
                <w:rFonts w:ascii="宋体" w:hAnsi="宋体" w:cs="宋体"/>
                <w:b/>
                <w:bCs/>
                <w:color w:val="000000"/>
                <w:kern w:val="0"/>
                <w:sz w:val="18"/>
                <w:szCs w:val="18"/>
              </w:rPr>
            </w:pPr>
          </w:p>
        </w:tc>
        <w:tc>
          <w:tcPr>
            <w:tcW w:w="1223" w:type="dxa"/>
            <w:vMerge w:val="continue"/>
            <w:tcBorders>
              <w:top w:val="nil"/>
              <w:left w:val="single" w:color="auto" w:sz="4" w:space="0"/>
              <w:bottom w:val="single" w:color="auto" w:sz="4" w:space="0"/>
              <w:right w:val="single" w:color="auto" w:sz="4" w:space="0"/>
            </w:tcBorders>
            <w:vAlign w:val="center"/>
          </w:tcPr>
          <w:p w14:paraId="3BEAE8B2">
            <w:pPr>
              <w:widowControl/>
              <w:jc w:val="left"/>
              <w:rPr>
                <w:rFonts w:ascii="宋体" w:hAnsi="宋体" w:cs="宋体"/>
                <w:b/>
                <w:bCs/>
                <w:color w:val="000000"/>
                <w:kern w:val="0"/>
                <w:sz w:val="18"/>
                <w:szCs w:val="18"/>
              </w:rPr>
            </w:pPr>
          </w:p>
        </w:tc>
      </w:tr>
      <w:tr w14:paraId="7849A75E">
        <w:tblPrEx>
          <w:tblCellMar>
            <w:top w:w="0" w:type="dxa"/>
            <w:left w:w="108" w:type="dxa"/>
            <w:bottom w:w="0" w:type="dxa"/>
            <w:right w:w="108" w:type="dxa"/>
          </w:tblCellMar>
        </w:tblPrEx>
        <w:trPr>
          <w:trHeight w:val="379" w:hRule="atLeast"/>
          <w:jc w:val="center"/>
        </w:trPr>
        <w:tc>
          <w:tcPr>
            <w:tcW w:w="454" w:type="dxa"/>
            <w:vMerge w:val="restart"/>
            <w:tcBorders>
              <w:top w:val="nil"/>
              <w:left w:val="single" w:color="auto" w:sz="4" w:space="0"/>
              <w:bottom w:val="single" w:color="auto" w:sz="4" w:space="0"/>
              <w:right w:val="single" w:color="auto" w:sz="4" w:space="0"/>
            </w:tcBorders>
            <w:shd w:val="clear" w:color="auto" w:fill="auto"/>
            <w:vAlign w:val="center"/>
          </w:tcPr>
          <w:p w14:paraId="036065A0">
            <w:pPr>
              <w:widowControl/>
              <w:spacing w:line="300" w:lineRule="exact"/>
              <w:jc w:val="center"/>
              <w:rPr>
                <w:rFonts w:ascii="宋体" w:hAnsi="宋体" w:cs="宋体"/>
                <w:b/>
                <w:bCs/>
                <w:color w:val="000000"/>
                <w:kern w:val="0"/>
                <w:sz w:val="18"/>
                <w:szCs w:val="18"/>
              </w:rPr>
            </w:pPr>
            <w:r>
              <w:rPr>
                <w:rFonts w:hint="eastAsia" w:ascii="宋体" w:hAnsi="宋体" w:cs="宋体"/>
                <w:b/>
                <w:bCs/>
                <w:color w:val="000000"/>
                <w:kern w:val="0"/>
                <w:sz w:val="18"/>
                <w:szCs w:val="18"/>
              </w:rPr>
              <w:t>年度绩效指标完成情况</w:t>
            </w:r>
          </w:p>
        </w:tc>
        <w:tc>
          <w:tcPr>
            <w:tcW w:w="905" w:type="dxa"/>
            <w:vMerge w:val="restart"/>
            <w:tcBorders>
              <w:top w:val="nil"/>
              <w:left w:val="single" w:color="auto" w:sz="4" w:space="0"/>
              <w:bottom w:val="single" w:color="auto" w:sz="4" w:space="0"/>
              <w:right w:val="single" w:color="auto" w:sz="4" w:space="0"/>
            </w:tcBorders>
            <w:shd w:val="clear" w:color="auto" w:fill="auto"/>
            <w:vAlign w:val="center"/>
          </w:tcPr>
          <w:p w14:paraId="61538C5F">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产出指标</w:t>
            </w:r>
          </w:p>
        </w:tc>
        <w:tc>
          <w:tcPr>
            <w:tcW w:w="941" w:type="dxa"/>
            <w:tcBorders>
              <w:top w:val="nil"/>
              <w:left w:val="nil"/>
              <w:bottom w:val="single" w:color="auto" w:sz="4" w:space="0"/>
              <w:right w:val="single" w:color="auto" w:sz="4" w:space="0"/>
            </w:tcBorders>
            <w:shd w:val="clear" w:color="auto" w:fill="auto"/>
            <w:vAlign w:val="center"/>
          </w:tcPr>
          <w:p w14:paraId="7E6BFA97">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数量指标</w:t>
            </w:r>
          </w:p>
        </w:tc>
        <w:tc>
          <w:tcPr>
            <w:tcW w:w="2004" w:type="dxa"/>
            <w:tcBorders>
              <w:top w:val="nil"/>
              <w:left w:val="nil"/>
              <w:bottom w:val="single" w:color="auto" w:sz="4" w:space="0"/>
              <w:right w:val="single" w:color="auto" w:sz="4" w:space="0"/>
            </w:tcBorders>
            <w:shd w:val="clear" w:color="auto" w:fill="auto"/>
            <w:vAlign w:val="center"/>
          </w:tcPr>
          <w:p w14:paraId="3A84E88D">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《新疆民进》印刷期数</w:t>
            </w:r>
          </w:p>
        </w:tc>
        <w:tc>
          <w:tcPr>
            <w:tcW w:w="582" w:type="dxa"/>
            <w:tcBorders>
              <w:top w:val="nil"/>
              <w:left w:val="nil"/>
              <w:bottom w:val="single" w:color="auto" w:sz="4" w:space="0"/>
              <w:right w:val="single" w:color="auto" w:sz="4" w:space="0"/>
            </w:tcBorders>
            <w:shd w:val="clear" w:color="auto" w:fill="auto"/>
            <w:vAlign w:val="center"/>
          </w:tcPr>
          <w:p w14:paraId="73E368EA">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1091" w:type="dxa"/>
            <w:tcBorders>
              <w:top w:val="nil"/>
              <w:left w:val="nil"/>
              <w:bottom w:val="single" w:color="auto" w:sz="4" w:space="0"/>
              <w:right w:val="single" w:color="auto" w:sz="4" w:space="0"/>
            </w:tcBorders>
            <w:shd w:val="clear" w:color="auto" w:fill="auto"/>
            <w:vAlign w:val="center"/>
          </w:tcPr>
          <w:p w14:paraId="43245186">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&gt;=2期</w:t>
            </w:r>
          </w:p>
        </w:tc>
        <w:tc>
          <w:tcPr>
            <w:tcW w:w="872" w:type="dxa"/>
            <w:tcBorders>
              <w:top w:val="nil"/>
              <w:left w:val="nil"/>
              <w:bottom w:val="single" w:color="auto" w:sz="4" w:space="0"/>
              <w:right w:val="single" w:color="auto" w:sz="4" w:space="0"/>
            </w:tcBorders>
            <w:shd w:val="clear" w:color="auto" w:fill="auto"/>
            <w:vAlign w:val="center"/>
          </w:tcPr>
          <w:p w14:paraId="65122C91">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=2期</w:t>
            </w:r>
          </w:p>
        </w:tc>
        <w:tc>
          <w:tcPr>
            <w:tcW w:w="750" w:type="dxa"/>
            <w:tcBorders>
              <w:top w:val="nil"/>
              <w:left w:val="nil"/>
              <w:bottom w:val="single" w:color="auto" w:sz="4" w:space="0"/>
              <w:right w:val="single" w:color="auto" w:sz="4" w:space="0"/>
            </w:tcBorders>
            <w:shd w:val="clear" w:color="auto" w:fill="auto"/>
            <w:vAlign w:val="center"/>
          </w:tcPr>
          <w:p w14:paraId="31F984FF">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010" w:type="dxa"/>
            <w:tcBorders>
              <w:top w:val="nil"/>
              <w:left w:val="nil"/>
              <w:bottom w:val="single" w:color="auto" w:sz="4" w:space="0"/>
              <w:right w:val="single" w:color="auto" w:sz="4" w:space="0"/>
            </w:tcBorders>
            <w:shd w:val="clear" w:color="auto" w:fill="auto"/>
            <w:vAlign w:val="center"/>
          </w:tcPr>
          <w:p w14:paraId="4466B51F">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963" w:type="dxa"/>
            <w:tcBorders>
              <w:top w:val="nil"/>
              <w:left w:val="nil"/>
              <w:bottom w:val="single" w:color="auto" w:sz="4" w:space="0"/>
              <w:right w:val="single" w:color="auto" w:sz="4" w:space="0"/>
            </w:tcBorders>
            <w:shd w:val="clear" w:color="auto" w:fill="auto"/>
            <w:vAlign w:val="center"/>
          </w:tcPr>
          <w:p w14:paraId="54BE1AAD">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历史标准</w:t>
            </w:r>
          </w:p>
        </w:tc>
        <w:tc>
          <w:tcPr>
            <w:tcW w:w="1050" w:type="dxa"/>
            <w:gridSpan w:val="2"/>
            <w:tcBorders>
              <w:top w:val="nil"/>
              <w:left w:val="nil"/>
              <w:bottom w:val="single" w:color="auto" w:sz="4" w:space="0"/>
              <w:right w:val="single" w:color="auto" w:sz="4" w:space="0"/>
            </w:tcBorders>
            <w:shd w:val="clear" w:color="auto" w:fill="auto"/>
            <w:vAlign w:val="center"/>
          </w:tcPr>
          <w:p w14:paraId="31BC9744">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2期</w:t>
            </w:r>
          </w:p>
        </w:tc>
        <w:tc>
          <w:tcPr>
            <w:tcW w:w="1691" w:type="dxa"/>
            <w:gridSpan w:val="3"/>
            <w:tcBorders>
              <w:top w:val="nil"/>
              <w:left w:val="nil"/>
              <w:bottom w:val="single" w:color="auto" w:sz="4" w:space="0"/>
              <w:right w:val="single" w:color="auto" w:sz="4" w:space="0"/>
            </w:tcBorders>
            <w:shd w:val="clear" w:color="auto" w:fill="auto"/>
            <w:vAlign w:val="center"/>
          </w:tcPr>
          <w:p w14:paraId="3FD66F2E">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按照完成比例赋分</w:t>
            </w:r>
          </w:p>
        </w:tc>
        <w:tc>
          <w:tcPr>
            <w:tcW w:w="973" w:type="dxa"/>
            <w:tcBorders>
              <w:top w:val="nil"/>
              <w:left w:val="nil"/>
              <w:bottom w:val="single" w:color="auto" w:sz="4" w:space="0"/>
              <w:right w:val="single" w:color="auto" w:sz="4" w:space="0"/>
            </w:tcBorders>
            <w:shd w:val="clear" w:color="auto" w:fill="auto"/>
            <w:vAlign w:val="center"/>
          </w:tcPr>
          <w:p w14:paraId="6D6C9F3D">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工作资料</w:t>
            </w:r>
          </w:p>
        </w:tc>
        <w:tc>
          <w:tcPr>
            <w:tcW w:w="1223" w:type="dxa"/>
            <w:tcBorders>
              <w:top w:val="nil"/>
              <w:left w:val="nil"/>
              <w:bottom w:val="single" w:color="auto" w:sz="4" w:space="0"/>
              <w:right w:val="single" w:color="auto" w:sz="4" w:space="0"/>
            </w:tcBorders>
            <w:shd w:val="clear" w:color="auto" w:fill="auto"/>
            <w:vAlign w:val="center"/>
          </w:tcPr>
          <w:p w14:paraId="048DD638">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0EFA0737">
        <w:tblPrEx>
          <w:tblCellMar>
            <w:top w:w="0" w:type="dxa"/>
            <w:left w:w="108" w:type="dxa"/>
            <w:bottom w:w="0" w:type="dxa"/>
            <w:right w:w="108" w:type="dxa"/>
          </w:tblCellMar>
        </w:tblPrEx>
        <w:trPr>
          <w:trHeight w:val="556" w:hRule="atLeast"/>
          <w:jc w:val="center"/>
        </w:trPr>
        <w:tc>
          <w:tcPr>
            <w:tcW w:w="454" w:type="dxa"/>
            <w:vMerge w:val="continue"/>
            <w:tcBorders>
              <w:top w:val="nil"/>
              <w:left w:val="single" w:color="auto" w:sz="4" w:space="0"/>
              <w:bottom w:val="single" w:color="auto" w:sz="4" w:space="0"/>
              <w:right w:val="single" w:color="auto" w:sz="4" w:space="0"/>
            </w:tcBorders>
            <w:vAlign w:val="center"/>
          </w:tcPr>
          <w:p w14:paraId="6068796E">
            <w:pPr>
              <w:widowControl/>
              <w:spacing w:line="300" w:lineRule="exact"/>
              <w:jc w:val="left"/>
              <w:rPr>
                <w:rFonts w:ascii="宋体" w:hAnsi="宋体" w:cs="宋体"/>
                <w:b/>
                <w:bCs/>
                <w:color w:val="000000"/>
                <w:kern w:val="0"/>
                <w:sz w:val="18"/>
                <w:szCs w:val="18"/>
              </w:rPr>
            </w:pPr>
          </w:p>
        </w:tc>
        <w:tc>
          <w:tcPr>
            <w:tcW w:w="905" w:type="dxa"/>
            <w:vMerge w:val="continue"/>
            <w:tcBorders>
              <w:top w:val="nil"/>
              <w:left w:val="single" w:color="auto" w:sz="4" w:space="0"/>
              <w:bottom w:val="single" w:color="auto" w:sz="4" w:space="0"/>
              <w:right w:val="single" w:color="auto" w:sz="4" w:space="0"/>
            </w:tcBorders>
            <w:vAlign w:val="center"/>
          </w:tcPr>
          <w:p w14:paraId="5D348885">
            <w:pPr>
              <w:widowControl/>
              <w:spacing w:line="300" w:lineRule="exact"/>
              <w:jc w:val="left"/>
              <w:rPr>
                <w:rFonts w:ascii="宋体" w:hAnsi="宋体" w:cs="宋体"/>
                <w:color w:val="000000"/>
                <w:kern w:val="0"/>
                <w:sz w:val="18"/>
                <w:szCs w:val="18"/>
              </w:rPr>
            </w:pPr>
          </w:p>
        </w:tc>
        <w:tc>
          <w:tcPr>
            <w:tcW w:w="941" w:type="dxa"/>
            <w:tcBorders>
              <w:top w:val="nil"/>
              <w:left w:val="nil"/>
              <w:bottom w:val="single" w:color="auto" w:sz="4" w:space="0"/>
              <w:right w:val="single" w:color="auto" w:sz="4" w:space="0"/>
            </w:tcBorders>
            <w:shd w:val="clear" w:color="auto" w:fill="auto"/>
            <w:vAlign w:val="center"/>
          </w:tcPr>
          <w:p w14:paraId="0DA825BE">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数量指标</w:t>
            </w:r>
          </w:p>
        </w:tc>
        <w:tc>
          <w:tcPr>
            <w:tcW w:w="2004" w:type="dxa"/>
            <w:tcBorders>
              <w:top w:val="nil"/>
              <w:left w:val="nil"/>
              <w:bottom w:val="single" w:color="auto" w:sz="4" w:space="0"/>
              <w:right w:val="single" w:color="auto" w:sz="4" w:space="0"/>
            </w:tcBorders>
            <w:shd w:val="clear" w:color="auto" w:fill="auto"/>
            <w:vAlign w:val="center"/>
          </w:tcPr>
          <w:p w14:paraId="4C24BE08">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提交自治区政协会议的提案数量</w:t>
            </w:r>
          </w:p>
        </w:tc>
        <w:tc>
          <w:tcPr>
            <w:tcW w:w="582" w:type="dxa"/>
            <w:tcBorders>
              <w:top w:val="nil"/>
              <w:left w:val="nil"/>
              <w:bottom w:val="single" w:color="auto" w:sz="4" w:space="0"/>
              <w:right w:val="single" w:color="auto" w:sz="4" w:space="0"/>
            </w:tcBorders>
            <w:shd w:val="clear" w:color="auto" w:fill="auto"/>
            <w:vAlign w:val="center"/>
          </w:tcPr>
          <w:p w14:paraId="66F4C49E">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1091" w:type="dxa"/>
            <w:tcBorders>
              <w:top w:val="nil"/>
              <w:left w:val="nil"/>
              <w:bottom w:val="single" w:color="auto" w:sz="4" w:space="0"/>
              <w:right w:val="single" w:color="auto" w:sz="4" w:space="0"/>
            </w:tcBorders>
            <w:shd w:val="clear" w:color="auto" w:fill="auto"/>
            <w:vAlign w:val="center"/>
          </w:tcPr>
          <w:p w14:paraId="229FF9E2">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&gt;=10个</w:t>
            </w:r>
          </w:p>
        </w:tc>
        <w:tc>
          <w:tcPr>
            <w:tcW w:w="872" w:type="dxa"/>
            <w:tcBorders>
              <w:top w:val="nil"/>
              <w:left w:val="nil"/>
              <w:bottom w:val="single" w:color="auto" w:sz="4" w:space="0"/>
              <w:right w:val="single" w:color="auto" w:sz="4" w:space="0"/>
            </w:tcBorders>
            <w:shd w:val="clear" w:color="auto" w:fill="auto"/>
            <w:vAlign w:val="center"/>
          </w:tcPr>
          <w:p w14:paraId="0C560871">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=10个</w:t>
            </w:r>
          </w:p>
        </w:tc>
        <w:tc>
          <w:tcPr>
            <w:tcW w:w="750" w:type="dxa"/>
            <w:tcBorders>
              <w:top w:val="nil"/>
              <w:left w:val="nil"/>
              <w:bottom w:val="single" w:color="auto" w:sz="4" w:space="0"/>
              <w:right w:val="single" w:color="auto" w:sz="4" w:space="0"/>
            </w:tcBorders>
            <w:shd w:val="clear" w:color="auto" w:fill="auto"/>
            <w:vAlign w:val="center"/>
          </w:tcPr>
          <w:p w14:paraId="6154037D">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010" w:type="dxa"/>
            <w:tcBorders>
              <w:top w:val="nil"/>
              <w:left w:val="nil"/>
              <w:bottom w:val="single" w:color="auto" w:sz="4" w:space="0"/>
              <w:right w:val="single" w:color="auto" w:sz="4" w:space="0"/>
            </w:tcBorders>
            <w:shd w:val="clear" w:color="auto" w:fill="auto"/>
            <w:vAlign w:val="center"/>
          </w:tcPr>
          <w:p w14:paraId="5489B46C">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963" w:type="dxa"/>
            <w:tcBorders>
              <w:top w:val="nil"/>
              <w:left w:val="nil"/>
              <w:bottom w:val="single" w:color="auto" w:sz="4" w:space="0"/>
              <w:right w:val="single" w:color="auto" w:sz="4" w:space="0"/>
            </w:tcBorders>
            <w:shd w:val="clear" w:color="auto" w:fill="auto"/>
            <w:vAlign w:val="center"/>
          </w:tcPr>
          <w:p w14:paraId="666E64D6">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历史标准</w:t>
            </w:r>
          </w:p>
        </w:tc>
        <w:tc>
          <w:tcPr>
            <w:tcW w:w="1050" w:type="dxa"/>
            <w:gridSpan w:val="2"/>
            <w:tcBorders>
              <w:top w:val="nil"/>
              <w:left w:val="nil"/>
              <w:bottom w:val="single" w:color="auto" w:sz="4" w:space="0"/>
              <w:right w:val="single" w:color="auto" w:sz="4" w:space="0"/>
            </w:tcBorders>
            <w:shd w:val="clear" w:color="auto" w:fill="auto"/>
            <w:vAlign w:val="center"/>
          </w:tcPr>
          <w:p w14:paraId="1A0ADBB8">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8个</w:t>
            </w:r>
          </w:p>
        </w:tc>
        <w:tc>
          <w:tcPr>
            <w:tcW w:w="1691" w:type="dxa"/>
            <w:gridSpan w:val="3"/>
            <w:tcBorders>
              <w:top w:val="nil"/>
              <w:left w:val="nil"/>
              <w:bottom w:val="single" w:color="auto" w:sz="4" w:space="0"/>
              <w:right w:val="single" w:color="auto" w:sz="4" w:space="0"/>
            </w:tcBorders>
            <w:shd w:val="clear" w:color="auto" w:fill="auto"/>
            <w:vAlign w:val="center"/>
          </w:tcPr>
          <w:p w14:paraId="19FA587C">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按照完成比例赋分</w:t>
            </w:r>
          </w:p>
        </w:tc>
        <w:tc>
          <w:tcPr>
            <w:tcW w:w="973" w:type="dxa"/>
            <w:tcBorders>
              <w:top w:val="nil"/>
              <w:left w:val="nil"/>
              <w:bottom w:val="single" w:color="auto" w:sz="4" w:space="0"/>
              <w:right w:val="single" w:color="auto" w:sz="4" w:space="0"/>
            </w:tcBorders>
            <w:shd w:val="clear" w:color="auto" w:fill="auto"/>
            <w:vAlign w:val="center"/>
          </w:tcPr>
          <w:p w14:paraId="7E7F222D">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工作资料</w:t>
            </w:r>
          </w:p>
        </w:tc>
        <w:tc>
          <w:tcPr>
            <w:tcW w:w="1223" w:type="dxa"/>
            <w:tcBorders>
              <w:top w:val="nil"/>
              <w:left w:val="nil"/>
              <w:bottom w:val="single" w:color="auto" w:sz="4" w:space="0"/>
              <w:right w:val="single" w:color="auto" w:sz="4" w:space="0"/>
            </w:tcBorders>
            <w:shd w:val="clear" w:color="auto" w:fill="auto"/>
            <w:vAlign w:val="center"/>
          </w:tcPr>
          <w:p w14:paraId="0C0737A3">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2C8F9884">
        <w:tblPrEx>
          <w:tblCellMar>
            <w:top w:w="0" w:type="dxa"/>
            <w:left w:w="108" w:type="dxa"/>
            <w:bottom w:w="0" w:type="dxa"/>
            <w:right w:w="108" w:type="dxa"/>
          </w:tblCellMar>
        </w:tblPrEx>
        <w:trPr>
          <w:trHeight w:val="379" w:hRule="atLeast"/>
          <w:jc w:val="center"/>
        </w:trPr>
        <w:tc>
          <w:tcPr>
            <w:tcW w:w="454" w:type="dxa"/>
            <w:vMerge w:val="continue"/>
            <w:tcBorders>
              <w:top w:val="nil"/>
              <w:left w:val="single" w:color="auto" w:sz="4" w:space="0"/>
              <w:bottom w:val="single" w:color="auto" w:sz="4" w:space="0"/>
              <w:right w:val="single" w:color="auto" w:sz="4" w:space="0"/>
            </w:tcBorders>
            <w:vAlign w:val="center"/>
          </w:tcPr>
          <w:p w14:paraId="25F06B7B">
            <w:pPr>
              <w:widowControl/>
              <w:spacing w:line="300" w:lineRule="exact"/>
              <w:jc w:val="left"/>
              <w:rPr>
                <w:rFonts w:ascii="宋体" w:hAnsi="宋体" w:cs="宋体"/>
                <w:b/>
                <w:bCs/>
                <w:color w:val="000000"/>
                <w:kern w:val="0"/>
                <w:sz w:val="18"/>
                <w:szCs w:val="18"/>
              </w:rPr>
            </w:pPr>
          </w:p>
        </w:tc>
        <w:tc>
          <w:tcPr>
            <w:tcW w:w="905" w:type="dxa"/>
            <w:vMerge w:val="continue"/>
            <w:tcBorders>
              <w:top w:val="nil"/>
              <w:left w:val="single" w:color="auto" w:sz="4" w:space="0"/>
              <w:bottom w:val="single" w:color="auto" w:sz="4" w:space="0"/>
              <w:right w:val="single" w:color="auto" w:sz="4" w:space="0"/>
            </w:tcBorders>
            <w:vAlign w:val="center"/>
          </w:tcPr>
          <w:p w14:paraId="2DA48E1F">
            <w:pPr>
              <w:widowControl/>
              <w:spacing w:line="300" w:lineRule="exact"/>
              <w:jc w:val="left"/>
              <w:rPr>
                <w:rFonts w:ascii="宋体" w:hAnsi="宋体" w:cs="宋体"/>
                <w:color w:val="000000"/>
                <w:kern w:val="0"/>
                <w:sz w:val="18"/>
                <w:szCs w:val="18"/>
              </w:rPr>
            </w:pPr>
          </w:p>
        </w:tc>
        <w:tc>
          <w:tcPr>
            <w:tcW w:w="941" w:type="dxa"/>
            <w:tcBorders>
              <w:top w:val="nil"/>
              <w:left w:val="nil"/>
              <w:bottom w:val="single" w:color="auto" w:sz="4" w:space="0"/>
              <w:right w:val="single" w:color="auto" w:sz="4" w:space="0"/>
            </w:tcBorders>
            <w:shd w:val="clear" w:color="auto" w:fill="auto"/>
            <w:vAlign w:val="center"/>
          </w:tcPr>
          <w:p w14:paraId="4ECC05D4">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数量指标</w:t>
            </w:r>
          </w:p>
        </w:tc>
        <w:tc>
          <w:tcPr>
            <w:tcW w:w="2004" w:type="dxa"/>
            <w:tcBorders>
              <w:top w:val="nil"/>
              <w:left w:val="nil"/>
              <w:bottom w:val="single" w:color="auto" w:sz="4" w:space="0"/>
              <w:right w:val="single" w:color="auto" w:sz="4" w:space="0"/>
            </w:tcBorders>
            <w:shd w:val="clear" w:color="auto" w:fill="auto"/>
            <w:vAlign w:val="center"/>
          </w:tcPr>
          <w:p w14:paraId="78C78706">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开展疆内外调研次数</w:t>
            </w:r>
          </w:p>
        </w:tc>
        <w:tc>
          <w:tcPr>
            <w:tcW w:w="582" w:type="dxa"/>
            <w:tcBorders>
              <w:top w:val="nil"/>
              <w:left w:val="nil"/>
              <w:bottom w:val="single" w:color="auto" w:sz="4" w:space="0"/>
              <w:right w:val="single" w:color="auto" w:sz="4" w:space="0"/>
            </w:tcBorders>
            <w:shd w:val="clear" w:color="auto" w:fill="auto"/>
            <w:vAlign w:val="center"/>
          </w:tcPr>
          <w:p w14:paraId="2411B2D9">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1091" w:type="dxa"/>
            <w:tcBorders>
              <w:top w:val="nil"/>
              <w:left w:val="nil"/>
              <w:bottom w:val="single" w:color="auto" w:sz="4" w:space="0"/>
              <w:right w:val="single" w:color="auto" w:sz="4" w:space="0"/>
            </w:tcBorders>
            <w:shd w:val="clear" w:color="auto" w:fill="auto"/>
            <w:vAlign w:val="center"/>
          </w:tcPr>
          <w:p w14:paraId="07779417">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&gt;=5次</w:t>
            </w:r>
          </w:p>
        </w:tc>
        <w:tc>
          <w:tcPr>
            <w:tcW w:w="872" w:type="dxa"/>
            <w:tcBorders>
              <w:top w:val="nil"/>
              <w:left w:val="nil"/>
              <w:bottom w:val="single" w:color="auto" w:sz="4" w:space="0"/>
              <w:right w:val="single" w:color="auto" w:sz="4" w:space="0"/>
            </w:tcBorders>
            <w:shd w:val="clear" w:color="auto" w:fill="auto"/>
            <w:vAlign w:val="center"/>
          </w:tcPr>
          <w:p w14:paraId="7D29579C">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=5次</w:t>
            </w:r>
          </w:p>
        </w:tc>
        <w:tc>
          <w:tcPr>
            <w:tcW w:w="750" w:type="dxa"/>
            <w:tcBorders>
              <w:top w:val="nil"/>
              <w:left w:val="nil"/>
              <w:bottom w:val="single" w:color="auto" w:sz="4" w:space="0"/>
              <w:right w:val="single" w:color="auto" w:sz="4" w:space="0"/>
            </w:tcBorders>
            <w:shd w:val="clear" w:color="auto" w:fill="auto"/>
            <w:vAlign w:val="center"/>
          </w:tcPr>
          <w:p w14:paraId="32A43E05">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010" w:type="dxa"/>
            <w:tcBorders>
              <w:top w:val="nil"/>
              <w:left w:val="nil"/>
              <w:bottom w:val="single" w:color="auto" w:sz="4" w:space="0"/>
              <w:right w:val="single" w:color="auto" w:sz="4" w:space="0"/>
            </w:tcBorders>
            <w:shd w:val="clear" w:color="auto" w:fill="auto"/>
            <w:vAlign w:val="center"/>
          </w:tcPr>
          <w:p w14:paraId="597C99CE">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963" w:type="dxa"/>
            <w:tcBorders>
              <w:top w:val="nil"/>
              <w:left w:val="nil"/>
              <w:bottom w:val="single" w:color="auto" w:sz="4" w:space="0"/>
              <w:right w:val="single" w:color="auto" w:sz="4" w:space="0"/>
            </w:tcBorders>
            <w:shd w:val="clear" w:color="auto" w:fill="auto"/>
            <w:vAlign w:val="center"/>
          </w:tcPr>
          <w:p w14:paraId="3D957128">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历史标准</w:t>
            </w:r>
          </w:p>
        </w:tc>
        <w:tc>
          <w:tcPr>
            <w:tcW w:w="1050" w:type="dxa"/>
            <w:gridSpan w:val="2"/>
            <w:tcBorders>
              <w:top w:val="nil"/>
              <w:left w:val="nil"/>
              <w:bottom w:val="single" w:color="auto" w:sz="4" w:space="0"/>
              <w:right w:val="single" w:color="auto" w:sz="4" w:space="0"/>
            </w:tcBorders>
            <w:shd w:val="clear" w:color="auto" w:fill="auto"/>
            <w:vAlign w:val="center"/>
          </w:tcPr>
          <w:p w14:paraId="148E3C64">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4次</w:t>
            </w:r>
          </w:p>
        </w:tc>
        <w:tc>
          <w:tcPr>
            <w:tcW w:w="1691" w:type="dxa"/>
            <w:gridSpan w:val="3"/>
            <w:tcBorders>
              <w:top w:val="nil"/>
              <w:left w:val="nil"/>
              <w:bottom w:val="single" w:color="auto" w:sz="4" w:space="0"/>
              <w:right w:val="single" w:color="auto" w:sz="4" w:space="0"/>
            </w:tcBorders>
            <w:shd w:val="clear" w:color="auto" w:fill="auto"/>
            <w:vAlign w:val="center"/>
          </w:tcPr>
          <w:p w14:paraId="565415C6">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按照完成比例赋分</w:t>
            </w:r>
          </w:p>
        </w:tc>
        <w:tc>
          <w:tcPr>
            <w:tcW w:w="973" w:type="dxa"/>
            <w:tcBorders>
              <w:top w:val="nil"/>
              <w:left w:val="nil"/>
              <w:bottom w:val="single" w:color="auto" w:sz="4" w:space="0"/>
              <w:right w:val="single" w:color="auto" w:sz="4" w:space="0"/>
            </w:tcBorders>
            <w:shd w:val="clear" w:color="auto" w:fill="auto"/>
            <w:vAlign w:val="center"/>
          </w:tcPr>
          <w:p w14:paraId="3015413C">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工作资料</w:t>
            </w:r>
          </w:p>
        </w:tc>
        <w:tc>
          <w:tcPr>
            <w:tcW w:w="1223" w:type="dxa"/>
            <w:tcBorders>
              <w:top w:val="nil"/>
              <w:left w:val="nil"/>
              <w:bottom w:val="single" w:color="auto" w:sz="4" w:space="0"/>
              <w:right w:val="single" w:color="auto" w:sz="4" w:space="0"/>
            </w:tcBorders>
            <w:shd w:val="clear" w:color="auto" w:fill="auto"/>
            <w:vAlign w:val="center"/>
          </w:tcPr>
          <w:p w14:paraId="786B59B6">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5FDD30DF">
        <w:tblPrEx>
          <w:tblCellMar>
            <w:top w:w="0" w:type="dxa"/>
            <w:left w:w="108" w:type="dxa"/>
            <w:bottom w:w="0" w:type="dxa"/>
            <w:right w:w="108" w:type="dxa"/>
          </w:tblCellMar>
        </w:tblPrEx>
        <w:trPr>
          <w:trHeight w:val="379" w:hRule="atLeast"/>
          <w:jc w:val="center"/>
        </w:trPr>
        <w:tc>
          <w:tcPr>
            <w:tcW w:w="454" w:type="dxa"/>
            <w:vMerge w:val="continue"/>
            <w:tcBorders>
              <w:top w:val="nil"/>
              <w:left w:val="single" w:color="auto" w:sz="4" w:space="0"/>
              <w:bottom w:val="single" w:color="auto" w:sz="4" w:space="0"/>
              <w:right w:val="single" w:color="auto" w:sz="4" w:space="0"/>
            </w:tcBorders>
            <w:vAlign w:val="center"/>
          </w:tcPr>
          <w:p w14:paraId="4EAD4589">
            <w:pPr>
              <w:widowControl/>
              <w:spacing w:line="300" w:lineRule="exact"/>
              <w:jc w:val="left"/>
              <w:rPr>
                <w:rFonts w:ascii="宋体" w:hAnsi="宋体" w:cs="宋体"/>
                <w:b/>
                <w:bCs/>
                <w:color w:val="000000"/>
                <w:kern w:val="0"/>
                <w:sz w:val="18"/>
                <w:szCs w:val="18"/>
              </w:rPr>
            </w:pPr>
          </w:p>
        </w:tc>
        <w:tc>
          <w:tcPr>
            <w:tcW w:w="905" w:type="dxa"/>
            <w:vMerge w:val="continue"/>
            <w:tcBorders>
              <w:top w:val="nil"/>
              <w:left w:val="single" w:color="auto" w:sz="4" w:space="0"/>
              <w:bottom w:val="single" w:color="auto" w:sz="4" w:space="0"/>
              <w:right w:val="single" w:color="auto" w:sz="4" w:space="0"/>
            </w:tcBorders>
            <w:vAlign w:val="center"/>
          </w:tcPr>
          <w:p w14:paraId="2736B778">
            <w:pPr>
              <w:widowControl/>
              <w:spacing w:line="300" w:lineRule="exact"/>
              <w:jc w:val="left"/>
              <w:rPr>
                <w:rFonts w:ascii="宋体" w:hAnsi="宋体" w:cs="宋体"/>
                <w:color w:val="000000"/>
                <w:kern w:val="0"/>
                <w:sz w:val="18"/>
                <w:szCs w:val="18"/>
              </w:rPr>
            </w:pPr>
          </w:p>
        </w:tc>
        <w:tc>
          <w:tcPr>
            <w:tcW w:w="941" w:type="dxa"/>
            <w:tcBorders>
              <w:top w:val="single" w:color="auto" w:sz="4" w:space="0"/>
              <w:left w:val="single" w:color="auto" w:sz="4" w:space="0"/>
              <w:bottom w:val="single" w:color="auto" w:sz="4" w:space="0"/>
              <w:right w:val="single" w:color="auto" w:sz="4" w:space="0"/>
            </w:tcBorders>
            <w:shd w:val="clear" w:color="auto" w:fill="auto"/>
            <w:vAlign w:val="center"/>
          </w:tcPr>
          <w:p w14:paraId="6E3D0A30">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数量指标</w:t>
            </w:r>
          </w:p>
        </w:tc>
        <w:tc>
          <w:tcPr>
            <w:tcW w:w="2004" w:type="dxa"/>
            <w:tcBorders>
              <w:top w:val="single" w:color="auto" w:sz="4" w:space="0"/>
              <w:left w:val="single" w:color="auto" w:sz="4" w:space="0"/>
              <w:bottom w:val="single" w:color="auto" w:sz="4" w:space="0"/>
              <w:right w:val="single" w:color="auto" w:sz="4" w:space="0"/>
            </w:tcBorders>
            <w:shd w:val="clear" w:color="auto" w:fill="auto"/>
            <w:vAlign w:val="center"/>
          </w:tcPr>
          <w:p w14:paraId="731BF21A">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开展民主监督次数</w:t>
            </w:r>
          </w:p>
        </w:tc>
        <w:tc>
          <w:tcPr>
            <w:tcW w:w="582" w:type="dxa"/>
            <w:tcBorders>
              <w:top w:val="single" w:color="auto" w:sz="4" w:space="0"/>
              <w:left w:val="single" w:color="auto" w:sz="4" w:space="0"/>
              <w:bottom w:val="single" w:color="auto" w:sz="4" w:space="0"/>
              <w:right w:val="single" w:color="auto" w:sz="4" w:space="0"/>
            </w:tcBorders>
            <w:shd w:val="clear" w:color="auto" w:fill="auto"/>
            <w:vAlign w:val="center"/>
          </w:tcPr>
          <w:p w14:paraId="0455EAA4">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1091" w:type="dxa"/>
            <w:tcBorders>
              <w:top w:val="single" w:color="auto" w:sz="4" w:space="0"/>
              <w:left w:val="single" w:color="auto" w:sz="4" w:space="0"/>
              <w:bottom w:val="single" w:color="auto" w:sz="4" w:space="0"/>
              <w:right w:val="single" w:color="auto" w:sz="4" w:space="0"/>
            </w:tcBorders>
            <w:shd w:val="clear" w:color="auto" w:fill="auto"/>
            <w:vAlign w:val="center"/>
          </w:tcPr>
          <w:p w14:paraId="2D8F134C">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&gt;=2次</w:t>
            </w:r>
          </w:p>
        </w:tc>
        <w:tc>
          <w:tcPr>
            <w:tcW w:w="872" w:type="dxa"/>
            <w:tcBorders>
              <w:top w:val="single" w:color="auto" w:sz="4" w:space="0"/>
              <w:left w:val="single" w:color="auto" w:sz="4" w:space="0"/>
              <w:bottom w:val="single" w:color="auto" w:sz="4" w:space="0"/>
              <w:right w:val="single" w:color="auto" w:sz="4" w:space="0"/>
            </w:tcBorders>
            <w:shd w:val="clear" w:color="auto" w:fill="auto"/>
            <w:vAlign w:val="center"/>
          </w:tcPr>
          <w:p w14:paraId="1713F581">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=2次</w:t>
            </w: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009AB53E">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14:paraId="019E105C">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963" w:type="dxa"/>
            <w:tcBorders>
              <w:top w:val="single" w:color="auto" w:sz="4" w:space="0"/>
              <w:left w:val="single" w:color="auto" w:sz="4" w:space="0"/>
              <w:bottom w:val="single" w:color="auto" w:sz="4" w:space="0"/>
              <w:right w:val="single" w:color="auto" w:sz="4" w:space="0"/>
            </w:tcBorders>
            <w:shd w:val="clear" w:color="auto" w:fill="auto"/>
            <w:vAlign w:val="center"/>
          </w:tcPr>
          <w:p w14:paraId="1E8ABD05">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计划标准</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663218">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0次</w:t>
            </w:r>
          </w:p>
        </w:tc>
        <w:tc>
          <w:tcPr>
            <w:tcW w:w="169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6BCA879">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按照完成比例赋分</w:t>
            </w:r>
          </w:p>
        </w:tc>
        <w:tc>
          <w:tcPr>
            <w:tcW w:w="973" w:type="dxa"/>
            <w:tcBorders>
              <w:top w:val="single" w:color="auto" w:sz="4" w:space="0"/>
              <w:left w:val="single" w:color="auto" w:sz="4" w:space="0"/>
              <w:bottom w:val="single" w:color="auto" w:sz="4" w:space="0"/>
              <w:right w:val="single" w:color="auto" w:sz="4" w:space="0"/>
            </w:tcBorders>
            <w:shd w:val="clear" w:color="auto" w:fill="auto"/>
            <w:vAlign w:val="center"/>
          </w:tcPr>
          <w:p w14:paraId="1FB6583A">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工作资料</w:t>
            </w:r>
          </w:p>
        </w:tc>
        <w:tc>
          <w:tcPr>
            <w:tcW w:w="1223" w:type="dxa"/>
            <w:tcBorders>
              <w:top w:val="single" w:color="auto" w:sz="4" w:space="0"/>
              <w:left w:val="single" w:color="auto" w:sz="4" w:space="0"/>
              <w:bottom w:val="single" w:color="auto" w:sz="4" w:space="0"/>
              <w:right w:val="single" w:color="auto" w:sz="4" w:space="0"/>
            </w:tcBorders>
            <w:shd w:val="clear" w:color="auto" w:fill="auto"/>
            <w:vAlign w:val="center"/>
          </w:tcPr>
          <w:p w14:paraId="7C8BC178">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4776D270">
        <w:tblPrEx>
          <w:tblCellMar>
            <w:top w:w="0" w:type="dxa"/>
            <w:left w:w="108" w:type="dxa"/>
            <w:bottom w:w="0" w:type="dxa"/>
            <w:right w:w="108" w:type="dxa"/>
          </w:tblCellMar>
        </w:tblPrEx>
        <w:trPr>
          <w:trHeight w:val="379" w:hRule="atLeast"/>
          <w:jc w:val="center"/>
        </w:trPr>
        <w:tc>
          <w:tcPr>
            <w:tcW w:w="454" w:type="dxa"/>
            <w:vMerge w:val="continue"/>
            <w:tcBorders>
              <w:top w:val="nil"/>
              <w:left w:val="single" w:color="auto" w:sz="4" w:space="0"/>
              <w:bottom w:val="single" w:color="auto" w:sz="4" w:space="0"/>
              <w:right w:val="single" w:color="auto" w:sz="4" w:space="0"/>
            </w:tcBorders>
            <w:vAlign w:val="center"/>
          </w:tcPr>
          <w:p w14:paraId="5FA02581">
            <w:pPr>
              <w:widowControl/>
              <w:spacing w:line="300" w:lineRule="exact"/>
              <w:jc w:val="left"/>
              <w:rPr>
                <w:rFonts w:ascii="宋体" w:hAnsi="宋体" w:cs="宋体"/>
                <w:b/>
                <w:bCs/>
                <w:color w:val="000000"/>
                <w:kern w:val="0"/>
                <w:sz w:val="18"/>
                <w:szCs w:val="18"/>
              </w:rPr>
            </w:pPr>
          </w:p>
        </w:tc>
        <w:tc>
          <w:tcPr>
            <w:tcW w:w="905" w:type="dxa"/>
            <w:vMerge w:val="continue"/>
            <w:tcBorders>
              <w:top w:val="nil"/>
              <w:left w:val="single" w:color="auto" w:sz="4" w:space="0"/>
              <w:bottom w:val="single" w:color="auto" w:sz="4" w:space="0"/>
              <w:right w:val="single" w:color="auto" w:sz="4" w:space="0"/>
            </w:tcBorders>
            <w:vAlign w:val="center"/>
          </w:tcPr>
          <w:p w14:paraId="6EDD4F69">
            <w:pPr>
              <w:widowControl/>
              <w:spacing w:line="300" w:lineRule="exact"/>
              <w:jc w:val="left"/>
              <w:rPr>
                <w:rFonts w:ascii="宋体" w:hAnsi="宋体" w:cs="宋体"/>
                <w:color w:val="000000"/>
                <w:kern w:val="0"/>
                <w:sz w:val="18"/>
                <w:szCs w:val="18"/>
              </w:rPr>
            </w:pPr>
          </w:p>
        </w:tc>
        <w:tc>
          <w:tcPr>
            <w:tcW w:w="941" w:type="dxa"/>
            <w:tcBorders>
              <w:top w:val="single" w:color="auto" w:sz="4" w:space="0"/>
              <w:left w:val="single" w:color="auto" w:sz="4" w:space="0"/>
              <w:bottom w:val="single" w:color="auto" w:sz="4" w:space="0"/>
              <w:right w:val="single" w:color="auto" w:sz="4" w:space="0"/>
            </w:tcBorders>
            <w:shd w:val="clear" w:color="auto" w:fill="auto"/>
            <w:vAlign w:val="center"/>
          </w:tcPr>
          <w:p w14:paraId="74EA0308">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数量指标</w:t>
            </w:r>
          </w:p>
        </w:tc>
        <w:tc>
          <w:tcPr>
            <w:tcW w:w="2004" w:type="dxa"/>
            <w:tcBorders>
              <w:top w:val="single" w:color="auto" w:sz="4" w:space="0"/>
              <w:left w:val="single" w:color="auto" w:sz="4" w:space="0"/>
              <w:bottom w:val="single" w:color="auto" w:sz="4" w:space="0"/>
              <w:right w:val="single" w:color="auto" w:sz="4" w:space="0"/>
            </w:tcBorders>
            <w:shd w:val="clear" w:color="auto" w:fill="auto"/>
            <w:vAlign w:val="center"/>
          </w:tcPr>
          <w:p w14:paraId="14D80A94">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上报社情民意信息数量</w:t>
            </w:r>
          </w:p>
        </w:tc>
        <w:tc>
          <w:tcPr>
            <w:tcW w:w="582" w:type="dxa"/>
            <w:tcBorders>
              <w:top w:val="single" w:color="auto" w:sz="4" w:space="0"/>
              <w:left w:val="single" w:color="auto" w:sz="4" w:space="0"/>
              <w:bottom w:val="single" w:color="auto" w:sz="4" w:space="0"/>
              <w:right w:val="single" w:color="auto" w:sz="4" w:space="0"/>
            </w:tcBorders>
            <w:shd w:val="clear" w:color="auto" w:fill="auto"/>
            <w:vAlign w:val="center"/>
          </w:tcPr>
          <w:p w14:paraId="07577DBB">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1091" w:type="dxa"/>
            <w:tcBorders>
              <w:top w:val="single" w:color="auto" w:sz="4" w:space="0"/>
              <w:left w:val="single" w:color="auto" w:sz="4" w:space="0"/>
              <w:bottom w:val="single" w:color="auto" w:sz="4" w:space="0"/>
              <w:right w:val="single" w:color="auto" w:sz="4" w:space="0"/>
            </w:tcBorders>
            <w:shd w:val="clear" w:color="auto" w:fill="auto"/>
            <w:vAlign w:val="center"/>
          </w:tcPr>
          <w:p w14:paraId="4876C793">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&gt;=20件</w:t>
            </w:r>
          </w:p>
        </w:tc>
        <w:tc>
          <w:tcPr>
            <w:tcW w:w="872" w:type="dxa"/>
            <w:tcBorders>
              <w:top w:val="single" w:color="auto" w:sz="4" w:space="0"/>
              <w:left w:val="single" w:color="auto" w:sz="4" w:space="0"/>
              <w:bottom w:val="single" w:color="auto" w:sz="4" w:space="0"/>
              <w:right w:val="single" w:color="auto" w:sz="4" w:space="0"/>
            </w:tcBorders>
            <w:shd w:val="clear" w:color="auto" w:fill="auto"/>
            <w:vAlign w:val="center"/>
          </w:tcPr>
          <w:p w14:paraId="3CF2A92F">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=20件</w:t>
            </w: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66523AB6">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14:paraId="5B402354">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963" w:type="dxa"/>
            <w:tcBorders>
              <w:top w:val="single" w:color="auto" w:sz="4" w:space="0"/>
              <w:left w:val="single" w:color="auto" w:sz="4" w:space="0"/>
              <w:bottom w:val="single" w:color="auto" w:sz="4" w:space="0"/>
              <w:right w:val="single" w:color="auto" w:sz="4" w:space="0"/>
            </w:tcBorders>
            <w:shd w:val="clear" w:color="auto" w:fill="auto"/>
            <w:vAlign w:val="center"/>
          </w:tcPr>
          <w:p w14:paraId="5C65A795">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历史标准</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F5E913">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20件</w:t>
            </w:r>
          </w:p>
        </w:tc>
        <w:tc>
          <w:tcPr>
            <w:tcW w:w="169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D9F2CDF">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按照完成比例赋分</w:t>
            </w:r>
          </w:p>
        </w:tc>
        <w:tc>
          <w:tcPr>
            <w:tcW w:w="973" w:type="dxa"/>
            <w:tcBorders>
              <w:top w:val="single" w:color="auto" w:sz="4" w:space="0"/>
              <w:left w:val="single" w:color="auto" w:sz="4" w:space="0"/>
              <w:bottom w:val="single" w:color="auto" w:sz="4" w:space="0"/>
              <w:right w:val="single" w:color="auto" w:sz="4" w:space="0"/>
            </w:tcBorders>
            <w:shd w:val="clear" w:color="auto" w:fill="auto"/>
            <w:vAlign w:val="center"/>
          </w:tcPr>
          <w:p w14:paraId="73B343EF">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工作资料</w:t>
            </w:r>
          </w:p>
        </w:tc>
        <w:tc>
          <w:tcPr>
            <w:tcW w:w="1223" w:type="dxa"/>
            <w:tcBorders>
              <w:top w:val="single" w:color="auto" w:sz="4" w:space="0"/>
              <w:left w:val="single" w:color="auto" w:sz="4" w:space="0"/>
              <w:bottom w:val="single" w:color="auto" w:sz="4" w:space="0"/>
              <w:right w:val="single" w:color="auto" w:sz="4" w:space="0"/>
            </w:tcBorders>
            <w:shd w:val="clear" w:color="auto" w:fill="auto"/>
            <w:vAlign w:val="center"/>
          </w:tcPr>
          <w:p w14:paraId="00D110DD">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3B9CE976">
        <w:tblPrEx>
          <w:tblCellMar>
            <w:top w:w="0" w:type="dxa"/>
            <w:left w:w="108" w:type="dxa"/>
            <w:bottom w:w="0" w:type="dxa"/>
            <w:right w:w="108" w:type="dxa"/>
          </w:tblCellMar>
        </w:tblPrEx>
        <w:trPr>
          <w:trHeight w:val="379" w:hRule="atLeast"/>
          <w:jc w:val="center"/>
        </w:trPr>
        <w:tc>
          <w:tcPr>
            <w:tcW w:w="454" w:type="dxa"/>
            <w:vMerge w:val="continue"/>
            <w:tcBorders>
              <w:top w:val="nil"/>
              <w:left w:val="single" w:color="auto" w:sz="4" w:space="0"/>
              <w:bottom w:val="single" w:color="auto" w:sz="4" w:space="0"/>
              <w:right w:val="single" w:color="auto" w:sz="4" w:space="0"/>
            </w:tcBorders>
            <w:vAlign w:val="center"/>
          </w:tcPr>
          <w:p w14:paraId="1F7781F8">
            <w:pPr>
              <w:widowControl/>
              <w:spacing w:line="300" w:lineRule="exact"/>
              <w:jc w:val="left"/>
              <w:rPr>
                <w:rFonts w:ascii="宋体" w:hAnsi="宋体" w:cs="宋体"/>
                <w:b/>
                <w:bCs/>
                <w:color w:val="000000"/>
                <w:kern w:val="0"/>
                <w:sz w:val="18"/>
                <w:szCs w:val="18"/>
              </w:rPr>
            </w:pPr>
          </w:p>
        </w:tc>
        <w:tc>
          <w:tcPr>
            <w:tcW w:w="905" w:type="dxa"/>
            <w:vMerge w:val="continue"/>
            <w:tcBorders>
              <w:top w:val="nil"/>
              <w:left w:val="single" w:color="auto" w:sz="4" w:space="0"/>
              <w:bottom w:val="single" w:color="auto" w:sz="4" w:space="0"/>
              <w:right w:val="single" w:color="auto" w:sz="4" w:space="0"/>
            </w:tcBorders>
            <w:vAlign w:val="center"/>
          </w:tcPr>
          <w:p w14:paraId="6CFC1E53">
            <w:pPr>
              <w:widowControl/>
              <w:spacing w:line="300" w:lineRule="exact"/>
              <w:jc w:val="left"/>
              <w:rPr>
                <w:rFonts w:ascii="宋体" w:hAnsi="宋体" w:cs="宋体"/>
                <w:color w:val="000000"/>
                <w:kern w:val="0"/>
                <w:sz w:val="18"/>
                <w:szCs w:val="18"/>
              </w:rPr>
            </w:pPr>
          </w:p>
        </w:tc>
        <w:tc>
          <w:tcPr>
            <w:tcW w:w="941" w:type="dxa"/>
            <w:tcBorders>
              <w:top w:val="single" w:color="auto" w:sz="4" w:space="0"/>
              <w:left w:val="nil"/>
              <w:bottom w:val="single" w:color="auto" w:sz="4" w:space="0"/>
              <w:right w:val="single" w:color="auto" w:sz="4" w:space="0"/>
            </w:tcBorders>
            <w:shd w:val="clear" w:color="auto" w:fill="auto"/>
            <w:vAlign w:val="center"/>
          </w:tcPr>
          <w:p w14:paraId="0685110D">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数量指标</w:t>
            </w:r>
          </w:p>
        </w:tc>
        <w:tc>
          <w:tcPr>
            <w:tcW w:w="2004" w:type="dxa"/>
            <w:tcBorders>
              <w:top w:val="single" w:color="auto" w:sz="4" w:space="0"/>
              <w:left w:val="nil"/>
              <w:bottom w:val="single" w:color="auto" w:sz="4" w:space="0"/>
              <w:right w:val="single" w:color="auto" w:sz="4" w:space="0"/>
            </w:tcBorders>
            <w:shd w:val="clear" w:color="auto" w:fill="auto"/>
            <w:vAlign w:val="center"/>
          </w:tcPr>
          <w:p w14:paraId="6A4DAAF7">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聘用人员工资、社保人次</w:t>
            </w:r>
          </w:p>
        </w:tc>
        <w:tc>
          <w:tcPr>
            <w:tcW w:w="582" w:type="dxa"/>
            <w:tcBorders>
              <w:top w:val="single" w:color="auto" w:sz="4" w:space="0"/>
              <w:left w:val="nil"/>
              <w:bottom w:val="single" w:color="auto" w:sz="4" w:space="0"/>
              <w:right w:val="single" w:color="auto" w:sz="4" w:space="0"/>
            </w:tcBorders>
            <w:shd w:val="clear" w:color="auto" w:fill="auto"/>
            <w:vAlign w:val="center"/>
          </w:tcPr>
          <w:p w14:paraId="38BB591C">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1091" w:type="dxa"/>
            <w:tcBorders>
              <w:top w:val="single" w:color="auto" w:sz="4" w:space="0"/>
              <w:left w:val="nil"/>
              <w:bottom w:val="single" w:color="auto" w:sz="4" w:space="0"/>
              <w:right w:val="single" w:color="auto" w:sz="4" w:space="0"/>
            </w:tcBorders>
            <w:shd w:val="clear" w:color="auto" w:fill="auto"/>
            <w:vAlign w:val="center"/>
          </w:tcPr>
          <w:p w14:paraId="40995411">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&gt;=24人次</w:t>
            </w:r>
          </w:p>
        </w:tc>
        <w:tc>
          <w:tcPr>
            <w:tcW w:w="872" w:type="dxa"/>
            <w:tcBorders>
              <w:top w:val="single" w:color="auto" w:sz="4" w:space="0"/>
              <w:left w:val="nil"/>
              <w:bottom w:val="single" w:color="auto" w:sz="4" w:space="0"/>
              <w:right w:val="single" w:color="auto" w:sz="4" w:space="0"/>
            </w:tcBorders>
            <w:shd w:val="clear" w:color="auto" w:fill="auto"/>
            <w:vAlign w:val="center"/>
          </w:tcPr>
          <w:p w14:paraId="5D28C08F">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=24人次</w:t>
            </w:r>
          </w:p>
        </w:tc>
        <w:tc>
          <w:tcPr>
            <w:tcW w:w="750" w:type="dxa"/>
            <w:tcBorders>
              <w:top w:val="single" w:color="auto" w:sz="4" w:space="0"/>
              <w:left w:val="nil"/>
              <w:bottom w:val="single" w:color="auto" w:sz="4" w:space="0"/>
              <w:right w:val="single" w:color="auto" w:sz="4" w:space="0"/>
            </w:tcBorders>
            <w:shd w:val="clear" w:color="auto" w:fill="auto"/>
            <w:vAlign w:val="center"/>
          </w:tcPr>
          <w:p w14:paraId="0AEF1F42">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010" w:type="dxa"/>
            <w:tcBorders>
              <w:top w:val="single" w:color="auto" w:sz="4" w:space="0"/>
              <w:left w:val="nil"/>
              <w:bottom w:val="single" w:color="auto" w:sz="4" w:space="0"/>
              <w:right w:val="single" w:color="auto" w:sz="4" w:space="0"/>
            </w:tcBorders>
            <w:shd w:val="clear" w:color="auto" w:fill="auto"/>
            <w:vAlign w:val="center"/>
          </w:tcPr>
          <w:p w14:paraId="22A2FF05">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963" w:type="dxa"/>
            <w:tcBorders>
              <w:top w:val="single" w:color="auto" w:sz="4" w:space="0"/>
              <w:left w:val="nil"/>
              <w:bottom w:val="single" w:color="auto" w:sz="4" w:space="0"/>
              <w:right w:val="single" w:color="auto" w:sz="4" w:space="0"/>
            </w:tcBorders>
            <w:shd w:val="clear" w:color="auto" w:fill="auto"/>
            <w:vAlign w:val="center"/>
          </w:tcPr>
          <w:p w14:paraId="249DF8ED">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历史标准</w:t>
            </w:r>
          </w:p>
        </w:tc>
        <w:tc>
          <w:tcPr>
            <w:tcW w:w="1050" w:type="dxa"/>
            <w:gridSpan w:val="2"/>
            <w:tcBorders>
              <w:top w:val="single" w:color="auto" w:sz="4" w:space="0"/>
              <w:left w:val="nil"/>
              <w:bottom w:val="single" w:color="auto" w:sz="4" w:space="0"/>
              <w:right w:val="single" w:color="auto" w:sz="4" w:space="0"/>
            </w:tcBorders>
            <w:shd w:val="clear" w:color="auto" w:fill="auto"/>
            <w:vAlign w:val="center"/>
          </w:tcPr>
          <w:p w14:paraId="704F8627">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24人次</w:t>
            </w:r>
          </w:p>
        </w:tc>
        <w:tc>
          <w:tcPr>
            <w:tcW w:w="1691" w:type="dxa"/>
            <w:gridSpan w:val="3"/>
            <w:tcBorders>
              <w:top w:val="single" w:color="auto" w:sz="4" w:space="0"/>
              <w:left w:val="nil"/>
              <w:bottom w:val="single" w:color="auto" w:sz="4" w:space="0"/>
              <w:right w:val="single" w:color="auto" w:sz="4" w:space="0"/>
            </w:tcBorders>
            <w:shd w:val="clear" w:color="auto" w:fill="auto"/>
            <w:vAlign w:val="center"/>
          </w:tcPr>
          <w:p w14:paraId="3028C22A">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按照完成比例赋分</w:t>
            </w:r>
          </w:p>
        </w:tc>
        <w:tc>
          <w:tcPr>
            <w:tcW w:w="973" w:type="dxa"/>
            <w:tcBorders>
              <w:top w:val="single" w:color="auto" w:sz="4" w:space="0"/>
              <w:left w:val="nil"/>
              <w:bottom w:val="single" w:color="auto" w:sz="4" w:space="0"/>
              <w:right w:val="single" w:color="auto" w:sz="4" w:space="0"/>
            </w:tcBorders>
            <w:shd w:val="clear" w:color="auto" w:fill="auto"/>
            <w:vAlign w:val="center"/>
          </w:tcPr>
          <w:p w14:paraId="5728F681">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工作资料</w:t>
            </w:r>
          </w:p>
        </w:tc>
        <w:tc>
          <w:tcPr>
            <w:tcW w:w="1223" w:type="dxa"/>
            <w:tcBorders>
              <w:top w:val="single" w:color="auto" w:sz="4" w:space="0"/>
              <w:left w:val="nil"/>
              <w:bottom w:val="single" w:color="auto" w:sz="4" w:space="0"/>
              <w:right w:val="single" w:color="auto" w:sz="4" w:space="0"/>
            </w:tcBorders>
            <w:shd w:val="clear" w:color="auto" w:fill="auto"/>
            <w:vAlign w:val="center"/>
          </w:tcPr>
          <w:p w14:paraId="534707B3">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47469BB5">
        <w:tblPrEx>
          <w:tblCellMar>
            <w:top w:w="0" w:type="dxa"/>
            <w:left w:w="108" w:type="dxa"/>
            <w:bottom w:w="0" w:type="dxa"/>
            <w:right w:w="108" w:type="dxa"/>
          </w:tblCellMar>
        </w:tblPrEx>
        <w:trPr>
          <w:trHeight w:val="379" w:hRule="atLeast"/>
          <w:jc w:val="center"/>
        </w:trPr>
        <w:tc>
          <w:tcPr>
            <w:tcW w:w="454" w:type="dxa"/>
            <w:vMerge w:val="continue"/>
            <w:tcBorders>
              <w:top w:val="nil"/>
              <w:left w:val="single" w:color="auto" w:sz="4" w:space="0"/>
              <w:bottom w:val="single" w:color="auto" w:sz="4" w:space="0"/>
              <w:right w:val="single" w:color="auto" w:sz="4" w:space="0"/>
            </w:tcBorders>
            <w:vAlign w:val="center"/>
          </w:tcPr>
          <w:p w14:paraId="7F42D03B">
            <w:pPr>
              <w:widowControl/>
              <w:spacing w:line="300" w:lineRule="exact"/>
              <w:jc w:val="left"/>
              <w:rPr>
                <w:rFonts w:ascii="宋体" w:hAnsi="宋体" w:cs="宋体"/>
                <w:b/>
                <w:bCs/>
                <w:color w:val="000000"/>
                <w:kern w:val="0"/>
                <w:sz w:val="18"/>
                <w:szCs w:val="18"/>
              </w:rPr>
            </w:pPr>
          </w:p>
        </w:tc>
        <w:tc>
          <w:tcPr>
            <w:tcW w:w="905" w:type="dxa"/>
            <w:vMerge w:val="continue"/>
            <w:tcBorders>
              <w:top w:val="nil"/>
              <w:left w:val="single" w:color="auto" w:sz="4" w:space="0"/>
              <w:bottom w:val="single" w:color="auto" w:sz="4" w:space="0"/>
              <w:right w:val="single" w:color="auto" w:sz="4" w:space="0"/>
            </w:tcBorders>
            <w:vAlign w:val="center"/>
          </w:tcPr>
          <w:p w14:paraId="62A20C35">
            <w:pPr>
              <w:widowControl/>
              <w:spacing w:line="300" w:lineRule="exact"/>
              <w:jc w:val="left"/>
              <w:rPr>
                <w:rFonts w:ascii="宋体" w:hAnsi="宋体" w:cs="宋体"/>
                <w:color w:val="000000"/>
                <w:kern w:val="0"/>
                <w:sz w:val="18"/>
                <w:szCs w:val="18"/>
              </w:rPr>
            </w:pPr>
          </w:p>
        </w:tc>
        <w:tc>
          <w:tcPr>
            <w:tcW w:w="941" w:type="dxa"/>
            <w:tcBorders>
              <w:top w:val="nil"/>
              <w:left w:val="nil"/>
              <w:bottom w:val="single" w:color="auto" w:sz="4" w:space="0"/>
              <w:right w:val="single" w:color="auto" w:sz="4" w:space="0"/>
            </w:tcBorders>
            <w:shd w:val="clear" w:color="auto" w:fill="auto"/>
            <w:vAlign w:val="center"/>
          </w:tcPr>
          <w:p w14:paraId="1919049C">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质量指标</w:t>
            </w:r>
          </w:p>
        </w:tc>
        <w:tc>
          <w:tcPr>
            <w:tcW w:w="2004" w:type="dxa"/>
            <w:tcBorders>
              <w:top w:val="nil"/>
              <w:left w:val="nil"/>
              <w:bottom w:val="single" w:color="auto" w:sz="4" w:space="0"/>
              <w:right w:val="single" w:color="auto" w:sz="4" w:space="0"/>
            </w:tcBorders>
            <w:shd w:val="clear" w:color="auto" w:fill="auto"/>
            <w:vAlign w:val="center"/>
          </w:tcPr>
          <w:p w14:paraId="6D038B99">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期刊印刷完成率</w:t>
            </w:r>
          </w:p>
        </w:tc>
        <w:tc>
          <w:tcPr>
            <w:tcW w:w="582" w:type="dxa"/>
            <w:tcBorders>
              <w:top w:val="nil"/>
              <w:left w:val="nil"/>
              <w:bottom w:val="single" w:color="auto" w:sz="4" w:space="0"/>
              <w:right w:val="single" w:color="auto" w:sz="4" w:space="0"/>
            </w:tcBorders>
            <w:shd w:val="clear" w:color="auto" w:fill="auto"/>
            <w:vAlign w:val="center"/>
          </w:tcPr>
          <w:p w14:paraId="67BA8127">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1091" w:type="dxa"/>
            <w:tcBorders>
              <w:top w:val="nil"/>
              <w:left w:val="nil"/>
              <w:bottom w:val="single" w:color="auto" w:sz="4" w:space="0"/>
              <w:right w:val="single" w:color="auto" w:sz="4" w:space="0"/>
            </w:tcBorders>
            <w:shd w:val="clear" w:color="auto" w:fill="auto"/>
            <w:vAlign w:val="center"/>
          </w:tcPr>
          <w:p w14:paraId="0F3A89FD">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&gt;=90%</w:t>
            </w:r>
          </w:p>
        </w:tc>
        <w:tc>
          <w:tcPr>
            <w:tcW w:w="872" w:type="dxa"/>
            <w:tcBorders>
              <w:top w:val="nil"/>
              <w:left w:val="nil"/>
              <w:bottom w:val="single" w:color="auto" w:sz="4" w:space="0"/>
              <w:right w:val="single" w:color="auto" w:sz="4" w:space="0"/>
            </w:tcBorders>
            <w:shd w:val="clear" w:color="auto" w:fill="auto"/>
            <w:vAlign w:val="center"/>
          </w:tcPr>
          <w:p w14:paraId="37171DEA">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=90%</w:t>
            </w:r>
          </w:p>
        </w:tc>
        <w:tc>
          <w:tcPr>
            <w:tcW w:w="750" w:type="dxa"/>
            <w:tcBorders>
              <w:top w:val="nil"/>
              <w:left w:val="nil"/>
              <w:bottom w:val="single" w:color="auto" w:sz="4" w:space="0"/>
              <w:right w:val="single" w:color="auto" w:sz="4" w:space="0"/>
            </w:tcBorders>
            <w:shd w:val="clear" w:color="auto" w:fill="auto"/>
            <w:vAlign w:val="center"/>
          </w:tcPr>
          <w:p w14:paraId="23C7F76A">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010" w:type="dxa"/>
            <w:tcBorders>
              <w:top w:val="nil"/>
              <w:left w:val="nil"/>
              <w:bottom w:val="single" w:color="auto" w:sz="4" w:space="0"/>
              <w:right w:val="single" w:color="auto" w:sz="4" w:space="0"/>
            </w:tcBorders>
            <w:shd w:val="clear" w:color="auto" w:fill="auto"/>
            <w:vAlign w:val="center"/>
          </w:tcPr>
          <w:p w14:paraId="2CE2C3AA">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963" w:type="dxa"/>
            <w:tcBorders>
              <w:top w:val="nil"/>
              <w:left w:val="nil"/>
              <w:bottom w:val="single" w:color="auto" w:sz="4" w:space="0"/>
              <w:right w:val="single" w:color="auto" w:sz="4" w:space="0"/>
            </w:tcBorders>
            <w:shd w:val="clear" w:color="auto" w:fill="auto"/>
            <w:vAlign w:val="center"/>
          </w:tcPr>
          <w:p w14:paraId="7CE5D74E">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历史标准</w:t>
            </w:r>
          </w:p>
        </w:tc>
        <w:tc>
          <w:tcPr>
            <w:tcW w:w="1050" w:type="dxa"/>
            <w:gridSpan w:val="2"/>
            <w:tcBorders>
              <w:top w:val="nil"/>
              <w:left w:val="nil"/>
              <w:bottom w:val="single" w:color="auto" w:sz="4" w:space="0"/>
              <w:right w:val="single" w:color="auto" w:sz="4" w:space="0"/>
            </w:tcBorders>
            <w:shd w:val="clear" w:color="auto" w:fill="auto"/>
            <w:vAlign w:val="center"/>
          </w:tcPr>
          <w:p w14:paraId="30F02EBC">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691" w:type="dxa"/>
            <w:gridSpan w:val="3"/>
            <w:tcBorders>
              <w:top w:val="nil"/>
              <w:left w:val="nil"/>
              <w:bottom w:val="single" w:color="auto" w:sz="4" w:space="0"/>
              <w:right w:val="single" w:color="auto" w:sz="4" w:space="0"/>
            </w:tcBorders>
            <w:shd w:val="clear" w:color="auto" w:fill="auto"/>
            <w:vAlign w:val="center"/>
          </w:tcPr>
          <w:p w14:paraId="4AFF1789">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按照完成比例赋分</w:t>
            </w:r>
          </w:p>
        </w:tc>
        <w:tc>
          <w:tcPr>
            <w:tcW w:w="973" w:type="dxa"/>
            <w:tcBorders>
              <w:top w:val="nil"/>
              <w:left w:val="nil"/>
              <w:bottom w:val="single" w:color="auto" w:sz="4" w:space="0"/>
              <w:right w:val="single" w:color="auto" w:sz="4" w:space="0"/>
            </w:tcBorders>
            <w:shd w:val="clear" w:color="auto" w:fill="auto"/>
            <w:vAlign w:val="center"/>
          </w:tcPr>
          <w:p w14:paraId="23B3B0A6">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工作资料</w:t>
            </w:r>
          </w:p>
        </w:tc>
        <w:tc>
          <w:tcPr>
            <w:tcW w:w="1223" w:type="dxa"/>
            <w:tcBorders>
              <w:top w:val="nil"/>
              <w:left w:val="nil"/>
              <w:bottom w:val="single" w:color="auto" w:sz="4" w:space="0"/>
              <w:right w:val="single" w:color="auto" w:sz="4" w:space="0"/>
            </w:tcBorders>
            <w:shd w:val="clear" w:color="auto" w:fill="auto"/>
            <w:vAlign w:val="center"/>
          </w:tcPr>
          <w:p w14:paraId="2DD13945">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63D1FA62">
        <w:tblPrEx>
          <w:tblCellMar>
            <w:top w:w="0" w:type="dxa"/>
            <w:left w:w="108" w:type="dxa"/>
            <w:bottom w:w="0" w:type="dxa"/>
            <w:right w:w="108" w:type="dxa"/>
          </w:tblCellMar>
        </w:tblPrEx>
        <w:trPr>
          <w:trHeight w:val="379" w:hRule="atLeast"/>
          <w:jc w:val="center"/>
        </w:trPr>
        <w:tc>
          <w:tcPr>
            <w:tcW w:w="454" w:type="dxa"/>
            <w:vMerge w:val="continue"/>
            <w:tcBorders>
              <w:top w:val="nil"/>
              <w:left w:val="single" w:color="auto" w:sz="4" w:space="0"/>
              <w:bottom w:val="single" w:color="auto" w:sz="4" w:space="0"/>
              <w:right w:val="single" w:color="auto" w:sz="4" w:space="0"/>
            </w:tcBorders>
            <w:vAlign w:val="center"/>
          </w:tcPr>
          <w:p w14:paraId="70501021">
            <w:pPr>
              <w:widowControl/>
              <w:spacing w:line="300" w:lineRule="exact"/>
              <w:jc w:val="left"/>
              <w:rPr>
                <w:rFonts w:ascii="宋体" w:hAnsi="宋体" w:cs="宋体"/>
                <w:b/>
                <w:bCs/>
                <w:color w:val="000000"/>
                <w:kern w:val="0"/>
                <w:sz w:val="18"/>
                <w:szCs w:val="18"/>
              </w:rPr>
            </w:pPr>
          </w:p>
        </w:tc>
        <w:tc>
          <w:tcPr>
            <w:tcW w:w="905" w:type="dxa"/>
            <w:vMerge w:val="continue"/>
            <w:tcBorders>
              <w:top w:val="nil"/>
              <w:left w:val="single" w:color="auto" w:sz="4" w:space="0"/>
              <w:bottom w:val="single" w:color="auto" w:sz="4" w:space="0"/>
              <w:right w:val="single" w:color="auto" w:sz="4" w:space="0"/>
            </w:tcBorders>
            <w:vAlign w:val="center"/>
          </w:tcPr>
          <w:p w14:paraId="6D185553">
            <w:pPr>
              <w:widowControl/>
              <w:spacing w:line="300" w:lineRule="exact"/>
              <w:jc w:val="left"/>
              <w:rPr>
                <w:rFonts w:ascii="宋体" w:hAnsi="宋体" w:cs="宋体"/>
                <w:color w:val="000000"/>
                <w:kern w:val="0"/>
                <w:sz w:val="18"/>
                <w:szCs w:val="18"/>
              </w:rPr>
            </w:pPr>
          </w:p>
        </w:tc>
        <w:tc>
          <w:tcPr>
            <w:tcW w:w="941" w:type="dxa"/>
            <w:tcBorders>
              <w:top w:val="nil"/>
              <w:left w:val="nil"/>
              <w:bottom w:val="single" w:color="auto" w:sz="4" w:space="0"/>
              <w:right w:val="single" w:color="auto" w:sz="4" w:space="0"/>
            </w:tcBorders>
            <w:shd w:val="clear" w:color="auto" w:fill="auto"/>
            <w:vAlign w:val="center"/>
          </w:tcPr>
          <w:p w14:paraId="0E55A9D3">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质量指标</w:t>
            </w:r>
          </w:p>
        </w:tc>
        <w:tc>
          <w:tcPr>
            <w:tcW w:w="2004" w:type="dxa"/>
            <w:tcBorders>
              <w:top w:val="nil"/>
              <w:left w:val="nil"/>
              <w:bottom w:val="single" w:color="auto" w:sz="4" w:space="0"/>
              <w:right w:val="single" w:color="auto" w:sz="4" w:space="0"/>
            </w:tcBorders>
            <w:shd w:val="clear" w:color="auto" w:fill="auto"/>
            <w:vAlign w:val="center"/>
          </w:tcPr>
          <w:p w14:paraId="6807B94E">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提案立案合格率</w:t>
            </w:r>
          </w:p>
        </w:tc>
        <w:tc>
          <w:tcPr>
            <w:tcW w:w="582" w:type="dxa"/>
            <w:tcBorders>
              <w:top w:val="nil"/>
              <w:left w:val="nil"/>
              <w:bottom w:val="single" w:color="auto" w:sz="4" w:space="0"/>
              <w:right w:val="single" w:color="auto" w:sz="4" w:space="0"/>
            </w:tcBorders>
            <w:shd w:val="clear" w:color="auto" w:fill="auto"/>
            <w:vAlign w:val="center"/>
          </w:tcPr>
          <w:p w14:paraId="4E4E5A2B">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1091" w:type="dxa"/>
            <w:tcBorders>
              <w:top w:val="nil"/>
              <w:left w:val="nil"/>
              <w:bottom w:val="single" w:color="auto" w:sz="4" w:space="0"/>
              <w:right w:val="single" w:color="auto" w:sz="4" w:space="0"/>
            </w:tcBorders>
            <w:shd w:val="clear" w:color="auto" w:fill="auto"/>
            <w:vAlign w:val="center"/>
          </w:tcPr>
          <w:p w14:paraId="3E6C8921">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&gt;=90%</w:t>
            </w:r>
          </w:p>
        </w:tc>
        <w:tc>
          <w:tcPr>
            <w:tcW w:w="872" w:type="dxa"/>
            <w:tcBorders>
              <w:top w:val="nil"/>
              <w:left w:val="nil"/>
              <w:bottom w:val="single" w:color="auto" w:sz="4" w:space="0"/>
              <w:right w:val="single" w:color="auto" w:sz="4" w:space="0"/>
            </w:tcBorders>
            <w:shd w:val="clear" w:color="auto" w:fill="auto"/>
            <w:vAlign w:val="center"/>
          </w:tcPr>
          <w:p w14:paraId="735E3A0A">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=90%</w:t>
            </w:r>
          </w:p>
        </w:tc>
        <w:tc>
          <w:tcPr>
            <w:tcW w:w="750" w:type="dxa"/>
            <w:tcBorders>
              <w:top w:val="nil"/>
              <w:left w:val="nil"/>
              <w:bottom w:val="single" w:color="auto" w:sz="4" w:space="0"/>
              <w:right w:val="single" w:color="auto" w:sz="4" w:space="0"/>
            </w:tcBorders>
            <w:shd w:val="clear" w:color="auto" w:fill="auto"/>
            <w:vAlign w:val="center"/>
          </w:tcPr>
          <w:p w14:paraId="5BA64A6E">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010" w:type="dxa"/>
            <w:tcBorders>
              <w:top w:val="nil"/>
              <w:left w:val="nil"/>
              <w:bottom w:val="single" w:color="auto" w:sz="4" w:space="0"/>
              <w:right w:val="single" w:color="auto" w:sz="4" w:space="0"/>
            </w:tcBorders>
            <w:shd w:val="clear" w:color="auto" w:fill="auto"/>
            <w:vAlign w:val="center"/>
          </w:tcPr>
          <w:p w14:paraId="1F99C8F5">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963" w:type="dxa"/>
            <w:tcBorders>
              <w:top w:val="nil"/>
              <w:left w:val="nil"/>
              <w:bottom w:val="single" w:color="auto" w:sz="4" w:space="0"/>
              <w:right w:val="single" w:color="auto" w:sz="4" w:space="0"/>
            </w:tcBorders>
            <w:shd w:val="clear" w:color="auto" w:fill="auto"/>
            <w:vAlign w:val="center"/>
          </w:tcPr>
          <w:p w14:paraId="4B236A36">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历史标准</w:t>
            </w:r>
          </w:p>
        </w:tc>
        <w:tc>
          <w:tcPr>
            <w:tcW w:w="1050" w:type="dxa"/>
            <w:gridSpan w:val="2"/>
            <w:tcBorders>
              <w:top w:val="nil"/>
              <w:left w:val="nil"/>
              <w:bottom w:val="single" w:color="auto" w:sz="4" w:space="0"/>
              <w:right w:val="single" w:color="auto" w:sz="4" w:space="0"/>
            </w:tcBorders>
            <w:shd w:val="clear" w:color="auto" w:fill="auto"/>
            <w:vAlign w:val="center"/>
          </w:tcPr>
          <w:p w14:paraId="01944CE8">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90%</w:t>
            </w:r>
          </w:p>
        </w:tc>
        <w:tc>
          <w:tcPr>
            <w:tcW w:w="1691" w:type="dxa"/>
            <w:gridSpan w:val="3"/>
            <w:tcBorders>
              <w:top w:val="nil"/>
              <w:left w:val="nil"/>
              <w:bottom w:val="single" w:color="auto" w:sz="4" w:space="0"/>
              <w:right w:val="single" w:color="auto" w:sz="4" w:space="0"/>
            </w:tcBorders>
            <w:shd w:val="clear" w:color="auto" w:fill="auto"/>
            <w:vAlign w:val="center"/>
          </w:tcPr>
          <w:p w14:paraId="748ED14F">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按照完成比例赋分</w:t>
            </w:r>
          </w:p>
        </w:tc>
        <w:tc>
          <w:tcPr>
            <w:tcW w:w="973" w:type="dxa"/>
            <w:tcBorders>
              <w:top w:val="nil"/>
              <w:left w:val="nil"/>
              <w:bottom w:val="single" w:color="auto" w:sz="4" w:space="0"/>
              <w:right w:val="single" w:color="auto" w:sz="4" w:space="0"/>
            </w:tcBorders>
            <w:shd w:val="clear" w:color="auto" w:fill="auto"/>
            <w:vAlign w:val="center"/>
          </w:tcPr>
          <w:p w14:paraId="1F9FCD8F">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工作资料</w:t>
            </w:r>
          </w:p>
        </w:tc>
        <w:tc>
          <w:tcPr>
            <w:tcW w:w="1223" w:type="dxa"/>
            <w:tcBorders>
              <w:top w:val="nil"/>
              <w:left w:val="nil"/>
              <w:bottom w:val="single" w:color="auto" w:sz="4" w:space="0"/>
              <w:right w:val="single" w:color="auto" w:sz="4" w:space="0"/>
            </w:tcBorders>
            <w:shd w:val="clear" w:color="auto" w:fill="auto"/>
            <w:vAlign w:val="center"/>
          </w:tcPr>
          <w:p w14:paraId="4AEC8481">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1D617A41">
        <w:tblPrEx>
          <w:tblCellMar>
            <w:top w:w="0" w:type="dxa"/>
            <w:left w:w="108" w:type="dxa"/>
            <w:bottom w:w="0" w:type="dxa"/>
            <w:right w:w="108" w:type="dxa"/>
          </w:tblCellMar>
        </w:tblPrEx>
        <w:trPr>
          <w:trHeight w:val="379" w:hRule="atLeast"/>
          <w:jc w:val="center"/>
        </w:trPr>
        <w:tc>
          <w:tcPr>
            <w:tcW w:w="454" w:type="dxa"/>
            <w:vMerge w:val="continue"/>
            <w:tcBorders>
              <w:top w:val="nil"/>
              <w:left w:val="single" w:color="auto" w:sz="4" w:space="0"/>
              <w:bottom w:val="single" w:color="auto" w:sz="4" w:space="0"/>
              <w:right w:val="single" w:color="auto" w:sz="4" w:space="0"/>
            </w:tcBorders>
            <w:vAlign w:val="center"/>
          </w:tcPr>
          <w:p w14:paraId="5AD160A8">
            <w:pPr>
              <w:widowControl/>
              <w:spacing w:line="300" w:lineRule="exact"/>
              <w:jc w:val="left"/>
              <w:rPr>
                <w:rFonts w:ascii="宋体" w:hAnsi="宋体" w:cs="宋体"/>
                <w:b/>
                <w:bCs/>
                <w:color w:val="000000"/>
                <w:kern w:val="0"/>
                <w:sz w:val="18"/>
                <w:szCs w:val="18"/>
              </w:rPr>
            </w:pPr>
          </w:p>
        </w:tc>
        <w:tc>
          <w:tcPr>
            <w:tcW w:w="905" w:type="dxa"/>
            <w:vMerge w:val="continue"/>
            <w:tcBorders>
              <w:top w:val="nil"/>
              <w:left w:val="single" w:color="auto" w:sz="4" w:space="0"/>
              <w:bottom w:val="single" w:color="auto" w:sz="4" w:space="0"/>
              <w:right w:val="single" w:color="auto" w:sz="4" w:space="0"/>
            </w:tcBorders>
            <w:vAlign w:val="center"/>
          </w:tcPr>
          <w:p w14:paraId="4E333F36">
            <w:pPr>
              <w:widowControl/>
              <w:spacing w:line="300" w:lineRule="exact"/>
              <w:jc w:val="left"/>
              <w:rPr>
                <w:rFonts w:ascii="宋体" w:hAnsi="宋体" w:cs="宋体"/>
                <w:color w:val="000000"/>
                <w:kern w:val="0"/>
                <w:sz w:val="18"/>
                <w:szCs w:val="18"/>
              </w:rPr>
            </w:pPr>
          </w:p>
        </w:tc>
        <w:tc>
          <w:tcPr>
            <w:tcW w:w="941" w:type="dxa"/>
            <w:tcBorders>
              <w:top w:val="nil"/>
              <w:left w:val="nil"/>
              <w:bottom w:val="single" w:color="auto" w:sz="4" w:space="0"/>
              <w:right w:val="single" w:color="auto" w:sz="4" w:space="0"/>
            </w:tcBorders>
            <w:shd w:val="clear" w:color="auto" w:fill="auto"/>
            <w:vAlign w:val="center"/>
          </w:tcPr>
          <w:p w14:paraId="160D2AF4">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时效指标</w:t>
            </w:r>
          </w:p>
        </w:tc>
        <w:tc>
          <w:tcPr>
            <w:tcW w:w="2004" w:type="dxa"/>
            <w:tcBorders>
              <w:top w:val="nil"/>
              <w:left w:val="nil"/>
              <w:bottom w:val="single" w:color="auto" w:sz="4" w:space="0"/>
              <w:right w:val="single" w:color="auto" w:sz="4" w:space="0"/>
            </w:tcBorders>
            <w:shd w:val="clear" w:color="auto" w:fill="auto"/>
            <w:vAlign w:val="center"/>
          </w:tcPr>
          <w:p w14:paraId="4BD844DE">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聘用人员经费支出及时率</w:t>
            </w:r>
          </w:p>
        </w:tc>
        <w:tc>
          <w:tcPr>
            <w:tcW w:w="582" w:type="dxa"/>
            <w:tcBorders>
              <w:top w:val="nil"/>
              <w:left w:val="nil"/>
              <w:bottom w:val="single" w:color="auto" w:sz="4" w:space="0"/>
              <w:right w:val="single" w:color="auto" w:sz="4" w:space="0"/>
            </w:tcBorders>
            <w:shd w:val="clear" w:color="auto" w:fill="auto"/>
            <w:vAlign w:val="center"/>
          </w:tcPr>
          <w:p w14:paraId="5474EF84">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1091" w:type="dxa"/>
            <w:tcBorders>
              <w:top w:val="nil"/>
              <w:left w:val="nil"/>
              <w:bottom w:val="single" w:color="auto" w:sz="4" w:space="0"/>
              <w:right w:val="single" w:color="auto" w:sz="4" w:space="0"/>
            </w:tcBorders>
            <w:shd w:val="clear" w:color="auto" w:fill="auto"/>
            <w:vAlign w:val="center"/>
          </w:tcPr>
          <w:p w14:paraId="34DF169F">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&gt;=95%</w:t>
            </w:r>
          </w:p>
        </w:tc>
        <w:tc>
          <w:tcPr>
            <w:tcW w:w="872" w:type="dxa"/>
            <w:tcBorders>
              <w:top w:val="nil"/>
              <w:left w:val="nil"/>
              <w:bottom w:val="single" w:color="auto" w:sz="4" w:space="0"/>
              <w:right w:val="single" w:color="auto" w:sz="4" w:space="0"/>
            </w:tcBorders>
            <w:shd w:val="clear" w:color="auto" w:fill="auto"/>
            <w:vAlign w:val="center"/>
          </w:tcPr>
          <w:p w14:paraId="62AE6E80">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=95%</w:t>
            </w:r>
          </w:p>
        </w:tc>
        <w:tc>
          <w:tcPr>
            <w:tcW w:w="750" w:type="dxa"/>
            <w:tcBorders>
              <w:top w:val="nil"/>
              <w:left w:val="nil"/>
              <w:bottom w:val="single" w:color="auto" w:sz="4" w:space="0"/>
              <w:right w:val="single" w:color="auto" w:sz="4" w:space="0"/>
            </w:tcBorders>
            <w:shd w:val="clear" w:color="auto" w:fill="auto"/>
            <w:vAlign w:val="center"/>
          </w:tcPr>
          <w:p w14:paraId="6A8A1B36">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010" w:type="dxa"/>
            <w:tcBorders>
              <w:top w:val="nil"/>
              <w:left w:val="nil"/>
              <w:bottom w:val="single" w:color="auto" w:sz="4" w:space="0"/>
              <w:right w:val="single" w:color="auto" w:sz="4" w:space="0"/>
            </w:tcBorders>
            <w:shd w:val="clear" w:color="auto" w:fill="auto"/>
            <w:vAlign w:val="center"/>
          </w:tcPr>
          <w:p w14:paraId="1E98CBB9">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963" w:type="dxa"/>
            <w:tcBorders>
              <w:top w:val="nil"/>
              <w:left w:val="nil"/>
              <w:bottom w:val="single" w:color="auto" w:sz="4" w:space="0"/>
              <w:right w:val="single" w:color="auto" w:sz="4" w:space="0"/>
            </w:tcBorders>
            <w:shd w:val="clear" w:color="auto" w:fill="auto"/>
            <w:vAlign w:val="center"/>
          </w:tcPr>
          <w:p w14:paraId="704DD889">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历史标准</w:t>
            </w:r>
          </w:p>
        </w:tc>
        <w:tc>
          <w:tcPr>
            <w:tcW w:w="1050" w:type="dxa"/>
            <w:gridSpan w:val="2"/>
            <w:tcBorders>
              <w:top w:val="nil"/>
              <w:left w:val="nil"/>
              <w:bottom w:val="single" w:color="auto" w:sz="4" w:space="0"/>
              <w:right w:val="single" w:color="auto" w:sz="4" w:space="0"/>
            </w:tcBorders>
            <w:shd w:val="clear" w:color="auto" w:fill="auto"/>
            <w:vAlign w:val="center"/>
          </w:tcPr>
          <w:p w14:paraId="575C2845">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95%</w:t>
            </w:r>
          </w:p>
        </w:tc>
        <w:tc>
          <w:tcPr>
            <w:tcW w:w="1691" w:type="dxa"/>
            <w:gridSpan w:val="3"/>
            <w:tcBorders>
              <w:top w:val="nil"/>
              <w:left w:val="nil"/>
              <w:bottom w:val="single" w:color="auto" w:sz="4" w:space="0"/>
              <w:right w:val="single" w:color="auto" w:sz="4" w:space="0"/>
            </w:tcBorders>
            <w:shd w:val="clear" w:color="auto" w:fill="auto"/>
            <w:vAlign w:val="center"/>
          </w:tcPr>
          <w:p w14:paraId="7B3F2537">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按照完成比例赋分</w:t>
            </w:r>
          </w:p>
        </w:tc>
        <w:tc>
          <w:tcPr>
            <w:tcW w:w="973" w:type="dxa"/>
            <w:tcBorders>
              <w:top w:val="nil"/>
              <w:left w:val="nil"/>
              <w:bottom w:val="single" w:color="auto" w:sz="4" w:space="0"/>
              <w:right w:val="single" w:color="auto" w:sz="4" w:space="0"/>
            </w:tcBorders>
            <w:shd w:val="clear" w:color="auto" w:fill="auto"/>
            <w:vAlign w:val="center"/>
          </w:tcPr>
          <w:p w14:paraId="4169D15C">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工作资料</w:t>
            </w:r>
          </w:p>
        </w:tc>
        <w:tc>
          <w:tcPr>
            <w:tcW w:w="1223" w:type="dxa"/>
            <w:tcBorders>
              <w:top w:val="nil"/>
              <w:left w:val="nil"/>
              <w:bottom w:val="single" w:color="auto" w:sz="4" w:space="0"/>
              <w:right w:val="single" w:color="auto" w:sz="4" w:space="0"/>
            </w:tcBorders>
            <w:shd w:val="clear" w:color="auto" w:fill="auto"/>
            <w:vAlign w:val="center"/>
          </w:tcPr>
          <w:p w14:paraId="7ED10104">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416155A9">
        <w:tblPrEx>
          <w:tblCellMar>
            <w:top w:w="0" w:type="dxa"/>
            <w:left w:w="108" w:type="dxa"/>
            <w:bottom w:w="0" w:type="dxa"/>
            <w:right w:w="108" w:type="dxa"/>
          </w:tblCellMar>
        </w:tblPrEx>
        <w:trPr>
          <w:trHeight w:val="379" w:hRule="atLeast"/>
          <w:jc w:val="center"/>
        </w:trPr>
        <w:tc>
          <w:tcPr>
            <w:tcW w:w="454" w:type="dxa"/>
            <w:vMerge w:val="continue"/>
            <w:tcBorders>
              <w:top w:val="nil"/>
              <w:left w:val="single" w:color="auto" w:sz="4" w:space="0"/>
              <w:bottom w:val="single" w:color="auto" w:sz="4" w:space="0"/>
              <w:right w:val="single" w:color="auto" w:sz="4" w:space="0"/>
            </w:tcBorders>
            <w:vAlign w:val="center"/>
          </w:tcPr>
          <w:p w14:paraId="47187736">
            <w:pPr>
              <w:widowControl/>
              <w:spacing w:line="300" w:lineRule="exact"/>
              <w:jc w:val="left"/>
              <w:rPr>
                <w:rFonts w:ascii="宋体" w:hAnsi="宋体" w:cs="宋体"/>
                <w:b/>
                <w:bCs/>
                <w:color w:val="000000"/>
                <w:kern w:val="0"/>
                <w:sz w:val="18"/>
                <w:szCs w:val="18"/>
              </w:rPr>
            </w:pPr>
          </w:p>
        </w:tc>
        <w:tc>
          <w:tcPr>
            <w:tcW w:w="905" w:type="dxa"/>
            <w:vMerge w:val="continue"/>
            <w:tcBorders>
              <w:top w:val="nil"/>
              <w:left w:val="single" w:color="auto" w:sz="4" w:space="0"/>
              <w:bottom w:val="single" w:color="auto" w:sz="4" w:space="0"/>
              <w:right w:val="single" w:color="auto" w:sz="4" w:space="0"/>
            </w:tcBorders>
            <w:vAlign w:val="center"/>
          </w:tcPr>
          <w:p w14:paraId="2FED09BA">
            <w:pPr>
              <w:widowControl/>
              <w:spacing w:line="300" w:lineRule="exact"/>
              <w:jc w:val="left"/>
              <w:rPr>
                <w:rFonts w:ascii="宋体" w:hAnsi="宋体" w:cs="宋体"/>
                <w:color w:val="000000"/>
                <w:kern w:val="0"/>
                <w:sz w:val="18"/>
                <w:szCs w:val="18"/>
              </w:rPr>
            </w:pPr>
          </w:p>
        </w:tc>
        <w:tc>
          <w:tcPr>
            <w:tcW w:w="941" w:type="dxa"/>
            <w:tcBorders>
              <w:top w:val="nil"/>
              <w:left w:val="nil"/>
              <w:bottom w:val="single" w:color="auto" w:sz="4" w:space="0"/>
              <w:right w:val="single" w:color="auto" w:sz="4" w:space="0"/>
            </w:tcBorders>
            <w:shd w:val="clear" w:color="auto" w:fill="auto"/>
            <w:vAlign w:val="center"/>
          </w:tcPr>
          <w:p w14:paraId="19C379E3">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时效指标</w:t>
            </w:r>
          </w:p>
        </w:tc>
        <w:tc>
          <w:tcPr>
            <w:tcW w:w="2004" w:type="dxa"/>
            <w:tcBorders>
              <w:top w:val="nil"/>
              <w:left w:val="nil"/>
              <w:bottom w:val="single" w:color="auto" w:sz="4" w:space="0"/>
              <w:right w:val="single" w:color="auto" w:sz="4" w:space="0"/>
            </w:tcBorders>
            <w:shd w:val="clear" w:color="auto" w:fill="auto"/>
            <w:vAlign w:val="center"/>
          </w:tcPr>
          <w:p w14:paraId="01BA472E">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调研课题完成及时率</w:t>
            </w:r>
          </w:p>
        </w:tc>
        <w:tc>
          <w:tcPr>
            <w:tcW w:w="582" w:type="dxa"/>
            <w:tcBorders>
              <w:top w:val="nil"/>
              <w:left w:val="nil"/>
              <w:bottom w:val="single" w:color="auto" w:sz="4" w:space="0"/>
              <w:right w:val="single" w:color="auto" w:sz="4" w:space="0"/>
            </w:tcBorders>
            <w:shd w:val="clear" w:color="auto" w:fill="auto"/>
            <w:vAlign w:val="center"/>
          </w:tcPr>
          <w:p w14:paraId="3B7BE6C4">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1091" w:type="dxa"/>
            <w:tcBorders>
              <w:top w:val="nil"/>
              <w:left w:val="nil"/>
              <w:bottom w:val="single" w:color="auto" w:sz="4" w:space="0"/>
              <w:right w:val="single" w:color="auto" w:sz="4" w:space="0"/>
            </w:tcBorders>
            <w:shd w:val="clear" w:color="auto" w:fill="auto"/>
            <w:vAlign w:val="center"/>
          </w:tcPr>
          <w:p w14:paraId="550D1014">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&gt;=95%</w:t>
            </w:r>
          </w:p>
        </w:tc>
        <w:tc>
          <w:tcPr>
            <w:tcW w:w="872" w:type="dxa"/>
            <w:tcBorders>
              <w:top w:val="nil"/>
              <w:left w:val="nil"/>
              <w:bottom w:val="single" w:color="auto" w:sz="4" w:space="0"/>
              <w:right w:val="single" w:color="auto" w:sz="4" w:space="0"/>
            </w:tcBorders>
            <w:shd w:val="clear" w:color="auto" w:fill="auto"/>
            <w:vAlign w:val="center"/>
          </w:tcPr>
          <w:p w14:paraId="69FAAD42">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=95%</w:t>
            </w:r>
          </w:p>
        </w:tc>
        <w:tc>
          <w:tcPr>
            <w:tcW w:w="750" w:type="dxa"/>
            <w:tcBorders>
              <w:top w:val="nil"/>
              <w:left w:val="nil"/>
              <w:bottom w:val="single" w:color="auto" w:sz="4" w:space="0"/>
              <w:right w:val="single" w:color="auto" w:sz="4" w:space="0"/>
            </w:tcBorders>
            <w:shd w:val="clear" w:color="auto" w:fill="auto"/>
            <w:vAlign w:val="center"/>
          </w:tcPr>
          <w:p w14:paraId="778159BE">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010" w:type="dxa"/>
            <w:tcBorders>
              <w:top w:val="nil"/>
              <w:left w:val="nil"/>
              <w:bottom w:val="single" w:color="auto" w:sz="4" w:space="0"/>
              <w:right w:val="single" w:color="auto" w:sz="4" w:space="0"/>
            </w:tcBorders>
            <w:shd w:val="clear" w:color="auto" w:fill="auto"/>
            <w:vAlign w:val="center"/>
          </w:tcPr>
          <w:p w14:paraId="7E0FC3E1">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963" w:type="dxa"/>
            <w:tcBorders>
              <w:top w:val="nil"/>
              <w:left w:val="nil"/>
              <w:bottom w:val="single" w:color="auto" w:sz="4" w:space="0"/>
              <w:right w:val="single" w:color="auto" w:sz="4" w:space="0"/>
            </w:tcBorders>
            <w:shd w:val="clear" w:color="auto" w:fill="auto"/>
            <w:vAlign w:val="center"/>
          </w:tcPr>
          <w:p w14:paraId="3DB966BE">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历史标准</w:t>
            </w:r>
          </w:p>
        </w:tc>
        <w:tc>
          <w:tcPr>
            <w:tcW w:w="1050" w:type="dxa"/>
            <w:gridSpan w:val="2"/>
            <w:tcBorders>
              <w:top w:val="nil"/>
              <w:left w:val="nil"/>
              <w:bottom w:val="single" w:color="auto" w:sz="4" w:space="0"/>
              <w:right w:val="single" w:color="auto" w:sz="4" w:space="0"/>
            </w:tcBorders>
            <w:shd w:val="clear" w:color="auto" w:fill="auto"/>
            <w:vAlign w:val="center"/>
          </w:tcPr>
          <w:p w14:paraId="05B1AC6F">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95%</w:t>
            </w:r>
          </w:p>
        </w:tc>
        <w:tc>
          <w:tcPr>
            <w:tcW w:w="1691" w:type="dxa"/>
            <w:gridSpan w:val="3"/>
            <w:tcBorders>
              <w:top w:val="nil"/>
              <w:left w:val="nil"/>
              <w:bottom w:val="single" w:color="auto" w:sz="4" w:space="0"/>
              <w:right w:val="single" w:color="auto" w:sz="4" w:space="0"/>
            </w:tcBorders>
            <w:shd w:val="clear" w:color="auto" w:fill="auto"/>
            <w:vAlign w:val="center"/>
          </w:tcPr>
          <w:p w14:paraId="33E4DFC9">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按照完成比例赋分</w:t>
            </w:r>
          </w:p>
        </w:tc>
        <w:tc>
          <w:tcPr>
            <w:tcW w:w="973" w:type="dxa"/>
            <w:tcBorders>
              <w:top w:val="nil"/>
              <w:left w:val="nil"/>
              <w:bottom w:val="single" w:color="auto" w:sz="4" w:space="0"/>
              <w:right w:val="single" w:color="auto" w:sz="4" w:space="0"/>
            </w:tcBorders>
            <w:shd w:val="clear" w:color="auto" w:fill="auto"/>
            <w:vAlign w:val="center"/>
          </w:tcPr>
          <w:p w14:paraId="658B81DF">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工作资料</w:t>
            </w:r>
          </w:p>
        </w:tc>
        <w:tc>
          <w:tcPr>
            <w:tcW w:w="1223" w:type="dxa"/>
            <w:tcBorders>
              <w:top w:val="nil"/>
              <w:left w:val="nil"/>
              <w:bottom w:val="single" w:color="auto" w:sz="4" w:space="0"/>
              <w:right w:val="single" w:color="auto" w:sz="4" w:space="0"/>
            </w:tcBorders>
            <w:shd w:val="clear" w:color="auto" w:fill="auto"/>
            <w:vAlign w:val="center"/>
          </w:tcPr>
          <w:p w14:paraId="322F9FA0">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198E2B4B">
        <w:tblPrEx>
          <w:tblCellMar>
            <w:top w:w="0" w:type="dxa"/>
            <w:left w:w="108" w:type="dxa"/>
            <w:bottom w:w="0" w:type="dxa"/>
            <w:right w:w="108" w:type="dxa"/>
          </w:tblCellMar>
        </w:tblPrEx>
        <w:trPr>
          <w:trHeight w:val="630" w:hRule="atLeast"/>
          <w:jc w:val="center"/>
        </w:trPr>
        <w:tc>
          <w:tcPr>
            <w:tcW w:w="454" w:type="dxa"/>
            <w:vMerge w:val="continue"/>
            <w:tcBorders>
              <w:top w:val="nil"/>
              <w:left w:val="single" w:color="auto" w:sz="4" w:space="0"/>
              <w:bottom w:val="single" w:color="auto" w:sz="4" w:space="0"/>
              <w:right w:val="single" w:color="auto" w:sz="4" w:space="0"/>
            </w:tcBorders>
            <w:vAlign w:val="center"/>
          </w:tcPr>
          <w:p w14:paraId="78FFC3C4">
            <w:pPr>
              <w:widowControl/>
              <w:spacing w:line="300" w:lineRule="exact"/>
              <w:jc w:val="left"/>
              <w:rPr>
                <w:rFonts w:ascii="宋体" w:hAnsi="宋体" w:cs="宋体"/>
                <w:b/>
                <w:bCs/>
                <w:color w:val="000000"/>
                <w:kern w:val="0"/>
                <w:sz w:val="18"/>
                <w:szCs w:val="18"/>
              </w:rPr>
            </w:pPr>
          </w:p>
        </w:tc>
        <w:tc>
          <w:tcPr>
            <w:tcW w:w="905" w:type="dxa"/>
            <w:vMerge w:val="restart"/>
            <w:tcBorders>
              <w:top w:val="nil"/>
              <w:left w:val="single" w:color="auto" w:sz="4" w:space="0"/>
              <w:bottom w:val="single" w:color="auto" w:sz="4" w:space="0"/>
              <w:right w:val="single" w:color="auto" w:sz="4" w:space="0"/>
            </w:tcBorders>
            <w:shd w:val="clear" w:color="auto" w:fill="auto"/>
            <w:vAlign w:val="center"/>
          </w:tcPr>
          <w:p w14:paraId="0FB483D9">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成本指标</w:t>
            </w:r>
          </w:p>
        </w:tc>
        <w:tc>
          <w:tcPr>
            <w:tcW w:w="941" w:type="dxa"/>
            <w:tcBorders>
              <w:top w:val="nil"/>
              <w:left w:val="nil"/>
              <w:bottom w:val="single" w:color="auto" w:sz="4" w:space="0"/>
              <w:right w:val="single" w:color="auto" w:sz="4" w:space="0"/>
            </w:tcBorders>
            <w:shd w:val="clear" w:color="auto" w:fill="auto"/>
            <w:vAlign w:val="center"/>
          </w:tcPr>
          <w:p w14:paraId="09D41AF4">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经济成本指标</w:t>
            </w:r>
          </w:p>
        </w:tc>
        <w:tc>
          <w:tcPr>
            <w:tcW w:w="2004" w:type="dxa"/>
            <w:tcBorders>
              <w:top w:val="nil"/>
              <w:left w:val="nil"/>
              <w:bottom w:val="single" w:color="auto" w:sz="4" w:space="0"/>
              <w:right w:val="single" w:color="auto" w:sz="4" w:space="0"/>
            </w:tcBorders>
            <w:shd w:val="clear" w:color="auto" w:fill="auto"/>
            <w:vAlign w:val="center"/>
          </w:tcPr>
          <w:p w14:paraId="60AB413F">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开展疆内外调研及民主监督差旅费</w:t>
            </w:r>
          </w:p>
        </w:tc>
        <w:tc>
          <w:tcPr>
            <w:tcW w:w="582" w:type="dxa"/>
            <w:tcBorders>
              <w:top w:val="nil"/>
              <w:left w:val="nil"/>
              <w:bottom w:val="single" w:color="auto" w:sz="4" w:space="0"/>
              <w:right w:val="single" w:color="auto" w:sz="4" w:space="0"/>
            </w:tcBorders>
            <w:shd w:val="clear" w:color="auto" w:fill="auto"/>
            <w:vAlign w:val="center"/>
          </w:tcPr>
          <w:p w14:paraId="04243EFE">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1091" w:type="dxa"/>
            <w:tcBorders>
              <w:top w:val="nil"/>
              <w:left w:val="nil"/>
              <w:bottom w:val="single" w:color="auto" w:sz="4" w:space="0"/>
              <w:right w:val="single" w:color="auto" w:sz="4" w:space="0"/>
            </w:tcBorders>
            <w:shd w:val="clear" w:color="auto" w:fill="auto"/>
            <w:vAlign w:val="center"/>
          </w:tcPr>
          <w:p w14:paraId="798A7AA6">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&lt;=6万元</w:t>
            </w:r>
          </w:p>
        </w:tc>
        <w:tc>
          <w:tcPr>
            <w:tcW w:w="872" w:type="dxa"/>
            <w:tcBorders>
              <w:top w:val="nil"/>
              <w:left w:val="nil"/>
              <w:bottom w:val="single" w:color="auto" w:sz="4" w:space="0"/>
              <w:right w:val="single" w:color="auto" w:sz="4" w:space="0"/>
            </w:tcBorders>
            <w:shd w:val="clear" w:color="auto" w:fill="auto"/>
            <w:vAlign w:val="center"/>
          </w:tcPr>
          <w:p w14:paraId="6EBFAF88">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=6万元</w:t>
            </w:r>
          </w:p>
        </w:tc>
        <w:tc>
          <w:tcPr>
            <w:tcW w:w="750" w:type="dxa"/>
            <w:tcBorders>
              <w:top w:val="nil"/>
              <w:left w:val="nil"/>
              <w:bottom w:val="single" w:color="auto" w:sz="4" w:space="0"/>
              <w:right w:val="single" w:color="auto" w:sz="4" w:space="0"/>
            </w:tcBorders>
            <w:shd w:val="clear" w:color="auto" w:fill="auto"/>
            <w:vAlign w:val="center"/>
          </w:tcPr>
          <w:p w14:paraId="57E96CB1">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010" w:type="dxa"/>
            <w:tcBorders>
              <w:top w:val="nil"/>
              <w:left w:val="nil"/>
              <w:bottom w:val="single" w:color="auto" w:sz="4" w:space="0"/>
              <w:right w:val="single" w:color="auto" w:sz="4" w:space="0"/>
            </w:tcBorders>
            <w:shd w:val="clear" w:color="auto" w:fill="auto"/>
            <w:vAlign w:val="center"/>
          </w:tcPr>
          <w:p w14:paraId="6725264A">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963" w:type="dxa"/>
            <w:tcBorders>
              <w:top w:val="nil"/>
              <w:left w:val="nil"/>
              <w:bottom w:val="single" w:color="auto" w:sz="4" w:space="0"/>
              <w:right w:val="single" w:color="auto" w:sz="4" w:space="0"/>
            </w:tcBorders>
            <w:shd w:val="clear" w:color="auto" w:fill="auto"/>
            <w:vAlign w:val="center"/>
          </w:tcPr>
          <w:p w14:paraId="3E5F87C0">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预算支出标准</w:t>
            </w:r>
          </w:p>
        </w:tc>
        <w:tc>
          <w:tcPr>
            <w:tcW w:w="1050" w:type="dxa"/>
            <w:gridSpan w:val="2"/>
            <w:tcBorders>
              <w:top w:val="nil"/>
              <w:left w:val="nil"/>
              <w:bottom w:val="single" w:color="auto" w:sz="4" w:space="0"/>
              <w:right w:val="single" w:color="auto" w:sz="4" w:space="0"/>
            </w:tcBorders>
            <w:shd w:val="clear" w:color="auto" w:fill="auto"/>
            <w:vAlign w:val="center"/>
          </w:tcPr>
          <w:p w14:paraId="630D67C3">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3万元</w:t>
            </w:r>
          </w:p>
        </w:tc>
        <w:tc>
          <w:tcPr>
            <w:tcW w:w="1691" w:type="dxa"/>
            <w:gridSpan w:val="3"/>
            <w:tcBorders>
              <w:top w:val="nil"/>
              <w:left w:val="nil"/>
              <w:bottom w:val="single" w:color="auto" w:sz="4" w:space="0"/>
              <w:right w:val="single" w:color="auto" w:sz="4" w:space="0"/>
            </w:tcBorders>
            <w:shd w:val="clear" w:color="auto" w:fill="auto"/>
            <w:vAlign w:val="center"/>
          </w:tcPr>
          <w:p w14:paraId="53766063">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按照完成比例赋分</w:t>
            </w:r>
          </w:p>
        </w:tc>
        <w:tc>
          <w:tcPr>
            <w:tcW w:w="973" w:type="dxa"/>
            <w:tcBorders>
              <w:top w:val="nil"/>
              <w:left w:val="nil"/>
              <w:bottom w:val="single" w:color="auto" w:sz="4" w:space="0"/>
              <w:right w:val="single" w:color="auto" w:sz="4" w:space="0"/>
            </w:tcBorders>
            <w:shd w:val="clear" w:color="auto" w:fill="auto"/>
            <w:vAlign w:val="center"/>
          </w:tcPr>
          <w:p w14:paraId="66846926">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原始凭证</w:t>
            </w:r>
          </w:p>
        </w:tc>
        <w:tc>
          <w:tcPr>
            <w:tcW w:w="1223" w:type="dxa"/>
            <w:tcBorders>
              <w:top w:val="nil"/>
              <w:left w:val="nil"/>
              <w:bottom w:val="single" w:color="auto" w:sz="4" w:space="0"/>
              <w:right w:val="single" w:color="auto" w:sz="4" w:space="0"/>
            </w:tcBorders>
            <w:shd w:val="clear" w:color="auto" w:fill="auto"/>
            <w:vAlign w:val="center"/>
          </w:tcPr>
          <w:p w14:paraId="36D3EACF">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3611FD9A">
        <w:tblPrEx>
          <w:tblCellMar>
            <w:top w:w="0" w:type="dxa"/>
            <w:left w:w="108" w:type="dxa"/>
            <w:bottom w:w="0" w:type="dxa"/>
            <w:right w:w="108" w:type="dxa"/>
          </w:tblCellMar>
        </w:tblPrEx>
        <w:trPr>
          <w:trHeight w:val="379" w:hRule="atLeast"/>
          <w:jc w:val="center"/>
        </w:trPr>
        <w:tc>
          <w:tcPr>
            <w:tcW w:w="454" w:type="dxa"/>
            <w:vMerge w:val="continue"/>
            <w:tcBorders>
              <w:top w:val="nil"/>
              <w:left w:val="single" w:color="auto" w:sz="4" w:space="0"/>
              <w:bottom w:val="single" w:color="auto" w:sz="4" w:space="0"/>
              <w:right w:val="single" w:color="auto" w:sz="4" w:space="0"/>
            </w:tcBorders>
            <w:vAlign w:val="center"/>
          </w:tcPr>
          <w:p w14:paraId="3BC33D80">
            <w:pPr>
              <w:widowControl/>
              <w:spacing w:line="300" w:lineRule="exact"/>
              <w:jc w:val="left"/>
              <w:rPr>
                <w:rFonts w:ascii="宋体" w:hAnsi="宋体" w:cs="宋体"/>
                <w:b/>
                <w:bCs/>
                <w:color w:val="000000"/>
                <w:kern w:val="0"/>
                <w:sz w:val="18"/>
                <w:szCs w:val="18"/>
              </w:rPr>
            </w:pPr>
          </w:p>
        </w:tc>
        <w:tc>
          <w:tcPr>
            <w:tcW w:w="905" w:type="dxa"/>
            <w:vMerge w:val="continue"/>
            <w:tcBorders>
              <w:top w:val="nil"/>
              <w:left w:val="single" w:color="auto" w:sz="4" w:space="0"/>
              <w:bottom w:val="single" w:color="auto" w:sz="4" w:space="0"/>
              <w:right w:val="single" w:color="auto" w:sz="4" w:space="0"/>
            </w:tcBorders>
            <w:vAlign w:val="center"/>
          </w:tcPr>
          <w:p w14:paraId="5F1644F5">
            <w:pPr>
              <w:widowControl/>
              <w:spacing w:line="300" w:lineRule="exact"/>
              <w:jc w:val="left"/>
              <w:rPr>
                <w:rFonts w:ascii="宋体" w:hAnsi="宋体" w:cs="宋体"/>
                <w:color w:val="000000"/>
                <w:kern w:val="0"/>
                <w:sz w:val="18"/>
                <w:szCs w:val="18"/>
              </w:rPr>
            </w:pPr>
          </w:p>
        </w:tc>
        <w:tc>
          <w:tcPr>
            <w:tcW w:w="941" w:type="dxa"/>
            <w:tcBorders>
              <w:top w:val="nil"/>
              <w:left w:val="nil"/>
              <w:bottom w:val="single" w:color="auto" w:sz="4" w:space="0"/>
              <w:right w:val="single" w:color="auto" w:sz="4" w:space="0"/>
            </w:tcBorders>
            <w:shd w:val="clear" w:color="auto" w:fill="auto"/>
            <w:vAlign w:val="center"/>
          </w:tcPr>
          <w:p w14:paraId="27E0BCB0">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经济成本指标</w:t>
            </w:r>
          </w:p>
        </w:tc>
        <w:tc>
          <w:tcPr>
            <w:tcW w:w="2004" w:type="dxa"/>
            <w:tcBorders>
              <w:top w:val="nil"/>
              <w:left w:val="nil"/>
              <w:bottom w:val="single" w:color="auto" w:sz="4" w:space="0"/>
              <w:right w:val="single" w:color="auto" w:sz="4" w:space="0"/>
            </w:tcBorders>
            <w:shd w:val="clear" w:color="auto" w:fill="auto"/>
            <w:vAlign w:val="center"/>
          </w:tcPr>
          <w:p w14:paraId="26133922">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办公设备购置费</w:t>
            </w:r>
          </w:p>
        </w:tc>
        <w:tc>
          <w:tcPr>
            <w:tcW w:w="582" w:type="dxa"/>
            <w:tcBorders>
              <w:top w:val="nil"/>
              <w:left w:val="nil"/>
              <w:bottom w:val="single" w:color="auto" w:sz="4" w:space="0"/>
              <w:right w:val="single" w:color="auto" w:sz="4" w:space="0"/>
            </w:tcBorders>
            <w:shd w:val="clear" w:color="auto" w:fill="auto"/>
            <w:vAlign w:val="center"/>
          </w:tcPr>
          <w:p w14:paraId="2C369A69">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1091" w:type="dxa"/>
            <w:tcBorders>
              <w:top w:val="nil"/>
              <w:left w:val="nil"/>
              <w:bottom w:val="single" w:color="auto" w:sz="4" w:space="0"/>
              <w:right w:val="single" w:color="auto" w:sz="4" w:space="0"/>
            </w:tcBorders>
            <w:shd w:val="clear" w:color="auto" w:fill="auto"/>
            <w:vAlign w:val="center"/>
          </w:tcPr>
          <w:p w14:paraId="5FCDF278">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=4.80万元</w:t>
            </w:r>
          </w:p>
        </w:tc>
        <w:tc>
          <w:tcPr>
            <w:tcW w:w="872" w:type="dxa"/>
            <w:tcBorders>
              <w:top w:val="nil"/>
              <w:left w:val="nil"/>
              <w:bottom w:val="single" w:color="auto" w:sz="4" w:space="0"/>
              <w:right w:val="single" w:color="auto" w:sz="4" w:space="0"/>
            </w:tcBorders>
            <w:shd w:val="clear" w:color="auto" w:fill="auto"/>
            <w:vAlign w:val="center"/>
          </w:tcPr>
          <w:p w14:paraId="1FE68E47">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=4.8万元</w:t>
            </w:r>
          </w:p>
        </w:tc>
        <w:tc>
          <w:tcPr>
            <w:tcW w:w="750" w:type="dxa"/>
            <w:tcBorders>
              <w:top w:val="nil"/>
              <w:left w:val="nil"/>
              <w:bottom w:val="single" w:color="auto" w:sz="4" w:space="0"/>
              <w:right w:val="single" w:color="auto" w:sz="4" w:space="0"/>
            </w:tcBorders>
            <w:shd w:val="clear" w:color="auto" w:fill="auto"/>
            <w:vAlign w:val="center"/>
          </w:tcPr>
          <w:p w14:paraId="4D54D904">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010" w:type="dxa"/>
            <w:tcBorders>
              <w:top w:val="nil"/>
              <w:left w:val="nil"/>
              <w:bottom w:val="single" w:color="auto" w:sz="4" w:space="0"/>
              <w:right w:val="single" w:color="auto" w:sz="4" w:space="0"/>
            </w:tcBorders>
            <w:shd w:val="clear" w:color="auto" w:fill="auto"/>
            <w:vAlign w:val="center"/>
          </w:tcPr>
          <w:p w14:paraId="01732F51">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963" w:type="dxa"/>
            <w:tcBorders>
              <w:top w:val="nil"/>
              <w:left w:val="nil"/>
              <w:bottom w:val="single" w:color="auto" w:sz="4" w:space="0"/>
              <w:right w:val="single" w:color="auto" w:sz="4" w:space="0"/>
            </w:tcBorders>
            <w:shd w:val="clear" w:color="auto" w:fill="auto"/>
            <w:vAlign w:val="center"/>
          </w:tcPr>
          <w:p w14:paraId="28E130E4">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预算支出标准</w:t>
            </w:r>
          </w:p>
        </w:tc>
        <w:tc>
          <w:tcPr>
            <w:tcW w:w="1050" w:type="dxa"/>
            <w:gridSpan w:val="2"/>
            <w:tcBorders>
              <w:top w:val="nil"/>
              <w:left w:val="nil"/>
              <w:bottom w:val="single" w:color="auto" w:sz="4" w:space="0"/>
              <w:right w:val="single" w:color="auto" w:sz="4" w:space="0"/>
            </w:tcBorders>
            <w:shd w:val="clear" w:color="auto" w:fill="auto"/>
            <w:vAlign w:val="center"/>
          </w:tcPr>
          <w:p w14:paraId="56FBC511">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2.66万元</w:t>
            </w:r>
          </w:p>
        </w:tc>
        <w:tc>
          <w:tcPr>
            <w:tcW w:w="1691" w:type="dxa"/>
            <w:gridSpan w:val="3"/>
            <w:tcBorders>
              <w:top w:val="nil"/>
              <w:left w:val="nil"/>
              <w:bottom w:val="single" w:color="auto" w:sz="4" w:space="0"/>
              <w:right w:val="single" w:color="auto" w:sz="4" w:space="0"/>
            </w:tcBorders>
            <w:shd w:val="clear" w:color="auto" w:fill="auto"/>
            <w:vAlign w:val="center"/>
          </w:tcPr>
          <w:p w14:paraId="1FC91879">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按照完成比例赋分</w:t>
            </w:r>
          </w:p>
        </w:tc>
        <w:tc>
          <w:tcPr>
            <w:tcW w:w="973" w:type="dxa"/>
            <w:tcBorders>
              <w:top w:val="nil"/>
              <w:left w:val="nil"/>
              <w:bottom w:val="single" w:color="auto" w:sz="4" w:space="0"/>
              <w:right w:val="single" w:color="auto" w:sz="4" w:space="0"/>
            </w:tcBorders>
            <w:shd w:val="clear" w:color="auto" w:fill="auto"/>
            <w:vAlign w:val="center"/>
          </w:tcPr>
          <w:p w14:paraId="5076564B">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原始凭证</w:t>
            </w:r>
          </w:p>
        </w:tc>
        <w:tc>
          <w:tcPr>
            <w:tcW w:w="1223" w:type="dxa"/>
            <w:tcBorders>
              <w:top w:val="nil"/>
              <w:left w:val="nil"/>
              <w:bottom w:val="single" w:color="auto" w:sz="4" w:space="0"/>
              <w:right w:val="single" w:color="auto" w:sz="4" w:space="0"/>
            </w:tcBorders>
            <w:shd w:val="clear" w:color="auto" w:fill="auto"/>
            <w:vAlign w:val="center"/>
          </w:tcPr>
          <w:p w14:paraId="39D8EE71">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19E6DEBA">
        <w:tblPrEx>
          <w:tblCellMar>
            <w:top w:w="0" w:type="dxa"/>
            <w:left w:w="108" w:type="dxa"/>
            <w:bottom w:w="0" w:type="dxa"/>
            <w:right w:w="108" w:type="dxa"/>
          </w:tblCellMar>
        </w:tblPrEx>
        <w:trPr>
          <w:trHeight w:val="379" w:hRule="atLeast"/>
          <w:jc w:val="center"/>
        </w:trPr>
        <w:tc>
          <w:tcPr>
            <w:tcW w:w="454" w:type="dxa"/>
            <w:vMerge w:val="continue"/>
            <w:tcBorders>
              <w:top w:val="nil"/>
              <w:left w:val="single" w:color="auto" w:sz="4" w:space="0"/>
              <w:bottom w:val="single" w:color="auto" w:sz="4" w:space="0"/>
              <w:right w:val="single" w:color="auto" w:sz="4" w:space="0"/>
            </w:tcBorders>
            <w:vAlign w:val="center"/>
          </w:tcPr>
          <w:p w14:paraId="2C56B408">
            <w:pPr>
              <w:widowControl/>
              <w:spacing w:line="300" w:lineRule="exact"/>
              <w:jc w:val="left"/>
              <w:rPr>
                <w:rFonts w:ascii="宋体" w:hAnsi="宋体" w:cs="宋体"/>
                <w:b/>
                <w:bCs/>
                <w:color w:val="000000"/>
                <w:kern w:val="0"/>
                <w:sz w:val="18"/>
                <w:szCs w:val="18"/>
              </w:rPr>
            </w:pPr>
          </w:p>
        </w:tc>
        <w:tc>
          <w:tcPr>
            <w:tcW w:w="905" w:type="dxa"/>
            <w:vMerge w:val="continue"/>
            <w:tcBorders>
              <w:top w:val="nil"/>
              <w:left w:val="single" w:color="auto" w:sz="4" w:space="0"/>
              <w:bottom w:val="single" w:color="auto" w:sz="4" w:space="0"/>
              <w:right w:val="single" w:color="auto" w:sz="4" w:space="0"/>
            </w:tcBorders>
            <w:vAlign w:val="center"/>
          </w:tcPr>
          <w:p w14:paraId="2A0A8D95">
            <w:pPr>
              <w:widowControl/>
              <w:spacing w:line="300" w:lineRule="exact"/>
              <w:jc w:val="left"/>
              <w:rPr>
                <w:rFonts w:ascii="宋体" w:hAnsi="宋体" w:cs="宋体"/>
                <w:color w:val="000000"/>
                <w:kern w:val="0"/>
                <w:sz w:val="18"/>
                <w:szCs w:val="18"/>
              </w:rPr>
            </w:pPr>
          </w:p>
        </w:tc>
        <w:tc>
          <w:tcPr>
            <w:tcW w:w="941" w:type="dxa"/>
            <w:tcBorders>
              <w:top w:val="nil"/>
              <w:left w:val="nil"/>
              <w:bottom w:val="single" w:color="auto" w:sz="4" w:space="0"/>
              <w:right w:val="single" w:color="auto" w:sz="4" w:space="0"/>
            </w:tcBorders>
            <w:shd w:val="clear" w:color="auto" w:fill="auto"/>
            <w:vAlign w:val="center"/>
          </w:tcPr>
          <w:p w14:paraId="372C5506">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经济成本指标</w:t>
            </w:r>
          </w:p>
        </w:tc>
        <w:tc>
          <w:tcPr>
            <w:tcW w:w="2004" w:type="dxa"/>
            <w:tcBorders>
              <w:top w:val="nil"/>
              <w:left w:val="nil"/>
              <w:bottom w:val="single" w:color="auto" w:sz="4" w:space="0"/>
              <w:right w:val="single" w:color="auto" w:sz="4" w:space="0"/>
            </w:tcBorders>
            <w:shd w:val="clear" w:color="auto" w:fill="auto"/>
            <w:vAlign w:val="center"/>
          </w:tcPr>
          <w:p w14:paraId="4E02A277">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刊物印刷费用</w:t>
            </w:r>
          </w:p>
        </w:tc>
        <w:tc>
          <w:tcPr>
            <w:tcW w:w="582" w:type="dxa"/>
            <w:tcBorders>
              <w:top w:val="nil"/>
              <w:left w:val="nil"/>
              <w:bottom w:val="single" w:color="auto" w:sz="4" w:space="0"/>
              <w:right w:val="single" w:color="auto" w:sz="4" w:space="0"/>
            </w:tcBorders>
            <w:shd w:val="clear" w:color="auto" w:fill="auto"/>
            <w:vAlign w:val="center"/>
          </w:tcPr>
          <w:p w14:paraId="17DCE55D">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1091" w:type="dxa"/>
            <w:tcBorders>
              <w:top w:val="nil"/>
              <w:left w:val="nil"/>
              <w:bottom w:val="single" w:color="auto" w:sz="4" w:space="0"/>
              <w:right w:val="single" w:color="auto" w:sz="4" w:space="0"/>
            </w:tcBorders>
            <w:shd w:val="clear" w:color="auto" w:fill="auto"/>
            <w:vAlign w:val="center"/>
          </w:tcPr>
          <w:p w14:paraId="65704441">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&lt;=2万元</w:t>
            </w:r>
          </w:p>
        </w:tc>
        <w:tc>
          <w:tcPr>
            <w:tcW w:w="872" w:type="dxa"/>
            <w:tcBorders>
              <w:top w:val="nil"/>
              <w:left w:val="nil"/>
              <w:bottom w:val="single" w:color="auto" w:sz="4" w:space="0"/>
              <w:right w:val="single" w:color="auto" w:sz="4" w:space="0"/>
            </w:tcBorders>
            <w:shd w:val="clear" w:color="auto" w:fill="auto"/>
            <w:vAlign w:val="center"/>
          </w:tcPr>
          <w:p w14:paraId="3DF0560B">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=2万元</w:t>
            </w:r>
          </w:p>
        </w:tc>
        <w:tc>
          <w:tcPr>
            <w:tcW w:w="750" w:type="dxa"/>
            <w:tcBorders>
              <w:top w:val="nil"/>
              <w:left w:val="nil"/>
              <w:bottom w:val="single" w:color="auto" w:sz="4" w:space="0"/>
              <w:right w:val="single" w:color="auto" w:sz="4" w:space="0"/>
            </w:tcBorders>
            <w:shd w:val="clear" w:color="auto" w:fill="auto"/>
            <w:vAlign w:val="center"/>
          </w:tcPr>
          <w:p w14:paraId="2380EA89">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010" w:type="dxa"/>
            <w:tcBorders>
              <w:top w:val="nil"/>
              <w:left w:val="nil"/>
              <w:bottom w:val="single" w:color="auto" w:sz="4" w:space="0"/>
              <w:right w:val="single" w:color="auto" w:sz="4" w:space="0"/>
            </w:tcBorders>
            <w:shd w:val="clear" w:color="auto" w:fill="auto"/>
            <w:vAlign w:val="center"/>
          </w:tcPr>
          <w:p w14:paraId="55963517">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963" w:type="dxa"/>
            <w:tcBorders>
              <w:top w:val="nil"/>
              <w:left w:val="nil"/>
              <w:bottom w:val="single" w:color="auto" w:sz="4" w:space="0"/>
              <w:right w:val="single" w:color="auto" w:sz="4" w:space="0"/>
            </w:tcBorders>
            <w:shd w:val="clear" w:color="auto" w:fill="auto"/>
            <w:vAlign w:val="center"/>
          </w:tcPr>
          <w:p w14:paraId="190A0930">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预算支出标准</w:t>
            </w:r>
          </w:p>
        </w:tc>
        <w:tc>
          <w:tcPr>
            <w:tcW w:w="1050" w:type="dxa"/>
            <w:gridSpan w:val="2"/>
            <w:tcBorders>
              <w:top w:val="nil"/>
              <w:left w:val="nil"/>
              <w:bottom w:val="single" w:color="auto" w:sz="4" w:space="0"/>
              <w:right w:val="single" w:color="auto" w:sz="4" w:space="0"/>
            </w:tcBorders>
            <w:shd w:val="clear" w:color="auto" w:fill="auto"/>
            <w:vAlign w:val="center"/>
          </w:tcPr>
          <w:p w14:paraId="0E5C5CA3">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2万元</w:t>
            </w:r>
          </w:p>
        </w:tc>
        <w:tc>
          <w:tcPr>
            <w:tcW w:w="1691" w:type="dxa"/>
            <w:gridSpan w:val="3"/>
            <w:tcBorders>
              <w:top w:val="nil"/>
              <w:left w:val="nil"/>
              <w:bottom w:val="single" w:color="auto" w:sz="4" w:space="0"/>
              <w:right w:val="single" w:color="auto" w:sz="4" w:space="0"/>
            </w:tcBorders>
            <w:shd w:val="clear" w:color="auto" w:fill="auto"/>
            <w:vAlign w:val="center"/>
          </w:tcPr>
          <w:p w14:paraId="1B1FE92D">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按照完成比例赋分</w:t>
            </w:r>
          </w:p>
        </w:tc>
        <w:tc>
          <w:tcPr>
            <w:tcW w:w="973" w:type="dxa"/>
            <w:tcBorders>
              <w:top w:val="nil"/>
              <w:left w:val="nil"/>
              <w:bottom w:val="single" w:color="auto" w:sz="4" w:space="0"/>
              <w:right w:val="single" w:color="auto" w:sz="4" w:space="0"/>
            </w:tcBorders>
            <w:shd w:val="clear" w:color="auto" w:fill="auto"/>
            <w:vAlign w:val="center"/>
          </w:tcPr>
          <w:p w14:paraId="6CC7FE81">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原始凭证</w:t>
            </w:r>
          </w:p>
        </w:tc>
        <w:tc>
          <w:tcPr>
            <w:tcW w:w="1223" w:type="dxa"/>
            <w:tcBorders>
              <w:top w:val="nil"/>
              <w:left w:val="nil"/>
              <w:bottom w:val="single" w:color="auto" w:sz="4" w:space="0"/>
              <w:right w:val="single" w:color="auto" w:sz="4" w:space="0"/>
            </w:tcBorders>
            <w:shd w:val="clear" w:color="auto" w:fill="auto"/>
            <w:vAlign w:val="center"/>
          </w:tcPr>
          <w:p w14:paraId="7AAB39F5">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0FE5DF5A">
        <w:tblPrEx>
          <w:tblCellMar>
            <w:top w:w="0" w:type="dxa"/>
            <w:left w:w="108" w:type="dxa"/>
            <w:bottom w:w="0" w:type="dxa"/>
            <w:right w:w="108" w:type="dxa"/>
          </w:tblCellMar>
        </w:tblPrEx>
        <w:trPr>
          <w:trHeight w:val="379" w:hRule="atLeast"/>
          <w:jc w:val="center"/>
        </w:trPr>
        <w:tc>
          <w:tcPr>
            <w:tcW w:w="454" w:type="dxa"/>
            <w:vMerge w:val="continue"/>
            <w:tcBorders>
              <w:top w:val="nil"/>
              <w:left w:val="single" w:color="auto" w:sz="4" w:space="0"/>
              <w:bottom w:val="single" w:color="auto" w:sz="4" w:space="0"/>
              <w:right w:val="single" w:color="auto" w:sz="4" w:space="0"/>
            </w:tcBorders>
            <w:vAlign w:val="center"/>
          </w:tcPr>
          <w:p w14:paraId="259C2D04">
            <w:pPr>
              <w:widowControl/>
              <w:spacing w:line="300" w:lineRule="exact"/>
              <w:jc w:val="left"/>
              <w:rPr>
                <w:rFonts w:ascii="宋体" w:hAnsi="宋体" w:cs="宋体"/>
                <w:b/>
                <w:bCs/>
                <w:color w:val="000000"/>
                <w:kern w:val="0"/>
                <w:sz w:val="18"/>
                <w:szCs w:val="18"/>
              </w:rPr>
            </w:pPr>
          </w:p>
        </w:tc>
        <w:tc>
          <w:tcPr>
            <w:tcW w:w="905" w:type="dxa"/>
            <w:vMerge w:val="continue"/>
            <w:tcBorders>
              <w:top w:val="nil"/>
              <w:left w:val="single" w:color="auto" w:sz="4" w:space="0"/>
              <w:bottom w:val="single" w:color="auto" w:sz="4" w:space="0"/>
              <w:right w:val="single" w:color="auto" w:sz="4" w:space="0"/>
            </w:tcBorders>
            <w:vAlign w:val="center"/>
          </w:tcPr>
          <w:p w14:paraId="6D40C83A">
            <w:pPr>
              <w:widowControl/>
              <w:spacing w:line="300" w:lineRule="exact"/>
              <w:jc w:val="left"/>
              <w:rPr>
                <w:rFonts w:ascii="宋体" w:hAnsi="宋体" w:cs="宋体"/>
                <w:color w:val="000000"/>
                <w:kern w:val="0"/>
                <w:sz w:val="18"/>
                <w:szCs w:val="18"/>
              </w:rPr>
            </w:pPr>
          </w:p>
        </w:tc>
        <w:tc>
          <w:tcPr>
            <w:tcW w:w="941" w:type="dxa"/>
            <w:tcBorders>
              <w:top w:val="nil"/>
              <w:left w:val="nil"/>
              <w:bottom w:val="single" w:color="auto" w:sz="4" w:space="0"/>
              <w:right w:val="single" w:color="auto" w:sz="4" w:space="0"/>
            </w:tcBorders>
            <w:shd w:val="clear" w:color="auto" w:fill="auto"/>
            <w:vAlign w:val="center"/>
          </w:tcPr>
          <w:p w14:paraId="077A9DB1">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经济成本指标</w:t>
            </w:r>
          </w:p>
        </w:tc>
        <w:tc>
          <w:tcPr>
            <w:tcW w:w="2004" w:type="dxa"/>
            <w:tcBorders>
              <w:top w:val="nil"/>
              <w:left w:val="nil"/>
              <w:bottom w:val="single" w:color="auto" w:sz="4" w:space="0"/>
              <w:right w:val="single" w:color="auto" w:sz="4" w:space="0"/>
            </w:tcBorders>
            <w:shd w:val="clear" w:color="auto" w:fill="auto"/>
            <w:vAlign w:val="center"/>
          </w:tcPr>
          <w:p w14:paraId="33E06DEE">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聘用人员工资及社保金额</w:t>
            </w:r>
          </w:p>
        </w:tc>
        <w:tc>
          <w:tcPr>
            <w:tcW w:w="582" w:type="dxa"/>
            <w:tcBorders>
              <w:top w:val="nil"/>
              <w:left w:val="nil"/>
              <w:bottom w:val="single" w:color="auto" w:sz="4" w:space="0"/>
              <w:right w:val="single" w:color="auto" w:sz="4" w:space="0"/>
            </w:tcBorders>
            <w:shd w:val="clear" w:color="auto" w:fill="auto"/>
            <w:vAlign w:val="center"/>
          </w:tcPr>
          <w:p w14:paraId="3A3BD4B8">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1091" w:type="dxa"/>
            <w:tcBorders>
              <w:top w:val="nil"/>
              <w:left w:val="nil"/>
              <w:bottom w:val="single" w:color="auto" w:sz="4" w:space="0"/>
              <w:right w:val="single" w:color="auto" w:sz="4" w:space="0"/>
            </w:tcBorders>
            <w:shd w:val="clear" w:color="auto" w:fill="auto"/>
            <w:vAlign w:val="center"/>
          </w:tcPr>
          <w:p w14:paraId="7575A6FB">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&lt;=13万元</w:t>
            </w:r>
          </w:p>
        </w:tc>
        <w:tc>
          <w:tcPr>
            <w:tcW w:w="872" w:type="dxa"/>
            <w:tcBorders>
              <w:top w:val="nil"/>
              <w:left w:val="nil"/>
              <w:bottom w:val="single" w:color="auto" w:sz="4" w:space="0"/>
              <w:right w:val="single" w:color="auto" w:sz="4" w:space="0"/>
            </w:tcBorders>
            <w:shd w:val="clear" w:color="auto" w:fill="auto"/>
            <w:vAlign w:val="center"/>
          </w:tcPr>
          <w:p w14:paraId="156A3874">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=13万元</w:t>
            </w:r>
          </w:p>
        </w:tc>
        <w:tc>
          <w:tcPr>
            <w:tcW w:w="750" w:type="dxa"/>
            <w:tcBorders>
              <w:top w:val="nil"/>
              <w:left w:val="nil"/>
              <w:bottom w:val="single" w:color="auto" w:sz="4" w:space="0"/>
              <w:right w:val="single" w:color="auto" w:sz="4" w:space="0"/>
            </w:tcBorders>
            <w:shd w:val="clear" w:color="auto" w:fill="auto"/>
            <w:vAlign w:val="center"/>
          </w:tcPr>
          <w:p w14:paraId="67EB6F9C">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010" w:type="dxa"/>
            <w:tcBorders>
              <w:top w:val="nil"/>
              <w:left w:val="nil"/>
              <w:bottom w:val="single" w:color="auto" w:sz="4" w:space="0"/>
              <w:right w:val="single" w:color="auto" w:sz="4" w:space="0"/>
            </w:tcBorders>
            <w:shd w:val="clear" w:color="auto" w:fill="auto"/>
            <w:vAlign w:val="center"/>
          </w:tcPr>
          <w:p w14:paraId="102B6415">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963" w:type="dxa"/>
            <w:tcBorders>
              <w:top w:val="nil"/>
              <w:left w:val="nil"/>
              <w:bottom w:val="single" w:color="auto" w:sz="4" w:space="0"/>
              <w:right w:val="single" w:color="auto" w:sz="4" w:space="0"/>
            </w:tcBorders>
            <w:shd w:val="clear" w:color="auto" w:fill="auto"/>
            <w:vAlign w:val="center"/>
          </w:tcPr>
          <w:p w14:paraId="651DFE74">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预算支出标准</w:t>
            </w:r>
          </w:p>
        </w:tc>
        <w:tc>
          <w:tcPr>
            <w:tcW w:w="1050" w:type="dxa"/>
            <w:gridSpan w:val="2"/>
            <w:tcBorders>
              <w:top w:val="nil"/>
              <w:left w:val="nil"/>
              <w:bottom w:val="single" w:color="auto" w:sz="4" w:space="0"/>
              <w:right w:val="single" w:color="auto" w:sz="4" w:space="0"/>
            </w:tcBorders>
            <w:shd w:val="clear" w:color="auto" w:fill="auto"/>
            <w:vAlign w:val="center"/>
          </w:tcPr>
          <w:p w14:paraId="668316C7">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11.88万元</w:t>
            </w:r>
          </w:p>
        </w:tc>
        <w:tc>
          <w:tcPr>
            <w:tcW w:w="1691" w:type="dxa"/>
            <w:gridSpan w:val="3"/>
            <w:tcBorders>
              <w:top w:val="nil"/>
              <w:left w:val="nil"/>
              <w:bottom w:val="single" w:color="auto" w:sz="4" w:space="0"/>
              <w:right w:val="single" w:color="auto" w:sz="4" w:space="0"/>
            </w:tcBorders>
            <w:shd w:val="clear" w:color="auto" w:fill="auto"/>
            <w:vAlign w:val="center"/>
          </w:tcPr>
          <w:p w14:paraId="58A8B57E">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按照完成比例赋分</w:t>
            </w:r>
          </w:p>
        </w:tc>
        <w:tc>
          <w:tcPr>
            <w:tcW w:w="973" w:type="dxa"/>
            <w:tcBorders>
              <w:top w:val="nil"/>
              <w:left w:val="nil"/>
              <w:bottom w:val="single" w:color="auto" w:sz="4" w:space="0"/>
              <w:right w:val="single" w:color="auto" w:sz="4" w:space="0"/>
            </w:tcBorders>
            <w:shd w:val="clear" w:color="auto" w:fill="auto"/>
            <w:vAlign w:val="center"/>
          </w:tcPr>
          <w:p w14:paraId="3A84430C">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原始凭证</w:t>
            </w:r>
          </w:p>
        </w:tc>
        <w:tc>
          <w:tcPr>
            <w:tcW w:w="1223" w:type="dxa"/>
            <w:tcBorders>
              <w:top w:val="nil"/>
              <w:left w:val="nil"/>
              <w:bottom w:val="single" w:color="auto" w:sz="4" w:space="0"/>
              <w:right w:val="single" w:color="auto" w:sz="4" w:space="0"/>
            </w:tcBorders>
            <w:shd w:val="clear" w:color="auto" w:fill="auto"/>
            <w:vAlign w:val="center"/>
          </w:tcPr>
          <w:p w14:paraId="717AE3EA">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3967D61C">
        <w:tblPrEx>
          <w:tblCellMar>
            <w:top w:w="0" w:type="dxa"/>
            <w:left w:w="108" w:type="dxa"/>
            <w:bottom w:w="0" w:type="dxa"/>
            <w:right w:w="108" w:type="dxa"/>
          </w:tblCellMar>
        </w:tblPrEx>
        <w:trPr>
          <w:trHeight w:val="510" w:hRule="atLeast"/>
          <w:jc w:val="center"/>
        </w:trPr>
        <w:tc>
          <w:tcPr>
            <w:tcW w:w="454" w:type="dxa"/>
            <w:vMerge w:val="continue"/>
            <w:tcBorders>
              <w:top w:val="nil"/>
              <w:left w:val="single" w:color="auto" w:sz="4" w:space="0"/>
              <w:bottom w:val="single" w:color="auto" w:sz="4" w:space="0"/>
              <w:right w:val="single" w:color="auto" w:sz="4" w:space="0"/>
            </w:tcBorders>
            <w:vAlign w:val="center"/>
          </w:tcPr>
          <w:p w14:paraId="1676F246">
            <w:pPr>
              <w:widowControl/>
              <w:spacing w:line="300" w:lineRule="exact"/>
              <w:jc w:val="left"/>
              <w:rPr>
                <w:rFonts w:ascii="宋体" w:hAnsi="宋体" w:cs="宋体"/>
                <w:b/>
                <w:bCs/>
                <w:color w:val="000000"/>
                <w:kern w:val="0"/>
                <w:sz w:val="18"/>
                <w:szCs w:val="18"/>
              </w:rPr>
            </w:pPr>
          </w:p>
        </w:tc>
        <w:tc>
          <w:tcPr>
            <w:tcW w:w="905" w:type="dxa"/>
            <w:tcBorders>
              <w:top w:val="nil"/>
              <w:left w:val="nil"/>
              <w:bottom w:val="single" w:color="auto" w:sz="4" w:space="0"/>
              <w:right w:val="single" w:color="auto" w:sz="4" w:space="0"/>
            </w:tcBorders>
            <w:shd w:val="clear" w:color="auto" w:fill="auto"/>
            <w:vAlign w:val="center"/>
          </w:tcPr>
          <w:p w14:paraId="1B52C71D">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效益指标</w:t>
            </w:r>
          </w:p>
        </w:tc>
        <w:tc>
          <w:tcPr>
            <w:tcW w:w="941" w:type="dxa"/>
            <w:tcBorders>
              <w:top w:val="nil"/>
              <w:left w:val="nil"/>
              <w:bottom w:val="single" w:color="auto" w:sz="4" w:space="0"/>
              <w:right w:val="single" w:color="auto" w:sz="4" w:space="0"/>
            </w:tcBorders>
            <w:shd w:val="clear" w:color="auto" w:fill="auto"/>
            <w:vAlign w:val="center"/>
          </w:tcPr>
          <w:p w14:paraId="144F33ED">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社会效益指标</w:t>
            </w:r>
          </w:p>
        </w:tc>
        <w:tc>
          <w:tcPr>
            <w:tcW w:w="2004" w:type="dxa"/>
            <w:tcBorders>
              <w:top w:val="nil"/>
              <w:left w:val="nil"/>
              <w:bottom w:val="single" w:color="auto" w:sz="4" w:space="0"/>
              <w:right w:val="single" w:color="auto" w:sz="4" w:space="0"/>
            </w:tcBorders>
            <w:shd w:val="clear" w:color="auto" w:fill="auto"/>
            <w:vAlign w:val="center"/>
          </w:tcPr>
          <w:p w14:paraId="3E871336">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提交的提案和社情民意信息被采纳率</w:t>
            </w:r>
          </w:p>
        </w:tc>
        <w:tc>
          <w:tcPr>
            <w:tcW w:w="582" w:type="dxa"/>
            <w:tcBorders>
              <w:top w:val="nil"/>
              <w:left w:val="nil"/>
              <w:bottom w:val="single" w:color="auto" w:sz="4" w:space="0"/>
              <w:right w:val="single" w:color="auto" w:sz="4" w:space="0"/>
            </w:tcBorders>
            <w:shd w:val="clear" w:color="auto" w:fill="auto"/>
            <w:vAlign w:val="center"/>
          </w:tcPr>
          <w:p w14:paraId="59B3909F">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1091" w:type="dxa"/>
            <w:tcBorders>
              <w:top w:val="nil"/>
              <w:left w:val="nil"/>
              <w:bottom w:val="single" w:color="auto" w:sz="4" w:space="0"/>
              <w:right w:val="single" w:color="auto" w:sz="4" w:space="0"/>
            </w:tcBorders>
            <w:shd w:val="clear" w:color="auto" w:fill="auto"/>
            <w:vAlign w:val="center"/>
          </w:tcPr>
          <w:p w14:paraId="199C276D">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&gt;=80%</w:t>
            </w:r>
          </w:p>
        </w:tc>
        <w:tc>
          <w:tcPr>
            <w:tcW w:w="872" w:type="dxa"/>
            <w:tcBorders>
              <w:top w:val="nil"/>
              <w:left w:val="nil"/>
              <w:bottom w:val="single" w:color="auto" w:sz="4" w:space="0"/>
              <w:right w:val="single" w:color="auto" w:sz="4" w:space="0"/>
            </w:tcBorders>
            <w:shd w:val="clear" w:color="auto" w:fill="auto"/>
            <w:vAlign w:val="center"/>
          </w:tcPr>
          <w:p w14:paraId="10F533F1">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=80%</w:t>
            </w:r>
          </w:p>
        </w:tc>
        <w:tc>
          <w:tcPr>
            <w:tcW w:w="750" w:type="dxa"/>
            <w:tcBorders>
              <w:top w:val="nil"/>
              <w:left w:val="nil"/>
              <w:bottom w:val="single" w:color="auto" w:sz="4" w:space="0"/>
              <w:right w:val="single" w:color="auto" w:sz="4" w:space="0"/>
            </w:tcBorders>
            <w:shd w:val="clear" w:color="auto" w:fill="auto"/>
            <w:vAlign w:val="center"/>
          </w:tcPr>
          <w:p w14:paraId="58758526">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010" w:type="dxa"/>
            <w:tcBorders>
              <w:top w:val="nil"/>
              <w:left w:val="nil"/>
              <w:bottom w:val="single" w:color="auto" w:sz="4" w:space="0"/>
              <w:right w:val="single" w:color="auto" w:sz="4" w:space="0"/>
            </w:tcBorders>
            <w:shd w:val="clear" w:color="auto" w:fill="auto"/>
            <w:vAlign w:val="center"/>
          </w:tcPr>
          <w:p w14:paraId="35C6909C">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963" w:type="dxa"/>
            <w:tcBorders>
              <w:top w:val="nil"/>
              <w:left w:val="nil"/>
              <w:bottom w:val="single" w:color="auto" w:sz="4" w:space="0"/>
              <w:right w:val="single" w:color="auto" w:sz="4" w:space="0"/>
            </w:tcBorders>
            <w:shd w:val="clear" w:color="auto" w:fill="auto"/>
            <w:vAlign w:val="center"/>
          </w:tcPr>
          <w:p w14:paraId="3A5B0096">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历史标准</w:t>
            </w:r>
          </w:p>
        </w:tc>
        <w:tc>
          <w:tcPr>
            <w:tcW w:w="1050" w:type="dxa"/>
            <w:gridSpan w:val="2"/>
            <w:tcBorders>
              <w:top w:val="nil"/>
              <w:left w:val="nil"/>
              <w:bottom w:val="single" w:color="auto" w:sz="4" w:space="0"/>
              <w:right w:val="single" w:color="auto" w:sz="4" w:space="0"/>
            </w:tcBorders>
            <w:shd w:val="clear" w:color="auto" w:fill="auto"/>
            <w:vAlign w:val="center"/>
          </w:tcPr>
          <w:p w14:paraId="0FF8BBFA">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80%</w:t>
            </w:r>
          </w:p>
        </w:tc>
        <w:tc>
          <w:tcPr>
            <w:tcW w:w="1691" w:type="dxa"/>
            <w:gridSpan w:val="3"/>
            <w:tcBorders>
              <w:top w:val="nil"/>
              <w:left w:val="nil"/>
              <w:bottom w:val="single" w:color="auto" w:sz="4" w:space="0"/>
              <w:right w:val="single" w:color="auto" w:sz="4" w:space="0"/>
            </w:tcBorders>
            <w:shd w:val="clear" w:color="auto" w:fill="auto"/>
            <w:vAlign w:val="center"/>
          </w:tcPr>
          <w:p w14:paraId="40D4583B">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按照完成比例赋分</w:t>
            </w:r>
          </w:p>
        </w:tc>
        <w:tc>
          <w:tcPr>
            <w:tcW w:w="973" w:type="dxa"/>
            <w:tcBorders>
              <w:top w:val="nil"/>
              <w:left w:val="nil"/>
              <w:bottom w:val="single" w:color="auto" w:sz="4" w:space="0"/>
              <w:right w:val="single" w:color="auto" w:sz="4" w:space="0"/>
            </w:tcBorders>
            <w:shd w:val="clear" w:color="auto" w:fill="auto"/>
            <w:vAlign w:val="center"/>
          </w:tcPr>
          <w:p w14:paraId="2E3BAA47">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工作资料</w:t>
            </w:r>
          </w:p>
        </w:tc>
        <w:tc>
          <w:tcPr>
            <w:tcW w:w="1223" w:type="dxa"/>
            <w:tcBorders>
              <w:top w:val="nil"/>
              <w:left w:val="nil"/>
              <w:bottom w:val="single" w:color="auto" w:sz="4" w:space="0"/>
              <w:right w:val="single" w:color="auto" w:sz="4" w:space="0"/>
            </w:tcBorders>
            <w:shd w:val="clear" w:color="auto" w:fill="auto"/>
            <w:vAlign w:val="center"/>
          </w:tcPr>
          <w:p w14:paraId="041B6BAC">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02F0C9DF">
        <w:tblPrEx>
          <w:tblCellMar>
            <w:top w:w="0" w:type="dxa"/>
            <w:left w:w="108" w:type="dxa"/>
            <w:bottom w:w="0" w:type="dxa"/>
            <w:right w:w="108" w:type="dxa"/>
          </w:tblCellMar>
        </w:tblPrEx>
        <w:trPr>
          <w:trHeight w:val="720" w:hRule="atLeast"/>
          <w:jc w:val="center"/>
        </w:trPr>
        <w:tc>
          <w:tcPr>
            <w:tcW w:w="454" w:type="dxa"/>
            <w:vMerge w:val="continue"/>
            <w:tcBorders>
              <w:top w:val="nil"/>
              <w:left w:val="single" w:color="auto" w:sz="4" w:space="0"/>
              <w:bottom w:val="single" w:color="auto" w:sz="4" w:space="0"/>
              <w:right w:val="single" w:color="auto" w:sz="4" w:space="0"/>
            </w:tcBorders>
            <w:vAlign w:val="center"/>
          </w:tcPr>
          <w:p w14:paraId="2CB33034">
            <w:pPr>
              <w:widowControl/>
              <w:spacing w:line="300" w:lineRule="exact"/>
              <w:jc w:val="left"/>
              <w:rPr>
                <w:rFonts w:ascii="宋体" w:hAnsi="宋体" w:cs="宋体"/>
                <w:b/>
                <w:bCs/>
                <w:color w:val="000000"/>
                <w:kern w:val="0"/>
                <w:sz w:val="18"/>
                <w:szCs w:val="18"/>
              </w:rPr>
            </w:pPr>
          </w:p>
        </w:tc>
        <w:tc>
          <w:tcPr>
            <w:tcW w:w="905" w:type="dxa"/>
            <w:tcBorders>
              <w:top w:val="nil"/>
              <w:left w:val="nil"/>
              <w:bottom w:val="single" w:color="auto" w:sz="4" w:space="0"/>
              <w:right w:val="single" w:color="auto" w:sz="4" w:space="0"/>
            </w:tcBorders>
            <w:shd w:val="clear" w:color="auto" w:fill="auto"/>
            <w:vAlign w:val="center"/>
          </w:tcPr>
          <w:p w14:paraId="76C3084D">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满意度指标</w:t>
            </w:r>
          </w:p>
        </w:tc>
        <w:tc>
          <w:tcPr>
            <w:tcW w:w="941" w:type="dxa"/>
            <w:tcBorders>
              <w:top w:val="nil"/>
              <w:left w:val="nil"/>
              <w:bottom w:val="single" w:color="auto" w:sz="4" w:space="0"/>
              <w:right w:val="single" w:color="auto" w:sz="4" w:space="0"/>
            </w:tcBorders>
            <w:shd w:val="clear" w:color="auto" w:fill="auto"/>
            <w:vAlign w:val="center"/>
          </w:tcPr>
          <w:p w14:paraId="5EECD3B4">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满意度指标</w:t>
            </w:r>
          </w:p>
        </w:tc>
        <w:tc>
          <w:tcPr>
            <w:tcW w:w="2004" w:type="dxa"/>
            <w:tcBorders>
              <w:top w:val="nil"/>
              <w:left w:val="nil"/>
              <w:bottom w:val="single" w:color="auto" w:sz="4" w:space="0"/>
              <w:right w:val="single" w:color="auto" w:sz="4" w:space="0"/>
            </w:tcBorders>
            <w:shd w:val="clear" w:color="auto" w:fill="auto"/>
            <w:vAlign w:val="center"/>
          </w:tcPr>
          <w:p w14:paraId="149F5FE5">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民进会员满意度</w:t>
            </w:r>
          </w:p>
        </w:tc>
        <w:tc>
          <w:tcPr>
            <w:tcW w:w="582" w:type="dxa"/>
            <w:tcBorders>
              <w:top w:val="nil"/>
              <w:left w:val="nil"/>
              <w:bottom w:val="single" w:color="auto" w:sz="4" w:space="0"/>
              <w:right w:val="single" w:color="auto" w:sz="4" w:space="0"/>
            </w:tcBorders>
            <w:shd w:val="clear" w:color="auto" w:fill="auto"/>
            <w:vAlign w:val="center"/>
          </w:tcPr>
          <w:p w14:paraId="71BE51F8">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091" w:type="dxa"/>
            <w:tcBorders>
              <w:top w:val="nil"/>
              <w:left w:val="nil"/>
              <w:bottom w:val="single" w:color="auto" w:sz="4" w:space="0"/>
              <w:right w:val="single" w:color="auto" w:sz="4" w:space="0"/>
            </w:tcBorders>
            <w:shd w:val="clear" w:color="auto" w:fill="auto"/>
            <w:vAlign w:val="center"/>
          </w:tcPr>
          <w:p w14:paraId="4313FD6E">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&gt;=90%</w:t>
            </w:r>
          </w:p>
        </w:tc>
        <w:tc>
          <w:tcPr>
            <w:tcW w:w="872" w:type="dxa"/>
            <w:tcBorders>
              <w:top w:val="nil"/>
              <w:left w:val="nil"/>
              <w:bottom w:val="single" w:color="auto" w:sz="4" w:space="0"/>
              <w:right w:val="single" w:color="auto" w:sz="4" w:space="0"/>
            </w:tcBorders>
            <w:shd w:val="clear" w:color="auto" w:fill="auto"/>
            <w:vAlign w:val="center"/>
          </w:tcPr>
          <w:p w14:paraId="5596E786">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=90%</w:t>
            </w:r>
          </w:p>
        </w:tc>
        <w:tc>
          <w:tcPr>
            <w:tcW w:w="750" w:type="dxa"/>
            <w:tcBorders>
              <w:top w:val="nil"/>
              <w:left w:val="nil"/>
              <w:bottom w:val="single" w:color="auto" w:sz="4" w:space="0"/>
              <w:right w:val="single" w:color="auto" w:sz="4" w:space="0"/>
            </w:tcBorders>
            <w:shd w:val="clear" w:color="auto" w:fill="auto"/>
            <w:vAlign w:val="center"/>
          </w:tcPr>
          <w:p w14:paraId="2A90D645">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010" w:type="dxa"/>
            <w:tcBorders>
              <w:top w:val="nil"/>
              <w:left w:val="nil"/>
              <w:bottom w:val="single" w:color="auto" w:sz="4" w:space="0"/>
              <w:right w:val="single" w:color="auto" w:sz="4" w:space="0"/>
            </w:tcBorders>
            <w:shd w:val="clear" w:color="auto" w:fill="auto"/>
            <w:vAlign w:val="center"/>
          </w:tcPr>
          <w:p w14:paraId="156788E3">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963" w:type="dxa"/>
            <w:tcBorders>
              <w:top w:val="nil"/>
              <w:left w:val="nil"/>
              <w:bottom w:val="single" w:color="auto" w:sz="4" w:space="0"/>
              <w:right w:val="single" w:color="auto" w:sz="4" w:space="0"/>
            </w:tcBorders>
            <w:shd w:val="clear" w:color="auto" w:fill="auto"/>
            <w:vAlign w:val="center"/>
          </w:tcPr>
          <w:p w14:paraId="2617824B">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历史标准</w:t>
            </w:r>
          </w:p>
        </w:tc>
        <w:tc>
          <w:tcPr>
            <w:tcW w:w="1050" w:type="dxa"/>
            <w:gridSpan w:val="2"/>
            <w:tcBorders>
              <w:top w:val="nil"/>
              <w:left w:val="nil"/>
              <w:bottom w:val="single" w:color="auto" w:sz="4" w:space="0"/>
              <w:right w:val="single" w:color="auto" w:sz="4" w:space="0"/>
            </w:tcBorders>
            <w:shd w:val="clear" w:color="auto" w:fill="auto"/>
            <w:vAlign w:val="center"/>
          </w:tcPr>
          <w:p w14:paraId="48305D10">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90%</w:t>
            </w:r>
          </w:p>
        </w:tc>
        <w:tc>
          <w:tcPr>
            <w:tcW w:w="1691" w:type="dxa"/>
            <w:gridSpan w:val="3"/>
            <w:tcBorders>
              <w:top w:val="nil"/>
              <w:left w:val="nil"/>
              <w:bottom w:val="single" w:color="auto" w:sz="4" w:space="0"/>
              <w:right w:val="single" w:color="auto" w:sz="4" w:space="0"/>
            </w:tcBorders>
            <w:shd w:val="clear" w:color="auto" w:fill="auto"/>
            <w:vAlign w:val="center"/>
          </w:tcPr>
          <w:p w14:paraId="2E4D7711">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满意度赋分</w:t>
            </w:r>
          </w:p>
        </w:tc>
        <w:tc>
          <w:tcPr>
            <w:tcW w:w="973" w:type="dxa"/>
            <w:tcBorders>
              <w:top w:val="nil"/>
              <w:left w:val="nil"/>
              <w:bottom w:val="single" w:color="auto" w:sz="4" w:space="0"/>
              <w:right w:val="single" w:color="auto" w:sz="4" w:space="0"/>
            </w:tcBorders>
            <w:shd w:val="clear" w:color="auto" w:fill="auto"/>
            <w:vAlign w:val="center"/>
          </w:tcPr>
          <w:p w14:paraId="33FD1C38">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工作资料</w:t>
            </w:r>
          </w:p>
        </w:tc>
        <w:tc>
          <w:tcPr>
            <w:tcW w:w="1223" w:type="dxa"/>
            <w:tcBorders>
              <w:top w:val="nil"/>
              <w:left w:val="nil"/>
              <w:bottom w:val="single" w:color="auto" w:sz="4" w:space="0"/>
              <w:right w:val="single" w:color="auto" w:sz="4" w:space="0"/>
            </w:tcBorders>
            <w:shd w:val="clear" w:color="auto" w:fill="auto"/>
            <w:vAlign w:val="center"/>
          </w:tcPr>
          <w:p w14:paraId="3FEA8253">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r>
      <w:tr w14:paraId="6416A9B8">
        <w:tblPrEx>
          <w:tblCellMar>
            <w:top w:w="0" w:type="dxa"/>
            <w:left w:w="108" w:type="dxa"/>
            <w:bottom w:w="0" w:type="dxa"/>
            <w:right w:w="108" w:type="dxa"/>
          </w:tblCellMar>
        </w:tblPrEx>
        <w:trPr>
          <w:trHeight w:val="379" w:hRule="atLeast"/>
          <w:jc w:val="center"/>
        </w:trPr>
        <w:tc>
          <w:tcPr>
            <w:tcW w:w="4304" w:type="dxa"/>
            <w:gridSpan w:val="4"/>
            <w:tcBorders>
              <w:top w:val="single" w:color="auto" w:sz="4" w:space="0"/>
              <w:left w:val="single" w:color="auto" w:sz="4" w:space="0"/>
              <w:bottom w:val="single" w:color="auto" w:sz="4" w:space="0"/>
              <w:right w:val="nil"/>
            </w:tcBorders>
            <w:shd w:val="clear" w:color="auto" w:fill="auto"/>
            <w:vAlign w:val="center"/>
          </w:tcPr>
          <w:p w14:paraId="2A1FEBEB">
            <w:pPr>
              <w:widowControl/>
              <w:spacing w:line="300" w:lineRule="exact"/>
              <w:jc w:val="center"/>
              <w:rPr>
                <w:rFonts w:ascii="宋体" w:hAnsi="宋体" w:cs="宋体"/>
                <w:b/>
                <w:bCs/>
                <w:color w:val="000000"/>
                <w:kern w:val="0"/>
                <w:sz w:val="18"/>
                <w:szCs w:val="18"/>
              </w:rPr>
            </w:pPr>
            <w:r>
              <w:rPr>
                <w:rFonts w:hint="eastAsia" w:ascii="宋体" w:hAnsi="宋体" w:cs="宋体"/>
                <w:b/>
                <w:bCs/>
                <w:color w:val="000000"/>
                <w:kern w:val="0"/>
                <w:sz w:val="18"/>
                <w:szCs w:val="18"/>
              </w:rPr>
              <w:t>总分</w:t>
            </w:r>
          </w:p>
        </w:tc>
        <w:tc>
          <w:tcPr>
            <w:tcW w:w="582" w:type="dxa"/>
            <w:tcBorders>
              <w:top w:val="nil"/>
              <w:left w:val="single" w:color="auto" w:sz="4" w:space="0"/>
              <w:bottom w:val="single" w:color="auto" w:sz="4" w:space="0"/>
              <w:right w:val="single" w:color="auto" w:sz="4" w:space="0"/>
            </w:tcBorders>
            <w:shd w:val="clear" w:color="auto" w:fill="auto"/>
            <w:vAlign w:val="center"/>
          </w:tcPr>
          <w:p w14:paraId="69171E83">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091" w:type="dxa"/>
            <w:tcBorders>
              <w:top w:val="nil"/>
              <w:left w:val="nil"/>
              <w:bottom w:val="single" w:color="auto" w:sz="4" w:space="0"/>
              <w:right w:val="single" w:color="auto" w:sz="4" w:space="0"/>
            </w:tcBorders>
            <w:shd w:val="clear" w:color="auto" w:fill="auto"/>
            <w:vAlign w:val="center"/>
          </w:tcPr>
          <w:p w14:paraId="4862ED06">
            <w:pPr>
              <w:widowControl/>
              <w:spacing w:line="300" w:lineRule="exact"/>
              <w:jc w:val="left"/>
              <w:rPr>
                <w:rFonts w:ascii="宋体" w:hAnsi="宋体" w:cs="宋体"/>
                <w:b/>
                <w:bCs/>
                <w:color w:val="000000"/>
                <w:kern w:val="0"/>
                <w:sz w:val="18"/>
                <w:szCs w:val="18"/>
              </w:rPr>
            </w:pPr>
            <w:r>
              <w:rPr>
                <w:rFonts w:hint="eastAsia" w:ascii="宋体" w:hAnsi="宋体" w:cs="宋体"/>
                <w:b/>
                <w:bCs/>
                <w:color w:val="000000"/>
                <w:kern w:val="0"/>
                <w:sz w:val="18"/>
                <w:szCs w:val="18"/>
              </w:rPr>
              <w:t>　</w:t>
            </w:r>
          </w:p>
        </w:tc>
        <w:tc>
          <w:tcPr>
            <w:tcW w:w="872" w:type="dxa"/>
            <w:tcBorders>
              <w:top w:val="nil"/>
              <w:left w:val="nil"/>
              <w:bottom w:val="single" w:color="auto" w:sz="4" w:space="0"/>
              <w:right w:val="single" w:color="auto" w:sz="4" w:space="0"/>
            </w:tcBorders>
            <w:shd w:val="clear" w:color="auto" w:fill="auto"/>
            <w:vAlign w:val="center"/>
          </w:tcPr>
          <w:p w14:paraId="773F3C93">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750" w:type="dxa"/>
            <w:tcBorders>
              <w:top w:val="nil"/>
              <w:left w:val="nil"/>
              <w:bottom w:val="single" w:color="auto" w:sz="4" w:space="0"/>
              <w:right w:val="single" w:color="auto" w:sz="4" w:space="0"/>
            </w:tcBorders>
            <w:shd w:val="clear" w:color="auto" w:fill="auto"/>
            <w:vAlign w:val="center"/>
          </w:tcPr>
          <w:p w14:paraId="1B0D2C98">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010" w:type="dxa"/>
            <w:tcBorders>
              <w:top w:val="nil"/>
              <w:left w:val="nil"/>
              <w:bottom w:val="single" w:color="auto" w:sz="4" w:space="0"/>
              <w:right w:val="single" w:color="auto" w:sz="4" w:space="0"/>
            </w:tcBorders>
            <w:shd w:val="clear" w:color="auto" w:fill="auto"/>
            <w:vAlign w:val="center"/>
          </w:tcPr>
          <w:p w14:paraId="0A6FD834">
            <w:pPr>
              <w:widowControl/>
              <w:spacing w:line="300" w:lineRule="exact"/>
              <w:jc w:val="center"/>
              <w:rPr>
                <w:rFonts w:ascii="宋体" w:hAnsi="宋体" w:cs="宋体"/>
                <w:color w:val="000000"/>
                <w:kern w:val="0"/>
                <w:sz w:val="18"/>
                <w:szCs w:val="18"/>
              </w:rPr>
            </w:pPr>
            <w:r>
              <w:rPr>
                <w:rFonts w:hint="eastAsia" w:ascii="宋体" w:hAnsi="宋体" w:cs="宋体"/>
                <w:color w:val="000000"/>
                <w:kern w:val="0"/>
                <w:sz w:val="18"/>
                <w:szCs w:val="18"/>
              </w:rPr>
              <w:t>100.00分</w:t>
            </w:r>
          </w:p>
        </w:tc>
        <w:tc>
          <w:tcPr>
            <w:tcW w:w="963" w:type="dxa"/>
            <w:tcBorders>
              <w:top w:val="nil"/>
              <w:left w:val="nil"/>
              <w:bottom w:val="single" w:color="auto" w:sz="4" w:space="0"/>
              <w:right w:val="single" w:color="auto" w:sz="4" w:space="0"/>
            </w:tcBorders>
            <w:shd w:val="clear" w:color="auto" w:fill="auto"/>
            <w:vAlign w:val="center"/>
          </w:tcPr>
          <w:p w14:paraId="15F0589D">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050" w:type="dxa"/>
            <w:gridSpan w:val="2"/>
            <w:tcBorders>
              <w:top w:val="nil"/>
              <w:left w:val="nil"/>
              <w:bottom w:val="single" w:color="auto" w:sz="4" w:space="0"/>
              <w:right w:val="single" w:color="auto" w:sz="4" w:space="0"/>
            </w:tcBorders>
            <w:shd w:val="clear" w:color="auto" w:fill="auto"/>
            <w:vAlign w:val="center"/>
          </w:tcPr>
          <w:p w14:paraId="1C9BCAA7">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691" w:type="dxa"/>
            <w:gridSpan w:val="3"/>
            <w:tcBorders>
              <w:top w:val="nil"/>
              <w:left w:val="nil"/>
              <w:bottom w:val="single" w:color="auto" w:sz="4" w:space="0"/>
              <w:right w:val="single" w:color="auto" w:sz="4" w:space="0"/>
            </w:tcBorders>
            <w:shd w:val="clear" w:color="auto" w:fill="auto"/>
            <w:vAlign w:val="center"/>
          </w:tcPr>
          <w:p w14:paraId="268B1A47">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973" w:type="dxa"/>
            <w:tcBorders>
              <w:top w:val="nil"/>
              <w:left w:val="nil"/>
              <w:bottom w:val="single" w:color="auto" w:sz="4" w:space="0"/>
              <w:right w:val="single" w:color="auto" w:sz="4" w:space="0"/>
            </w:tcBorders>
            <w:shd w:val="clear" w:color="auto" w:fill="auto"/>
            <w:vAlign w:val="center"/>
          </w:tcPr>
          <w:p w14:paraId="60EF7DE5">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23" w:type="dxa"/>
            <w:tcBorders>
              <w:top w:val="nil"/>
              <w:left w:val="nil"/>
              <w:bottom w:val="single" w:color="auto" w:sz="4" w:space="0"/>
              <w:right w:val="single" w:color="auto" w:sz="4" w:space="0"/>
            </w:tcBorders>
            <w:shd w:val="clear" w:color="auto" w:fill="auto"/>
            <w:vAlign w:val="center"/>
          </w:tcPr>
          <w:p w14:paraId="52085234">
            <w:pPr>
              <w:widowControl/>
              <w:spacing w:line="300" w:lineRule="exact"/>
              <w:jc w:val="left"/>
              <w:rPr>
                <w:rFonts w:ascii="宋体" w:hAnsi="宋体" w:cs="宋体"/>
                <w:color w:val="000000"/>
                <w:kern w:val="0"/>
                <w:sz w:val="18"/>
                <w:szCs w:val="18"/>
              </w:rPr>
            </w:pPr>
            <w:r>
              <w:rPr>
                <w:rFonts w:hint="eastAsia" w:ascii="宋体" w:hAnsi="宋体" w:cs="宋体"/>
                <w:color w:val="000000"/>
                <w:kern w:val="0"/>
                <w:sz w:val="18"/>
                <w:szCs w:val="18"/>
              </w:rPr>
              <w:t>　</w:t>
            </w:r>
          </w:p>
        </w:tc>
      </w:tr>
    </w:tbl>
    <w:p w14:paraId="4D56590C">
      <w:pPr>
        <w:spacing w:line="600" w:lineRule="exact"/>
        <w:rPr>
          <w:rFonts w:eastAsia="黑体"/>
          <w:bCs/>
          <w:sz w:val="32"/>
          <w:szCs w:val="32"/>
        </w:rPr>
        <w:sectPr>
          <w:pgSz w:w="16838" w:h="11906" w:orient="landscape"/>
          <w:pgMar w:top="1134" w:right="1417" w:bottom="1134" w:left="1417" w:header="851" w:footer="992" w:gutter="0"/>
          <w:cols w:space="425" w:num="1"/>
          <w:docGrid w:type="lines" w:linePitch="312" w:charSpace="0"/>
        </w:sectPr>
      </w:pPr>
    </w:p>
    <w:p w14:paraId="34CF3DEF">
      <w:pPr>
        <w:spacing w:line="600" w:lineRule="exact"/>
        <w:rPr>
          <w:rFonts w:eastAsia="黑体"/>
        </w:rPr>
      </w:pPr>
      <w:commentRangeStart w:id="5"/>
      <w:r>
        <w:rPr>
          <w:rFonts w:eastAsia="黑体"/>
          <w:bCs/>
          <w:sz w:val="32"/>
          <w:szCs w:val="32"/>
        </w:rPr>
        <w:t>附件1</w:t>
      </w:r>
      <w:commentRangeEnd w:id="5"/>
      <w:r>
        <w:rPr>
          <w:rFonts w:eastAsia="黑体"/>
        </w:rPr>
        <w:commentReference w:id="5"/>
      </w:r>
    </w:p>
    <w:p w14:paraId="55541CED">
      <w:pPr>
        <w:pStyle w:val="18"/>
        <w:spacing w:afterLines="50" w:line="600" w:lineRule="exact"/>
        <w:ind w:firstLine="561"/>
        <w:jc w:val="center"/>
        <w:rPr>
          <w:sz w:val="32"/>
          <w:szCs w:val="32"/>
        </w:rPr>
      </w:pPr>
      <w:r>
        <w:rPr>
          <w:rFonts w:eastAsia="方正小标宋简体"/>
          <w:sz w:val="32"/>
          <w:szCs w:val="32"/>
        </w:rPr>
        <w:t>民主党派参政议政</w:t>
      </w:r>
      <w:r>
        <w:rPr>
          <w:rFonts w:hint="eastAsia" w:eastAsia="方正小标宋简体"/>
          <w:sz w:val="32"/>
          <w:szCs w:val="32"/>
        </w:rPr>
        <w:t>专项业务费</w:t>
      </w:r>
      <w:r>
        <w:rPr>
          <w:rFonts w:eastAsia="方正小标宋简体"/>
          <w:sz w:val="32"/>
          <w:szCs w:val="32"/>
        </w:rPr>
        <w:t>项目绩效评价指标体系及综合评分表</w:t>
      </w:r>
    </w:p>
    <w:tbl>
      <w:tblPr>
        <w:tblStyle w:val="13"/>
        <w:tblW w:w="14081"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99"/>
        <w:gridCol w:w="1187"/>
        <w:gridCol w:w="1063"/>
        <w:gridCol w:w="2782"/>
        <w:gridCol w:w="6395"/>
        <w:gridCol w:w="805"/>
        <w:gridCol w:w="750"/>
      </w:tblGrid>
      <w:tr w14:paraId="6535C2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blHeader/>
          <w:jc w:val="center"/>
        </w:trPr>
        <w:tc>
          <w:tcPr>
            <w:tcW w:w="1099" w:type="dxa"/>
            <w:shd w:val="clear" w:color="auto" w:fill="auto"/>
            <w:vAlign w:val="center"/>
          </w:tcPr>
          <w:p w14:paraId="16155BAA">
            <w:pPr>
              <w:widowControl/>
              <w:spacing w:line="0" w:lineRule="atLeast"/>
              <w:jc w:val="center"/>
              <w:rPr>
                <w:rFonts w:eastAsia="仿宋_GB2312"/>
                <w:b/>
                <w:bCs/>
                <w:kern w:val="0"/>
                <w:szCs w:val="21"/>
              </w:rPr>
            </w:pPr>
            <w:r>
              <w:rPr>
                <w:rFonts w:eastAsia="仿宋_GB2312"/>
                <w:b/>
                <w:bCs/>
                <w:kern w:val="0"/>
                <w:szCs w:val="21"/>
              </w:rPr>
              <w:t>一级指标</w:t>
            </w:r>
          </w:p>
        </w:tc>
        <w:tc>
          <w:tcPr>
            <w:tcW w:w="1187" w:type="dxa"/>
            <w:shd w:val="clear" w:color="auto" w:fill="auto"/>
            <w:vAlign w:val="center"/>
          </w:tcPr>
          <w:p w14:paraId="3B305397">
            <w:pPr>
              <w:widowControl/>
              <w:spacing w:line="0" w:lineRule="atLeast"/>
              <w:jc w:val="center"/>
              <w:rPr>
                <w:rFonts w:eastAsia="仿宋_GB2312"/>
                <w:b/>
                <w:bCs/>
                <w:kern w:val="0"/>
                <w:szCs w:val="21"/>
              </w:rPr>
            </w:pPr>
            <w:r>
              <w:rPr>
                <w:rFonts w:eastAsia="仿宋_GB2312"/>
                <w:b/>
                <w:bCs/>
                <w:kern w:val="0"/>
                <w:szCs w:val="21"/>
              </w:rPr>
              <w:t>二级指标</w:t>
            </w:r>
          </w:p>
        </w:tc>
        <w:tc>
          <w:tcPr>
            <w:tcW w:w="1063" w:type="dxa"/>
            <w:shd w:val="clear" w:color="auto" w:fill="auto"/>
            <w:vAlign w:val="center"/>
          </w:tcPr>
          <w:p w14:paraId="19F0C81C">
            <w:pPr>
              <w:widowControl/>
              <w:spacing w:line="0" w:lineRule="atLeast"/>
              <w:jc w:val="center"/>
              <w:rPr>
                <w:rFonts w:eastAsia="仿宋_GB2312"/>
                <w:b/>
                <w:bCs/>
                <w:kern w:val="0"/>
                <w:szCs w:val="21"/>
              </w:rPr>
            </w:pPr>
            <w:r>
              <w:rPr>
                <w:rFonts w:eastAsia="仿宋_GB2312"/>
                <w:b/>
                <w:bCs/>
                <w:kern w:val="0"/>
                <w:szCs w:val="21"/>
              </w:rPr>
              <w:t>三级指标</w:t>
            </w:r>
          </w:p>
        </w:tc>
        <w:tc>
          <w:tcPr>
            <w:tcW w:w="2782" w:type="dxa"/>
            <w:shd w:val="clear" w:color="auto" w:fill="auto"/>
            <w:vAlign w:val="center"/>
          </w:tcPr>
          <w:p w14:paraId="29BD4A10">
            <w:pPr>
              <w:widowControl/>
              <w:spacing w:line="0" w:lineRule="atLeast"/>
              <w:jc w:val="center"/>
              <w:rPr>
                <w:rFonts w:eastAsia="仿宋_GB2312"/>
                <w:b/>
                <w:bCs/>
                <w:kern w:val="0"/>
                <w:szCs w:val="21"/>
              </w:rPr>
            </w:pPr>
            <w:r>
              <w:rPr>
                <w:rFonts w:eastAsia="仿宋_GB2312"/>
                <w:b/>
                <w:bCs/>
                <w:kern w:val="0"/>
                <w:szCs w:val="21"/>
              </w:rPr>
              <w:t>指标解释</w:t>
            </w:r>
          </w:p>
        </w:tc>
        <w:tc>
          <w:tcPr>
            <w:tcW w:w="6395" w:type="dxa"/>
            <w:shd w:val="clear" w:color="auto" w:fill="auto"/>
            <w:vAlign w:val="center"/>
          </w:tcPr>
          <w:p w14:paraId="16B7DF33">
            <w:pPr>
              <w:widowControl/>
              <w:spacing w:line="0" w:lineRule="atLeast"/>
              <w:jc w:val="center"/>
              <w:rPr>
                <w:rFonts w:eastAsia="仿宋_GB2312"/>
                <w:b/>
                <w:bCs/>
                <w:kern w:val="0"/>
                <w:szCs w:val="21"/>
              </w:rPr>
            </w:pPr>
            <w:r>
              <w:rPr>
                <w:rFonts w:eastAsia="仿宋_GB2312"/>
                <w:b/>
                <w:bCs/>
                <w:kern w:val="0"/>
                <w:szCs w:val="21"/>
              </w:rPr>
              <w:t>指标说明</w:t>
            </w:r>
          </w:p>
        </w:tc>
        <w:tc>
          <w:tcPr>
            <w:tcW w:w="805" w:type="dxa"/>
            <w:shd w:val="clear" w:color="auto" w:fill="auto"/>
            <w:vAlign w:val="center"/>
          </w:tcPr>
          <w:p w14:paraId="7C57C36E">
            <w:pPr>
              <w:widowControl/>
              <w:spacing w:line="0" w:lineRule="atLeast"/>
              <w:jc w:val="center"/>
              <w:rPr>
                <w:rFonts w:eastAsia="仿宋_GB2312"/>
                <w:b/>
                <w:bCs/>
                <w:kern w:val="0"/>
                <w:szCs w:val="21"/>
              </w:rPr>
            </w:pPr>
            <w:r>
              <w:rPr>
                <w:rFonts w:eastAsia="仿宋_GB2312"/>
                <w:b/>
                <w:bCs/>
                <w:kern w:val="0"/>
                <w:szCs w:val="21"/>
              </w:rPr>
              <w:t>权重</w:t>
            </w:r>
          </w:p>
        </w:tc>
        <w:tc>
          <w:tcPr>
            <w:tcW w:w="750" w:type="dxa"/>
            <w:shd w:val="clear" w:color="auto" w:fill="auto"/>
            <w:vAlign w:val="center"/>
          </w:tcPr>
          <w:p w14:paraId="0B61FB53">
            <w:pPr>
              <w:widowControl/>
              <w:spacing w:line="0" w:lineRule="atLeast"/>
              <w:jc w:val="center"/>
              <w:rPr>
                <w:rFonts w:eastAsia="仿宋_GB2312"/>
                <w:b/>
                <w:bCs/>
                <w:kern w:val="0"/>
                <w:szCs w:val="21"/>
              </w:rPr>
            </w:pPr>
            <w:r>
              <w:rPr>
                <w:rFonts w:eastAsia="仿宋_GB2312"/>
                <w:b/>
                <w:bCs/>
                <w:kern w:val="0"/>
                <w:szCs w:val="21"/>
              </w:rPr>
              <w:t>得分</w:t>
            </w:r>
          </w:p>
        </w:tc>
      </w:tr>
      <w:tr w14:paraId="3111F9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1099" w:type="dxa"/>
            <w:vMerge w:val="restart"/>
            <w:shd w:val="clear" w:color="auto" w:fill="auto"/>
            <w:vAlign w:val="center"/>
          </w:tcPr>
          <w:p w14:paraId="46557D10">
            <w:pPr>
              <w:widowControl/>
              <w:spacing w:line="0" w:lineRule="atLeast"/>
              <w:jc w:val="center"/>
              <w:rPr>
                <w:rFonts w:eastAsia="仿宋_GB2312"/>
                <w:kern w:val="0"/>
                <w:szCs w:val="21"/>
              </w:rPr>
            </w:pPr>
          </w:p>
          <w:p w14:paraId="049AE7EB">
            <w:pPr>
              <w:widowControl/>
              <w:spacing w:line="0" w:lineRule="atLeast"/>
              <w:jc w:val="center"/>
              <w:rPr>
                <w:rFonts w:eastAsia="仿宋_GB2312"/>
                <w:kern w:val="0"/>
                <w:szCs w:val="21"/>
              </w:rPr>
            </w:pPr>
          </w:p>
          <w:p w14:paraId="12C39110">
            <w:pPr>
              <w:widowControl/>
              <w:spacing w:line="0" w:lineRule="atLeast"/>
              <w:jc w:val="center"/>
              <w:rPr>
                <w:rFonts w:eastAsia="仿宋_GB2312"/>
                <w:kern w:val="0"/>
                <w:szCs w:val="21"/>
              </w:rPr>
            </w:pPr>
          </w:p>
          <w:p w14:paraId="241CB3D6">
            <w:pPr>
              <w:widowControl/>
              <w:spacing w:line="0" w:lineRule="atLeast"/>
              <w:jc w:val="center"/>
              <w:rPr>
                <w:rFonts w:eastAsia="仿宋_GB2312"/>
                <w:kern w:val="0"/>
                <w:szCs w:val="21"/>
              </w:rPr>
            </w:pPr>
          </w:p>
          <w:p w14:paraId="24B919E9">
            <w:pPr>
              <w:widowControl/>
              <w:spacing w:line="0" w:lineRule="atLeast"/>
              <w:jc w:val="center"/>
              <w:rPr>
                <w:rFonts w:eastAsia="仿宋_GB2312"/>
                <w:kern w:val="0"/>
                <w:szCs w:val="21"/>
              </w:rPr>
            </w:pPr>
          </w:p>
          <w:p w14:paraId="4647D3BA">
            <w:pPr>
              <w:widowControl/>
              <w:spacing w:line="0" w:lineRule="atLeast"/>
              <w:jc w:val="center"/>
              <w:rPr>
                <w:rFonts w:eastAsia="仿宋_GB2312"/>
                <w:kern w:val="0"/>
                <w:szCs w:val="21"/>
              </w:rPr>
            </w:pPr>
          </w:p>
          <w:p w14:paraId="2FE46581">
            <w:pPr>
              <w:widowControl/>
              <w:spacing w:line="0" w:lineRule="atLeast"/>
              <w:jc w:val="center"/>
              <w:rPr>
                <w:rFonts w:eastAsia="仿宋_GB2312"/>
                <w:kern w:val="0"/>
                <w:szCs w:val="21"/>
              </w:rPr>
            </w:pPr>
            <w:r>
              <w:rPr>
                <w:rFonts w:eastAsia="仿宋_GB2312"/>
                <w:kern w:val="0"/>
                <w:szCs w:val="21"/>
              </w:rPr>
              <w:t>决策　</w:t>
            </w:r>
          </w:p>
        </w:tc>
        <w:tc>
          <w:tcPr>
            <w:tcW w:w="1187" w:type="dxa"/>
            <w:vMerge w:val="restart"/>
            <w:shd w:val="clear" w:color="auto" w:fill="auto"/>
            <w:vAlign w:val="center"/>
          </w:tcPr>
          <w:p w14:paraId="04711C68">
            <w:pPr>
              <w:widowControl/>
              <w:spacing w:line="0" w:lineRule="atLeast"/>
              <w:jc w:val="center"/>
              <w:rPr>
                <w:rFonts w:eastAsia="仿宋_GB2312"/>
                <w:kern w:val="0"/>
                <w:szCs w:val="21"/>
              </w:rPr>
            </w:pPr>
            <w:r>
              <w:rPr>
                <w:rFonts w:eastAsia="仿宋_GB2312"/>
                <w:kern w:val="0"/>
                <w:szCs w:val="21"/>
              </w:rPr>
              <w:t>项目立项　</w:t>
            </w:r>
          </w:p>
        </w:tc>
        <w:tc>
          <w:tcPr>
            <w:tcW w:w="1063" w:type="dxa"/>
            <w:shd w:val="clear" w:color="auto" w:fill="auto"/>
            <w:vAlign w:val="center"/>
          </w:tcPr>
          <w:p w14:paraId="4390FCFE">
            <w:pPr>
              <w:widowControl/>
              <w:spacing w:line="0" w:lineRule="atLeast"/>
              <w:jc w:val="center"/>
              <w:rPr>
                <w:rFonts w:eastAsia="仿宋_GB2312"/>
                <w:kern w:val="0"/>
                <w:szCs w:val="21"/>
              </w:rPr>
            </w:pPr>
            <w:r>
              <w:rPr>
                <w:rFonts w:eastAsia="仿宋_GB2312"/>
                <w:kern w:val="0"/>
                <w:szCs w:val="21"/>
              </w:rPr>
              <w:t>立项依据</w:t>
            </w:r>
          </w:p>
          <w:p w14:paraId="6E6582D5">
            <w:pPr>
              <w:widowControl/>
              <w:spacing w:line="0" w:lineRule="atLeast"/>
              <w:jc w:val="center"/>
              <w:rPr>
                <w:rFonts w:eastAsia="仿宋_GB2312"/>
                <w:kern w:val="0"/>
                <w:szCs w:val="21"/>
              </w:rPr>
            </w:pPr>
            <w:r>
              <w:rPr>
                <w:rFonts w:eastAsia="仿宋_GB2312"/>
                <w:kern w:val="0"/>
                <w:szCs w:val="21"/>
              </w:rPr>
              <w:t>充分性</w:t>
            </w:r>
          </w:p>
        </w:tc>
        <w:tc>
          <w:tcPr>
            <w:tcW w:w="2782" w:type="dxa"/>
            <w:shd w:val="clear" w:color="auto" w:fill="auto"/>
            <w:vAlign w:val="center"/>
          </w:tcPr>
          <w:p w14:paraId="4B8D733C">
            <w:pPr>
              <w:widowControl/>
              <w:spacing w:line="0" w:lineRule="atLeast"/>
              <w:rPr>
                <w:rFonts w:eastAsia="仿宋_GB2312"/>
                <w:kern w:val="0"/>
                <w:szCs w:val="21"/>
              </w:rPr>
            </w:pPr>
            <w:r>
              <w:rPr>
                <w:rFonts w:eastAsia="仿宋_GB2312"/>
                <w:kern w:val="0"/>
                <w:szCs w:val="21"/>
              </w:rPr>
              <w:t>项目立项是否符合法律法规、相关政策、发展规划以及部门职责，用以反映和考核项目立项依据情况。</w:t>
            </w:r>
          </w:p>
        </w:tc>
        <w:tc>
          <w:tcPr>
            <w:tcW w:w="6395" w:type="dxa"/>
            <w:shd w:val="clear" w:color="auto" w:fill="auto"/>
            <w:vAlign w:val="center"/>
          </w:tcPr>
          <w:p w14:paraId="55627EEC">
            <w:pPr>
              <w:widowControl/>
              <w:spacing w:line="0" w:lineRule="atLeast"/>
              <w:jc w:val="left"/>
              <w:rPr>
                <w:rFonts w:eastAsia="仿宋_GB2312"/>
                <w:kern w:val="0"/>
                <w:szCs w:val="21"/>
              </w:rPr>
            </w:pPr>
            <w:r>
              <w:rPr>
                <w:rFonts w:eastAsia="仿宋_GB2312"/>
                <w:kern w:val="0"/>
                <w:szCs w:val="21"/>
              </w:rPr>
              <w:t>评价要点：</w:t>
            </w:r>
            <w:r>
              <w:rPr>
                <w:rFonts w:eastAsia="仿宋_GB2312"/>
                <w:kern w:val="0"/>
                <w:szCs w:val="21"/>
              </w:rPr>
              <w:br w:type="textWrapping"/>
            </w:r>
            <w:r>
              <w:rPr>
                <w:rFonts w:eastAsia="仿宋_GB2312"/>
                <w:kern w:val="0"/>
                <w:szCs w:val="21"/>
              </w:rPr>
              <w:t>①项目立项是否符合国家法律法规、国民经济发展规划和相关政策；</w:t>
            </w:r>
            <w:r>
              <w:rPr>
                <w:rFonts w:eastAsia="仿宋_GB2312"/>
                <w:kern w:val="0"/>
                <w:szCs w:val="21"/>
              </w:rPr>
              <w:br w:type="textWrapping"/>
            </w:r>
            <w:r>
              <w:rPr>
                <w:rFonts w:eastAsia="仿宋_GB2312"/>
                <w:kern w:val="0"/>
                <w:szCs w:val="21"/>
              </w:rPr>
              <w:t>②项目立项是否符合行业发展规划和政策要求；</w:t>
            </w:r>
            <w:r>
              <w:rPr>
                <w:rFonts w:eastAsia="仿宋_GB2312"/>
                <w:kern w:val="0"/>
                <w:szCs w:val="21"/>
              </w:rPr>
              <w:br w:type="textWrapping"/>
            </w:r>
            <w:r>
              <w:rPr>
                <w:rFonts w:eastAsia="仿宋_GB2312"/>
                <w:kern w:val="0"/>
                <w:szCs w:val="21"/>
              </w:rPr>
              <w:t>③项目立项是否与部门职责范围相符，属于部门履职所需；</w:t>
            </w:r>
            <w:r>
              <w:rPr>
                <w:rFonts w:eastAsia="仿宋_GB2312"/>
                <w:kern w:val="0"/>
                <w:szCs w:val="21"/>
              </w:rPr>
              <w:br w:type="textWrapping"/>
            </w:r>
            <w:r>
              <w:rPr>
                <w:rFonts w:eastAsia="仿宋_GB2312"/>
                <w:kern w:val="0"/>
                <w:szCs w:val="21"/>
              </w:rPr>
              <w:t>④项目是否属于公共财政支持范围，是否符合中央、地方事权支出责任划分原则；</w:t>
            </w:r>
            <w:r>
              <w:rPr>
                <w:rFonts w:eastAsia="仿宋_GB2312"/>
                <w:kern w:val="0"/>
                <w:szCs w:val="21"/>
              </w:rPr>
              <w:br w:type="textWrapping"/>
            </w:r>
            <w:r>
              <w:rPr>
                <w:rFonts w:eastAsia="仿宋_GB2312"/>
                <w:kern w:val="0"/>
                <w:szCs w:val="21"/>
              </w:rPr>
              <w:t>⑤项目是否与相关部门同类项目或部门内部相关项目重复。</w:t>
            </w:r>
          </w:p>
        </w:tc>
        <w:tc>
          <w:tcPr>
            <w:tcW w:w="805" w:type="dxa"/>
            <w:shd w:val="clear" w:color="auto" w:fill="auto"/>
            <w:vAlign w:val="center"/>
          </w:tcPr>
          <w:p w14:paraId="05A9BAF7">
            <w:pPr>
              <w:widowControl/>
              <w:spacing w:line="0" w:lineRule="atLeast"/>
              <w:jc w:val="center"/>
              <w:rPr>
                <w:rFonts w:eastAsia="仿宋_GB2312"/>
                <w:b/>
                <w:bCs/>
                <w:kern w:val="0"/>
                <w:szCs w:val="21"/>
              </w:rPr>
            </w:pPr>
            <w:r>
              <w:rPr>
                <w:rFonts w:eastAsia="仿宋_GB2312"/>
                <w:b/>
                <w:bCs/>
                <w:kern w:val="0"/>
                <w:szCs w:val="21"/>
              </w:rPr>
              <w:t>3</w:t>
            </w:r>
          </w:p>
        </w:tc>
        <w:tc>
          <w:tcPr>
            <w:tcW w:w="750" w:type="dxa"/>
            <w:shd w:val="clear" w:color="auto" w:fill="auto"/>
            <w:vAlign w:val="center"/>
          </w:tcPr>
          <w:p w14:paraId="766066C4">
            <w:pPr>
              <w:widowControl/>
              <w:spacing w:line="0" w:lineRule="atLeast"/>
              <w:jc w:val="center"/>
              <w:rPr>
                <w:rFonts w:eastAsia="仿宋_GB2312"/>
                <w:b/>
                <w:bCs/>
                <w:kern w:val="0"/>
                <w:szCs w:val="21"/>
              </w:rPr>
            </w:pPr>
            <w:r>
              <w:rPr>
                <w:rFonts w:eastAsia="仿宋_GB2312"/>
                <w:b/>
                <w:bCs/>
                <w:kern w:val="0"/>
                <w:szCs w:val="21"/>
              </w:rPr>
              <w:t>3</w:t>
            </w:r>
          </w:p>
        </w:tc>
      </w:tr>
      <w:tr w14:paraId="5DA5C1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1099" w:type="dxa"/>
            <w:vMerge w:val="continue"/>
            <w:shd w:val="clear" w:color="auto" w:fill="auto"/>
            <w:vAlign w:val="center"/>
          </w:tcPr>
          <w:p w14:paraId="0972C9CE">
            <w:pPr>
              <w:spacing w:line="0" w:lineRule="atLeast"/>
              <w:jc w:val="center"/>
              <w:rPr>
                <w:rFonts w:eastAsia="仿宋_GB2312"/>
                <w:kern w:val="0"/>
                <w:szCs w:val="21"/>
              </w:rPr>
            </w:pPr>
          </w:p>
        </w:tc>
        <w:tc>
          <w:tcPr>
            <w:tcW w:w="1187" w:type="dxa"/>
            <w:vMerge w:val="continue"/>
            <w:shd w:val="clear" w:color="auto" w:fill="auto"/>
            <w:vAlign w:val="center"/>
          </w:tcPr>
          <w:p w14:paraId="1EC2B6EF">
            <w:pPr>
              <w:widowControl/>
              <w:spacing w:line="0" w:lineRule="atLeast"/>
              <w:jc w:val="center"/>
              <w:rPr>
                <w:rFonts w:eastAsia="仿宋_GB2312"/>
                <w:kern w:val="0"/>
                <w:szCs w:val="21"/>
              </w:rPr>
            </w:pPr>
          </w:p>
        </w:tc>
        <w:tc>
          <w:tcPr>
            <w:tcW w:w="1063" w:type="dxa"/>
            <w:shd w:val="clear" w:color="auto" w:fill="auto"/>
            <w:vAlign w:val="center"/>
          </w:tcPr>
          <w:p w14:paraId="1621CF65">
            <w:pPr>
              <w:widowControl/>
              <w:spacing w:line="0" w:lineRule="atLeast"/>
              <w:jc w:val="center"/>
              <w:rPr>
                <w:rFonts w:eastAsia="仿宋_GB2312"/>
                <w:kern w:val="0"/>
                <w:szCs w:val="21"/>
              </w:rPr>
            </w:pPr>
            <w:r>
              <w:rPr>
                <w:rFonts w:eastAsia="仿宋_GB2312"/>
                <w:kern w:val="0"/>
                <w:szCs w:val="21"/>
              </w:rPr>
              <w:t>立项程序</w:t>
            </w:r>
          </w:p>
          <w:p w14:paraId="45303ED9">
            <w:pPr>
              <w:widowControl/>
              <w:spacing w:line="0" w:lineRule="atLeast"/>
              <w:jc w:val="center"/>
              <w:rPr>
                <w:rFonts w:eastAsia="仿宋_GB2312"/>
                <w:kern w:val="0"/>
                <w:szCs w:val="21"/>
              </w:rPr>
            </w:pPr>
            <w:r>
              <w:rPr>
                <w:rFonts w:eastAsia="仿宋_GB2312"/>
                <w:kern w:val="0"/>
                <w:szCs w:val="21"/>
              </w:rPr>
              <w:t>规范性</w:t>
            </w:r>
          </w:p>
        </w:tc>
        <w:tc>
          <w:tcPr>
            <w:tcW w:w="2782" w:type="dxa"/>
            <w:shd w:val="clear" w:color="auto" w:fill="auto"/>
            <w:vAlign w:val="center"/>
          </w:tcPr>
          <w:p w14:paraId="49748A96">
            <w:pPr>
              <w:widowControl/>
              <w:spacing w:line="0" w:lineRule="atLeast"/>
              <w:rPr>
                <w:rFonts w:eastAsia="仿宋_GB2312"/>
                <w:kern w:val="0"/>
                <w:szCs w:val="21"/>
              </w:rPr>
            </w:pPr>
            <w:r>
              <w:rPr>
                <w:rFonts w:eastAsia="仿宋_GB2312"/>
                <w:kern w:val="0"/>
                <w:szCs w:val="21"/>
              </w:rPr>
              <w:t>项目申请、设立过程是否符合相关要求，用以反映和考核项目立项的规范情况。</w:t>
            </w:r>
          </w:p>
        </w:tc>
        <w:tc>
          <w:tcPr>
            <w:tcW w:w="6395" w:type="dxa"/>
            <w:shd w:val="clear" w:color="auto" w:fill="auto"/>
            <w:vAlign w:val="center"/>
          </w:tcPr>
          <w:p w14:paraId="10876E44">
            <w:pPr>
              <w:widowControl/>
              <w:spacing w:line="0" w:lineRule="atLeast"/>
              <w:jc w:val="left"/>
              <w:rPr>
                <w:rFonts w:eastAsia="仿宋_GB2312"/>
                <w:kern w:val="0"/>
                <w:szCs w:val="21"/>
              </w:rPr>
            </w:pPr>
            <w:r>
              <w:rPr>
                <w:rFonts w:eastAsia="仿宋_GB2312"/>
                <w:kern w:val="0"/>
                <w:szCs w:val="21"/>
              </w:rPr>
              <w:t>评价要点：</w:t>
            </w:r>
            <w:r>
              <w:rPr>
                <w:rFonts w:eastAsia="仿宋_GB2312"/>
                <w:kern w:val="0"/>
                <w:szCs w:val="21"/>
              </w:rPr>
              <w:br w:type="textWrapping"/>
            </w:r>
            <w:r>
              <w:rPr>
                <w:rFonts w:eastAsia="仿宋_GB2312"/>
                <w:kern w:val="0"/>
                <w:szCs w:val="21"/>
              </w:rPr>
              <w:t>①项目是否按照规定的程序申请设立；</w:t>
            </w:r>
            <w:r>
              <w:rPr>
                <w:rFonts w:eastAsia="仿宋_GB2312"/>
                <w:kern w:val="0"/>
                <w:szCs w:val="21"/>
              </w:rPr>
              <w:br w:type="textWrapping"/>
            </w:r>
            <w:r>
              <w:rPr>
                <w:rFonts w:eastAsia="仿宋_GB2312"/>
                <w:kern w:val="0"/>
                <w:szCs w:val="21"/>
              </w:rPr>
              <w:t>②审批文件、材料是否符合相关要求；</w:t>
            </w:r>
            <w:r>
              <w:rPr>
                <w:rFonts w:eastAsia="仿宋_GB2312"/>
                <w:kern w:val="0"/>
                <w:szCs w:val="21"/>
              </w:rPr>
              <w:br w:type="textWrapping"/>
            </w:r>
            <w:r>
              <w:rPr>
                <w:rFonts w:eastAsia="仿宋_GB2312"/>
                <w:kern w:val="0"/>
                <w:szCs w:val="21"/>
              </w:rPr>
              <w:t>③事前是否已经过必要的可行性研究、专家论证、风险评估、绩效评估、集体决策。</w:t>
            </w:r>
          </w:p>
        </w:tc>
        <w:tc>
          <w:tcPr>
            <w:tcW w:w="805" w:type="dxa"/>
            <w:shd w:val="clear" w:color="auto" w:fill="auto"/>
            <w:vAlign w:val="center"/>
          </w:tcPr>
          <w:p w14:paraId="6124846A">
            <w:pPr>
              <w:widowControl/>
              <w:spacing w:line="0" w:lineRule="atLeast"/>
              <w:jc w:val="center"/>
              <w:rPr>
                <w:rFonts w:eastAsia="仿宋_GB2312"/>
                <w:b/>
                <w:bCs/>
                <w:kern w:val="0"/>
                <w:szCs w:val="21"/>
              </w:rPr>
            </w:pPr>
            <w:r>
              <w:rPr>
                <w:rFonts w:eastAsia="仿宋_GB2312"/>
                <w:b/>
                <w:bCs/>
                <w:kern w:val="0"/>
                <w:szCs w:val="21"/>
              </w:rPr>
              <w:t>3</w:t>
            </w:r>
          </w:p>
        </w:tc>
        <w:tc>
          <w:tcPr>
            <w:tcW w:w="750" w:type="dxa"/>
            <w:shd w:val="clear" w:color="auto" w:fill="auto"/>
            <w:vAlign w:val="center"/>
          </w:tcPr>
          <w:p w14:paraId="7F817195">
            <w:pPr>
              <w:widowControl/>
              <w:spacing w:line="0" w:lineRule="atLeast"/>
              <w:jc w:val="center"/>
              <w:rPr>
                <w:rFonts w:eastAsia="仿宋_GB2312"/>
                <w:b/>
                <w:bCs/>
                <w:kern w:val="0"/>
                <w:szCs w:val="21"/>
              </w:rPr>
            </w:pPr>
            <w:r>
              <w:rPr>
                <w:rFonts w:eastAsia="仿宋_GB2312"/>
                <w:b/>
                <w:bCs/>
                <w:kern w:val="0"/>
                <w:szCs w:val="21"/>
              </w:rPr>
              <w:t>3</w:t>
            </w:r>
          </w:p>
        </w:tc>
      </w:tr>
      <w:tr w14:paraId="79FA44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1099" w:type="dxa"/>
            <w:vMerge w:val="continue"/>
            <w:shd w:val="clear" w:color="auto" w:fill="auto"/>
            <w:vAlign w:val="center"/>
          </w:tcPr>
          <w:p w14:paraId="50B79ACA">
            <w:pPr>
              <w:spacing w:line="0" w:lineRule="atLeast"/>
              <w:jc w:val="center"/>
              <w:rPr>
                <w:rFonts w:eastAsia="仿宋_GB2312"/>
                <w:kern w:val="0"/>
                <w:szCs w:val="21"/>
              </w:rPr>
            </w:pPr>
          </w:p>
        </w:tc>
        <w:tc>
          <w:tcPr>
            <w:tcW w:w="1187" w:type="dxa"/>
            <w:vMerge w:val="restart"/>
            <w:shd w:val="clear" w:color="auto" w:fill="auto"/>
            <w:vAlign w:val="center"/>
          </w:tcPr>
          <w:p w14:paraId="2FACDFE6">
            <w:pPr>
              <w:widowControl/>
              <w:spacing w:line="0" w:lineRule="atLeast"/>
              <w:jc w:val="center"/>
              <w:rPr>
                <w:rFonts w:eastAsia="仿宋_GB2312"/>
                <w:kern w:val="0"/>
                <w:szCs w:val="21"/>
              </w:rPr>
            </w:pPr>
            <w:r>
              <w:rPr>
                <w:rFonts w:eastAsia="仿宋_GB2312"/>
                <w:kern w:val="0"/>
                <w:szCs w:val="21"/>
              </w:rPr>
              <w:t>绩效目标　</w:t>
            </w:r>
          </w:p>
        </w:tc>
        <w:tc>
          <w:tcPr>
            <w:tcW w:w="1063" w:type="dxa"/>
            <w:shd w:val="clear" w:color="auto" w:fill="auto"/>
            <w:vAlign w:val="center"/>
          </w:tcPr>
          <w:p w14:paraId="0B442641">
            <w:pPr>
              <w:widowControl/>
              <w:spacing w:line="0" w:lineRule="atLeast"/>
              <w:jc w:val="center"/>
              <w:rPr>
                <w:rFonts w:eastAsia="仿宋_GB2312"/>
                <w:kern w:val="0"/>
                <w:szCs w:val="21"/>
              </w:rPr>
            </w:pPr>
            <w:r>
              <w:rPr>
                <w:rFonts w:eastAsia="仿宋_GB2312"/>
                <w:kern w:val="0"/>
                <w:szCs w:val="21"/>
              </w:rPr>
              <w:t>绩效目标</w:t>
            </w:r>
          </w:p>
          <w:p w14:paraId="483B2702">
            <w:pPr>
              <w:widowControl/>
              <w:spacing w:line="0" w:lineRule="atLeast"/>
              <w:jc w:val="center"/>
              <w:rPr>
                <w:rFonts w:eastAsia="仿宋_GB2312"/>
                <w:kern w:val="0"/>
                <w:szCs w:val="21"/>
              </w:rPr>
            </w:pPr>
            <w:r>
              <w:rPr>
                <w:rFonts w:eastAsia="仿宋_GB2312"/>
                <w:kern w:val="0"/>
                <w:szCs w:val="21"/>
              </w:rPr>
              <w:t>合理性</w:t>
            </w:r>
          </w:p>
        </w:tc>
        <w:tc>
          <w:tcPr>
            <w:tcW w:w="2782" w:type="dxa"/>
            <w:shd w:val="clear" w:color="auto" w:fill="auto"/>
            <w:vAlign w:val="center"/>
          </w:tcPr>
          <w:p w14:paraId="16157392">
            <w:pPr>
              <w:widowControl/>
              <w:spacing w:line="0" w:lineRule="atLeast"/>
              <w:rPr>
                <w:rFonts w:eastAsia="仿宋_GB2312"/>
                <w:kern w:val="0"/>
                <w:szCs w:val="21"/>
              </w:rPr>
            </w:pPr>
            <w:r>
              <w:rPr>
                <w:rFonts w:eastAsia="仿宋_GB2312"/>
                <w:kern w:val="0"/>
                <w:szCs w:val="21"/>
              </w:rPr>
              <w:t>项目所设定的绩效目标是否依据充分，是否符合客观实际，用以反映和考核项目绩效目标与项目实施的相符情况。</w:t>
            </w:r>
          </w:p>
        </w:tc>
        <w:tc>
          <w:tcPr>
            <w:tcW w:w="6395" w:type="dxa"/>
            <w:shd w:val="clear" w:color="auto" w:fill="auto"/>
            <w:vAlign w:val="center"/>
          </w:tcPr>
          <w:p w14:paraId="6F2186D5">
            <w:pPr>
              <w:widowControl/>
              <w:spacing w:line="0" w:lineRule="atLeast"/>
              <w:jc w:val="left"/>
              <w:rPr>
                <w:rFonts w:eastAsia="仿宋_GB2312"/>
                <w:kern w:val="0"/>
                <w:szCs w:val="21"/>
              </w:rPr>
            </w:pPr>
            <w:r>
              <w:rPr>
                <w:rFonts w:eastAsia="仿宋_GB2312"/>
                <w:kern w:val="0"/>
                <w:szCs w:val="21"/>
              </w:rPr>
              <w:t>评价要点：</w:t>
            </w:r>
            <w:r>
              <w:rPr>
                <w:rFonts w:eastAsia="仿宋_GB2312"/>
                <w:kern w:val="0"/>
                <w:szCs w:val="21"/>
              </w:rPr>
              <w:br w:type="textWrapping"/>
            </w:r>
            <w:r>
              <w:rPr>
                <w:rFonts w:eastAsia="仿宋_GB2312"/>
                <w:kern w:val="0"/>
                <w:szCs w:val="21"/>
              </w:rPr>
              <w:t>（如未设定预算绩效目标，也可考核其他工作任务目标）</w:t>
            </w:r>
            <w:r>
              <w:rPr>
                <w:rFonts w:eastAsia="仿宋_GB2312"/>
                <w:kern w:val="0"/>
                <w:szCs w:val="21"/>
              </w:rPr>
              <w:br w:type="textWrapping"/>
            </w:r>
            <w:r>
              <w:rPr>
                <w:rFonts w:eastAsia="仿宋_GB2312"/>
                <w:kern w:val="0"/>
                <w:szCs w:val="21"/>
              </w:rPr>
              <w:t>①项目是否有绩效目标；</w:t>
            </w:r>
            <w:r>
              <w:rPr>
                <w:rFonts w:eastAsia="仿宋_GB2312"/>
                <w:kern w:val="0"/>
                <w:szCs w:val="21"/>
              </w:rPr>
              <w:br w:type="textWrapping"/>
            </w:r>
            <w:r>
              <w:rPr>
                <w:rFonts w:eastAsia="仿宋_GB2312"/>
                <w:kern w:val="0"/>
                <w:szCs w:val="21"/>
              </w:rPr>
              <w:t>②项目绩效目标与实际工作内容是否具有相关性；</w:t>
            </w:r>
            <w:r>
              <w:rPr>
                <w:rFonts w:eastAsia="仿宋_GB2312"/>
                <w:kern w:val="0"/>
                <w:szCs w:val="21"/>
              </w:rPr>
              <w:br w:type="textWrapping"/>
            </w:r>
            <w:r>
              <w:rPr>
                <w:rFonts w:eastAsia="仿宋_GB2312"/>
                <w:kern w:val="0"/>
                <w:szCs w:val="21"/>
              </w:rPr>
              <w:t>③项目预期产出效益和效果是否符合正常的业绩水平；</w:t>
            </w:r>
          </w:p>
          <w:p w14:paraId="7964CDFE">
            <w:pPr>
              <w:widowControl/>
              <w:spacing w:line="0" w:lineRule="atLeast"/>
              <w:jc w:val="left"/>
              <w:rPr>
                <w:rFonts w:eastAsia="仿宋_GB2312"/>
                <w:kern w:val="0"/>
                <w:szCs w:val="21"/>
              </w:rPr>
            </w:pPr>
            <w:r>
              <w:rPr>
                <w:rFonts w:eastAsia="仿宋_GB2312"/>
                <w:kern w:val="0"/>
                <w:szCs w:val="21"/>
              </w:rPr>
              <w:t>④是否与预算确定的项目投资额或资金量相匹配。</w:t>
            </w:r>
          </w:p>
        </w:tc>
        <w:tc>
          <w:tcPr>
            <w:tcW w:w="805" w:type="dxa"/>
            <w:shd w:val="clear" w:color="auto" w:fill="auto"/>
            <w:vAlign w:val="center"/>
          </w:tcPr>
          <w:p w14:paraId="541F9957">
            <w:pPr>
              <w:widowControl/>
              <w:spacing w:line="0" w:lineRule="atLeast"/>
              <w:jc w:val="center"/>
              <w:rPr>
                <w:rFonts w:eastAsia="仿宋_GB2312"/>
                <w:b/>
                <w:bCs/>
                <w:kern w:val="0"/>
                <w:szCs w:val="21"/>
              </w:rPr>
            </w:pPr>
            <w:r>
              <w:rPr>
                <w:rFonts w:eastAsia="仿宋_GB2312"/>
                <w:b/>
                <w:bCs/>
                <w:kern w:val="0"/>
                <w:szCs w:val="21"/>
              </w:rPr>
              <w:t>3</w:t>
            </w:r>
          </w:p>
        </w:tc>
        <w:tc>
          <w:tcPr>
            <w:tcW w:w="750" w:type="dxa"/>
            <w:shd w:val="clear" w:color="auto" w:fill="auto"/>
            <w:vAlign w:val="center"/>
          </w:tcPr>
          <w:p w14:paraId="6D970166">
            <w:pPr>
              <w:widowControl/>
              <w:spacing w:line="0" w:lineRule="atLeast"/>
              <w:jc w:val="center"/>
              <w:rPr>
                <w:rFonts w:eastAsia="仿宋_GB2312"/>
                <w:b/>
                <w:bCs/>
                <w:kern w:val="0"/>
                <w:szCs w:val="21"/>
              </w:rPr>
            </w:pPr>
            <w:r>
              <w:rPr>
                <w:rFonts w:eastAsia="仿宋_GB2312"/>
                <w:b/>
                <w:bCs/>
                <w:kern w:val="0"/>
                <w:szCs w:val="21"/>
              </w:rPr>
              <w:t>3</w:t>
            </w:r>
          </w:p>
        </w:tc>
      </w:tr>
      <w:tr w14:paraId="63F5A2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1099" w:type="dxa"/>
            <w:vMerge w:val="continue"/>
            <w:shd w:val="clear" w:color="auto" w:fill="auto"/>
            <w:vAlign w:val="center"/>
          </w:tcPr>
          <w:p w14:paraId="159CBD0B">
            <w:pPr>
              <w:widowControl/>
              <w:spacing w:line="0" w:lineRule="atLeast"/>
              <w:jc w:val="center"/>
              <w:rPr>
                <w:rFonts w:eastAsia="仿宋_GB2312"/>
                <w:kern w:val="0"/>
                <w:szCs w:val="21"/>
              </w:rPr>
            </w:pPr>
          </w:p>
        </w:tc>
        <w:tc>
          <w:tcPr>
            <w:tcW w:w="1187" w:type="dxa"/>
            <w:vMerge w:val="continue"/>
            <w:shd w:val="clear" w:color="auto" w:fill="auto"/>
            <w:vAlign w:val="center"/>
          </w:tcPr>
          <w:p w14:paraId="7FFDD6AF">
            <w:pPr>
              <w:widowControl/>
              <w:spacing w:line="0" w:lineRule="atLeast"/>
              <w:jc w:val="center"/>
              <w:rPr>
                <w:rFonts w:eastAsia="仿宋_GB2312"/>
                <w:kern w:val="0"/>
                <w:szCs w:val="21"/>
              </w:rPr>
            </w:pPr>
          </w:p>
        </w:tc>
        <w:tc>
          <w:tcPr>
            <w:tcW w:w="1063" w:type="dxa"/>
            <w:shd w:val="clear" w:color="auto" w:fill="auto"/>
            <w:vAlign w:val="center"/>
          </w:tcPr>
          <w:p w14:paraId="47868EB1">
            <w:pPr>
              <w:widowControl/>
              <w:spacing w:line="0" w:lineRule="atLeast"/>
              <w:jc w:val="center"/>
              <w:rPr>
                <w:rFonts w:eastAsia="仿宋_GB2312"/>
                <w:kern w:val="0"/>
                <w:szCs w:val="21"/>
              </w:rPr>
            </w:pPr>
            <w:r>
              <w:rPr>
                <w:rFonts w:eastAsia="仿宋_GB2312"/>
                <w:kern w:val="0"/>
                <w:szCs w:val="21"/>
              </w:rPr>
              <w:t>绩效指标</w:t>
            </w:r>
          </w:p>
          <w:p w14:paraId="0D35A4D0">
            <w:pPr>
              <w:widowControl/>
              <w:spacing w:line="0" w:lineRule="atLeast"/>
              <w:jc w:val="center"/>
              <w:rPr>
                <w:rFonts w:eastAsia="仿宋_GB2312"/>
                <w:kern w:val="0"/>
                <w:szCs w:val="21"/>
              </w:rPr>
            </w:pPr>
            <w:r>
              <w:rPr>
                <w:rFonts w:eastAsia="仿宋_GB2312"/>
                <w:kern w:val="0"/>
                <w:szCs w:val="21"/>
              </w:rPr>
              <w:t>明确性</w:t>
            </w:r>
          </w:p>
        </w:tc>
        <w:tc>
          <w:tcPr>
            <w:tcW w:w="2782" w:type="dxa"/>
            <w:shd w:val="clear" w:color="auto" w:fill="auto"/>
            <w:vAlign w:val="center"/>
          </w:tcPr>
          <w:p w14:paraId="3F695065">
            <w:pPr>
              <w:widowControl/>
              <w:spacing w:line="0" w:lineRule="atLeast"/>
              <w:rPr>
                <w:rFonts w:eastAsia="仿宋_GB2312"/>
                <w:kern w:val="0"/>
                <w:szCs w:val="21"/>
              </w:rPr>
            </w:pPr>
            <w:r>
              <w:rPr>
                <w:rFonts w:eastAsia="仿宋_GB2312"/>
                <w:kern w:val="0"/>
                <w:szCs w:val="21"/>
              </w:rPr>
              <w:t>依据绩效目标设定的绩效指标是否清晰、细化、可衡量等，用以反映和考核项目绩效目标的明细化情况。</w:t>
            </w:r>
          </w:p>
        </w:tc>
        <w:tc>
          <w:tcPr>
            <w:tcW w:w="6395" w:type="dxa"/>
            <w:shd w:val="clear" w:color="auto" w:fill="auto"/>
            <w:vAlign w:val="center"/>
          </w:tcPr>
          <w:p w14:paraId="265B3F21">
            <w:pPr>
              <w:widowControl/>
              <w:spacing w:line="0" w:lineRule="atLeast"/>
              <w:rPr>
                <w:rFonts w:eastAsia="仿宋_GB2312"/>
                <w:kern w:val="0"/>
                <w:szCs w:val="21"/>
              </w:rPr>
            </w:pPr>
            <w:r>
              <w:rPr>
                <w:rFonts w:eastAsia="仿宋_GB2312"/>
                <w:kern w:val="0"/>
                <w:szCs w:val="21"/>
              </w:rPr>
              <w:t>评价要点：</w:t>
            </w:r>
            <w:r>
              <w:rPr>
                <w:rFonts w:eastAsia="仿宋_GB2312"/>
                <w:kern w:val="0"/>
                <w:szCs w:val="21"/>
              </w:rPr>
              <w:br w:type="textWrapping"/>
            </w:r>
            <w:r>
              <w:rPr>
                <w:rFonts w:eastAsia="仿宋_GB2312"/>
                <w:kern w:val="0"/>
                <w:szCs w:val="21"/>
              </w:rPr>
              <w:t>①是否将项目绩效目标细化分解为具体的绩效指标；</w:t>
            </w:r>
            <w:r>
              <w:rPr>
                <w:rFonts w:eastAsia="仿宋_GB2312"/>
                <w:kern w:val="0"/>
                <w:szCs w:val="21"/>
              </w:rPr>
              <w:br w:type="textWrapping"/>
            </w:r>
            <w:r>
              <w:rPr>
                <w:rFonts w:eastAsia="仿宋_GB2312"/>
                <w:kern w:val="0"/>
                <w:szCs w:val="21"/>
              </w:rPr>
              <w:t>②是否通过清晰、可衡量的指标值予以体现；</w:t>
            </w:r>
            <w:r>
              <w:rPr>
                <w:rFonts w:eastAsia="仿宋_GB2312"/>
                <w:kern w:val="0"/>
                <w:szCs w:val="21"/>
              </w:rPr>
              <w:br w:type="textWrapping"/>
            </w:r>
            <w:r>
              <w:rPr>
                <w:rFonts w:eastAsia="仿宋_GB2312"/>
                <w:kern w:val="0"/>
                <w:szCs w:val="21"/>
              </w:rPr>
              <w:t>③是否与项目目标任务数或计划数相对应。</w:t>
            </w:r>
            <w:r>
              <w:rPr>
                <w:rFonts w:eastAsia="仿宋_GB2312"/>
                <w:kern w:val="0"/>
                <w:szCs w:val="21"/>
              </w:rPr>
              <w:br w:type="textWrapping"/>
            </w:r>
          </w:p>
        </w:tc>
        <w:tc>
          <w:tcPr>
            <w:tcW w:w="805" w:type="dxa"/>
            <w:shd w:val="clear" w:color="auto" w:fill="auto"/>
            <w:vAlign w:val="center"/>
          </w:tcPr>
          <w:p w14:paraId="381BD92C">
            <w:pPr>
              <w:widowControl/>
              <w:spacing w:line="0" w:lineRule="atLeast"/>
              <w:jc w:val="center"/>
              <w:rPr>
                <w:rFonts w:eastAsia="仿宋_GB2312"/>
                <w:b/>
                <w:bCs/>
                <w:kern w:val="0"/>
                <w:szCs w:val="21"/>
              </w:rPr>
            </w:pPr>
            <w:r>
              <w:rPr>
                <w:rFonts w:eastAsia="仿宋_GB2312"/>
                <w:b/>
                <w:bCs/>
                <w:kern w:val="0"/>
                <w:szCs w:val="21"/>
              </w:rPr>
              <w:t>3</w:t>
            </w:r>
          </w:p>
        </w:tc>
        <w:tc>
          <w:tcPr>
            <w:tcW w:w="750" w:type="dxa"/>
            <w:shd w:val="clear" w:color="auto" w:fill="auto"/>
            <w:vAlign w:val="center"/>
          </w:tcPr>
          <w:p w14:paraId="43F8E007">
            <w:pPr>
              <w:widowControl/>
              <w:spacing w:line="0" w:lineRule="atLeast"/>
              <w:jc w:val="center"/>
              <w:rPr>
                <w:rFonts w:eastAsia="仿宋_GB2312"/>
                <w:b/>
                <w:bCs/>
                <w:kern w:val="0"/>
                <w:szCs w:val="21"/>
              </w:rPr>
            </w:pPr>
            <w:r>
              <w:rPr>
                <w:rFonts w:eastAsia="仿宋_GB2312"/>
                <w:b/>
                <w:bCs/>
                <w:kern w:val="0"/>
                <w:szCs w:val="21"/>
              </w:rPr>
              <w:t>3</w:t>
            </w:r>
          </w:p>
        </w:tc>
      </w:tr>
      <w:tr w14:paraId="40A8DE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1099" w:type="dxa"/>
            <w:vMerge w:val="continue"/>
            <w:shd w:val="clear" w:color="auto" w:fill="auto"/>
            <w:vAlign w:val="center"/>
          </w:tcPr>
          <w:p w14:paraId="131BF338">
            <w:pPr>
              <w:spacing w:line="0" w:lineRule="atLeast"/>
              <w:jc w:val="center"/>
              <w:rPr>
                <w:rFonts w:eastAsia="仿宋_GB2312"/>
                <w:kern w:val="0"/>
                <w:szCs w:val="21"/>
              </w:rPr>
            </w:pPr>
          </w:p>
        </w:tc>
        <w:tc>
          <w:tcPr>
            <w:tcW w:w="1187" w:type="dxa"/>
            <w:vMerge w:val="restart"/>
            <w:shd w:val="clear" w:color="auto" w:fill="auto"/>
            <w:vAlign w:val="center"/>
          </w:tcPr>
          <w:p w14:paraId="2283E09F">
            <w:pPr>
              <w:widowControl/>
              <w:spacing w:line="0" w:lineRule="atLeast"/>
              <w:jc w:val="center"/>
              <w:rPr>
                <w:rFonts w:eastAsia="仿宋_GB2312"/>
                <w:kern w:val="0"/>
                <w:szCs w:val="21"/>
              </w:rPr>
            </w:pPr>
            <w:r>
              <w:rPr>
                <w:rFonts w:eastAsia="仿宋_GB2312"/>
                <w:kern w:val="0"/>
                <w:szCs w:val="21"/>
              </w:rPr>
              <w:t>资金投入</w:t>
            </w:r>
          </w:p>
          <w:p w14:paraId="74643A98">
            <w:pPr>
              <w:spacing w:line="0" w:lineRule="atLeast"/>
              <w:jc w:val="center"/>
              <w:rPr>
                <w:rFonts w:eastAsia="仿宋_GB2312"/>
                <w:kern w:val="0"/>
                <w:szCs w:val="21"/>
              </w:rPr>
            </w:pPr>
            <w:r>
              <w:rPr>
                <w:rFonts w:eastAsia="仿宋_GB2312"/>
                <w:kern w:val="0"/>
                <w:szCs w:val="21"/>
              </w:rPr>
              <w:t>　</w:t>
            </w:r>
          </w:p>
        </w:tc>
        <w:tc>
          <w:tcPr>
            <w:tcW w:w="1063" w:type="dxa"/>
            <w:shd w:val="clear" w:color="auto" w:fill="auto"/>
            <w:vAlign w:val="center"/>
          </w:tcPr>
          <w:p w14:paraId="1BB90CD3">
            <w:pPr>
              <w:widowControl/>
              <w:spacing w:line="0" w:lineRule="atLeast"/>
              <w:jc w:val="center"/>
              <w:rPr>
                <w:rFonts w:eastAsia="仿宋_GB2312"/>
                <w:kern w:val="0"/>
                <w:szCs w:val="21"/>
              </w:rPr>
            </w:pPr>
            <w:r>
              <w:rPr>
                <w:rFonts w:eastAsia="仿宋_GB2312"/>
                <w:kern w:val="0"/>
                <w:szCs w:val="21"/>
              </w:rPr>
              <w:t>预算编制</w:t>
            </w:r>
          </w:p>
          <w:p w14:paraId="0514AD47">
            <w:pPr>
              <w:widowControl/>
              <w:spacing w:line="0" w:lineRule="atLeast"/>
              <w:jc w:val="center"/>
              <w:rPr>
                <w:rFonts w:eastAsia="仿宋_GB2312"/>
                <w:kern w:val="0"/>
                <w:szCs w:val="21"/>
              </w:rPr>
            </w:pPr>
            <w:r>
              <w:rPr>
                <w:rFonts w:eastAsia="仿宋_GB2312"/>
                <w:kern w:val="0"/>
                <w:szCs w:val="21"/>
              </w:rPr>
              <w:t>科学性</w:t>
            </w:r>
          </w:p>
        </w:tc>
        <w:tc>
          <w:tcPr>
            <w:tcW w:w="2782" w:type="dxa"/>
            <w:shd w:val="clear" w:color="auto" w:fill="auto"/>
            <w:vAlign w:val="center"/>
          </w:tcPr>
          <w:p w14:paraId="0DF43AA7">
            <w:pPr>
              <w:widowControl/>
              <w:spacing w:line="0" w:lineRule="atLeast"/>
              <w:rPr>
                <w:rFonts w:eastAsia="仿宋_GB2312"/>
                <w:kern w:val="0"/>
                <w:szCs w:val="21"/>
              </w:rPr>
            </w:pPr>
            <w:r>
              <w:rPr>
                <w:rFonts w:eastAsia="仿宋_GB2312"/>
                <w:kern w:val="0"/>
                <w:szCs w:val="21"/>
              </w:rPr>
              <w:t>项目预算编制是否经过科学论证、有明确标准，资金额度与年度目标是否相适应，用以反映和考核项目预算编制的科学性、合理性情况。</w:t>
            </w:r>
          </w:p>
        </w:tc>
        <w:tc>
          <w:tcPr>
            <w:tcW w:w="6395" w:type="dxa"/>
            <w:shd w:val="clear" w:color="auto" w:fill="auto"/>
            <w:vAlign w:val="center"/>
          </w:tcPr>
          <w:p w14:paraId="6BA9BB03">
            <w:pPr>
              <w:widowControl/>
              <w:spacing w:line="0" w:lineRule="atLeast"/>
              <w:rPr>
                <w:rFonts w:eastAsia="仿宋_GB2312"/>
                <w:kern w:val="0"/>
                <w:szCs w:val="21"/>
              </w:rPr>
            </w:pPr>
            <w:r>
              <w:rPr>
                <w:rFonts w:eastAsia="仿宋_GB2312"/>
                <w:kern w:val="0"/>
                <w:szCs w:val="21"/>
              </w:rPr>
              <w:t>评价要点：</w:t>
            </w:r>
            <w:r>
              <w:rPr>
                <w:rFonts w:eastAsia="仿宋_GB2312"/>
                <w:kern w:val="0"/>
                <w:szCs w:val="21"/>
              </w:rPr>
              <w:br w:type="textWrapping"/>
            </w:r>
            <w:r>
              <w:rPr>
                <w:rFonts w:eastAsia="仿宋_GB2312"/>
                <w:kern w:val="0"/>
                <w:szCs w:val="21"/>
              </w:rPr>
              <w:t>①预算编制是否经过科学论证；</w:t>
            </w:r>
            <w:r>
              <w:rPr>
                <w:rFonts w:eastAsia="仿宋_GB2312"/>
                <w:kern w:val="0"/>
                <w:szCs w:val="21"/>
              </w:rPr>
              <w:br w:type="textWrapping"/>
            </w:r>
            <w:r>
              <w:rPr>
                <w:rFonts w:eastAsia="仿宋_GB2312"/>
                <w:kern w:val="0"/>
                <w:szCs w:val="21"/>
              </w:rPr>
              <w:t>②预算内容与项目内容是否匹配；</w:t>
            </w:r>
            <w:r>
              <w:rPr>
                <w:rFonts w:eastAsia="仿宋_GB2312"/>
                <w:kern w:val="0"/>
                <w:szCs w:val="21"/>
              </w:rPr>
              <w:br w:type="textWrapping"/>
            </w:r>
            <w:r>
              <w:rPr>
                <w:rFonts w:eastAsia="仿宋_GB2312"/>
                <w:kern w:val="0"/>
                <w:szCs w:val="21"/>
              </w:rPr>
              <w:t>③预算额度测算依据是否充分，是否按照标准编制；</w:t>
            </w:r>
            <w:r>
              <w:rPr>
                <w:rFonts w:eastAsia="仿宋_GB2312"/>
                <w:kern w:val="0"/>
                <w:szCs w:val="21"/>
              </w:rPr>
              <w:br w:type="textWrapping"/>
            </w:r>
            <w:r>
              <w:rPr>
                <w:rFonts w:eastAsia="仿宋_GB2312"/>
                <w:kern w:val="0"/>
                <w:szCs w:val="21"/>
              </w:rPr>
              <w:t>④预算确定的项目投资额或资金量是否与工作任务相匹配。</w:t>
            </w:r>
          </w:p>
        </w:tc>
        <w:tc>
          <w:tcPr>
            <w:tcW w:w="805" w:type="dxa"/>
            <w:shd w:val="clear" w:color="auto" w:fill="auto"/>
            <w:vAlign w:val="center"/>
          </w:tcPr>
          <w:p w14:paraId="6AE3E271">
            <w:pPr>
              <w:widowControl/>
              <w:spacing w:line="0" w:lineRule="atLeast"/>
              <w:jc w:val="center"/>
              <w:rPr>
                <w:rFonts w:eastAsia="仿宋_GB2312"/>
                <w:b/>
                <w:bCs/>
                <w:kern w:val="0"/>
                <w:szCs w:val="21"/>
              </w:rPr>
            </w:pPr>
            <w:r>
              <w:rPr>
                <w:rFonts w:eastAsia="仿宋_GB2312"/>
                <w:b/>
                <w:bCs/>
                <w:kern w:val="0"/>
                <w:szCs w:val="21"/>
              </w:rPr>
              <w:t>4</w:t>
            </w:r>
          </w:p>
        </w:tc>
        <w:tc>
          <w:tcPr>
            <w:tcW w:w="750" w:type="dxa"/>
            <w:shd w:val="clear" w:color="auto" w:fill="auto"/>
            <w:vAlign w:val="center"/>
          </w:tcPr>
          <w:p w14:paraId="1858EC08">
            <w:pPr>
              <w:widowControl/>
              <w:spacing w:line="0" w:lineRule="atLeast"/>
              <w:jc w:val="center"/>
              <w:rPr>
                <w:rFonts w:eastAsia="仿宋_GB2312"/>
                <w:b/>
                <w:bCs/>
                <w:kern w:val="0"/>
                <w:szCs w:val="21"/>
              </w:rPr>
            </w:pPr>
            <w:r>
              <w:rPr>
                <w:rFonts w:eastAsia="仿宋_GB2312"/>
                <w:b/>
                <w:bCs/>
                <w:kern w:val="0"/>
                <w:szCs w:val="21"/>
              </w:rPr>
              <w:t>4</w:t>
            </w:r>
          </w:p>
        </w:tc>
      </w:tr>
      <w:tr w14:paraId="44F0FB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1099" w:type="dxa"/>
            <w:vMerge w:val="continue"/>
            <w:shd w:val="clear" w:color="auto" w:fill="auto"/>
            <w:vAlign w:val="center"/>
          </w:tcPr>
          <w:p w14:paraId="1C3331EA">
            <w:pPr>
              <w:widowControl/>
              <w:spacing w:line="0" w:lineRule="atLeast"/>
              <w:jc w:val="center"/>
              <w:rPr>
                <w:rFonts w:eastAsia="仿宋_GB2312"/>
                <w:kern w:val="0"/>
                <w:szCs w:val="21"/>
              </w:rPr>
            </w:pPr>
          </w:p>
        </w:tc>
        <w:tc>
          <w:tcPr>
            <w:tcW w:w="1187" w:type="dxa"/>
            <w:vMerge w:val="continue"/>
            <w:shd w:val="clear" w:color="auto" w:fill="auto"/>
            <w:vAlign w:val="center"/>
          </w:tcPr>
          <w:p w14:paraId="1E2ACC4B">
            <w:pPr>
              <w:widowControl/>
              <w:spacing w:line="0" w:lineRule="atLeast"/>
              <w:jc w:val="center"/>
              <w:rPr>
                <w:rFonts w:eastAsia="仿宋_GB2312"/>
                <w:kern w:val="0"/>
                <w:szCs w:val="21"/>
              </w:rPr>
            </w:pPr>
          </w:p>
        </w:tc>
        <w:tc>
          <w:tcPr>
            <w:tcW w:w="1063" w:type="dxa"/>
            <w:shd w:val="clear" w:color="auto" w:fill="auto"/>
            <w:vAlign w:val="center"/>
          </w:tcPr>
          <w:p w14:paraId="08EF8C6F">
            <w:pPr>
              <w:widowControl/>
              <w:spacing w:line="0" w:lineRule="atLeast"/>
              <w:jc w:val="center"/>
              <w:rPr>
                <w:rFonts w:eastAsia="仿宋_GB2312"/>
                <w:kern w:val="0"/>
                <w:szCs w:val="21"/>
              </w:rPr>
            </w:pPr>
            <w:r>
              <w:rPr>
                <w:rFonts w:eastAsia="仿宋_GB2312"/>
                <w:kern w:val="0"/>
                <w:szCs w:val="21"/>
              </w:rPr>
              <w:t>资金分配</w:t>
            </w:r>
          </w:p>
          <w:p w14:paraId="2E1ACEDD">
            <w:pPr>
              <w:widowControl/>
              <w:spacing w:line="0" w:lineRule="atLeast"/>
              <w:jc w:val="center"/>
              <w:rPr>
                <w:rFonts w:eastAsia="仿宋_GB2312"/>
                <w:kern w:val="0"/>
                <w:szCs w:val="21"/>
              </w:rPr>
            </w:pPr>
            <w:r>
              <w:rPr>
                <w:rFonts w:eastAsia="仿宋_GB2312"/>
                <w:kern w:val="0"/>
                <w:szCs w:val="21"/>
              </w:rPr>
              <w:t>合理性</w:t>
            </w:r>
          </w:p>
        </w:tc>
        <w:tc>
          <w:tcPr>
            <w:tcW w:w="2782" w:type="dxa"/>
            <w:shd w:val="clear" w:color="auto" w:fill="auto"/>
            <w:vAlign w:val="center"/>
          </w:tcPr>
          <w:p w14:paraId="1650E248">
            <w:pPr>
              <w:widowControl/>
              <w:spacing w:line="0" w:lineRule="atLeast"/>
              <w:rPr>
                <w:rFonts w:eastAsia="仿宋_GB2312"/>
                <w:kern w:val="0"/>
                <w:szCs w:val="21"/>
              </w:rPr>
            </w:pPr>
            <w:r>
              <w:rPr>
                <w:rFonts w:eastAsia="仿宋_GB2312"/>
                <w:kern w:val="0"/>
                <w:szCs w:val="21"/>
              </w:rPr>
              <w:t>项目预算资金分配是否有测算依据，与补助单位或地方实际是否相适应，用以反映和考核项目预算资金分配的科学性、合理性情况。</w:t>
            </w:r>
          </w:p>
        </w:tc>
        <w:tc>
          <w:tcPr>
            <w:tcW w:w="6395" w:type="dxa"/>
            <w:shd w:val="clear" w:color="auto" w:fill="auto"/>
            <w:vAlign w:val="center"/>
          </w:tcPr>
          <w:p w14:paraId="41FA0145">
            <w:pPr>
              <w:widowControl/>
              <w:spacing w:line="0" w:lineRule="atLeast"/>
              <w:rPr>
                <w:rFonts w:eastAsia="仿宋_GB2312"/>
                <w:kern w:val="0"/>
                <w:szCs w:val="21"/>
              </w:rPr>
            </w:pPr>
            <w:r>
              <w:rPr>
                <w:rFonts w:eastAsia="仿宋_GB2312"/>
                <w:kern w:val="0"/>
                <w:szCs w:val="21"/>
              </w:rPr>
              <w:t>评价要点：</w:t>
            </w:r>
            <w:r>
              <w:rPr>
                <w:rFonts w:eastAsia="仿宋_GB2312"/>
                <w:kern w:val="0"/>
                <w:szCs w:val="21"/>
              </w:rPr>
              <w:br w:type="textWrapping"/>
            </w:r>
            <w:r>
              <w:rPr>
                <w:rFonts w:eastAsia="仿宋_GB2312"/>
                <w:kern w:val="0"/>
                <w:szCs w:val="21"/>
              </w:rPr>
              <w:t>①预算资金分配依据是否充分；</w:t>
            </w:r>
            <w:r>
              <w:rPr>
                <w:rFonts w:eastAsia="仿宋_GB2312"/>
                <w:kern w:val="0"/>
                <w:szCs w:val="21"/>
              </w:rPr>
              <w:br w:type="textWrapping"/>
            </w:r>
            <w:r>
              <w:rPr>
                <w:rFonts w:eastAsia="仿宋_GB2312"/>
                <w:kern w:val="0"/>
                <w:szCs w:val="21"/>
              </w:rPr>
              <w:t>②资金分配额度是否合理，与项目单位或地方实际是否相适应。</w:t>
            </w:r>
          </w:p>
        </w:tc>
        <w:tc>
          <w:tcPr>
            <w:tcW w:w="805" w:type="dxa"/>
            <w:shd w:val="clear" w:color="auto" w:fill="auto"/>
            <w:vAlign w:val="center"/>
          </w:tcPr>
          <w:p w14:paraId="32326314">
            <w:pPr>
              <w:widowControl/>
              <w:spacing w:line="0" w:lineRule="atLeast"/>
              <w:jc w:val="center"/>
              <w:rPr>
                <w:rFonts w:eastAsia="仿宋_GB2312"/>
                <w:b/>
                <w:bCs/>
                <w:kern w:val="0"/>
                <w:szCs w:val="21"/>
              </w:rPr>
            </w:pPr>
            <w:r>
              <w:rPr>
                <w:rFonts w:eastAsia="仿宋_GB2312"/>
                <w:b/>
                <w:bCs/>
                <w:kern w:val="0"/>
                <w:szCs w:val="21"/>
              </w:rPr>
              <w:t>4</w:t>
            </w:r>
          </w:p>
        </w:tc>
        <w:tc>
          <w:tcPr>
            <w:tcW w:w="750" w:type="dxa"/>
            <w:shd w:val="clear" w:color="auto" w:fill="auto"/>
            <w:vAlign w:val="center"/>
          </w:tcPr>
          <w:p w14:paraId="255F74DD">
            <w:pPr>
              <w:widowControl/>
              <w:spacing w:line="0" w:lineRule="atLeast"/>
              <w:jc w:val="center"/>
              <w:rPr>
                <w:rFonts w:eastAsia="仿宋_GB2312"/>
                <w:b/>
                <w:bCs/>
                <w:kern w:val="0"/>
                <w:szCs w:val="21"/>
              </w:rPr>
            </w:pPr>
            <w:r>
              <w:rPr>
                <w:rFonts w:eastAsia="仿宋_GB2312"/>
                <w:b/>
                <w:bCs/>
                <w:kern w:val="0"/>
                <w:szCs w:val="21"/>
              </w:rPr>
              <w:t>4</w:t>
            </w:r>
          </w:p>
        </w:tc>
      </w:tr>
      <w:tr w14:paraId="21C28E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1099" w:type="dxa"/>
            <w:vMerge w:val="restart"/>
            <w:shd w:val="clear" w:color="auto" w:fill="auto"/>
            <w:vAlign w:val="center"/>
          </w:tcPr>
          <w:p w14:paraId="726A31C7">
            <w:pPr>
              <w:spacing w:line="0" w:lineRule="atLeast"/>
              <w:jc w:val="center"/>
              <w:rPr>
                <w:rFonts w:eastAsia="仿宋_GB2312"/>
                <w:kern w:val="0"/>
                <w:szCs w:val="21"/>
              </w:rPr>
            </w:pPr>
          </w:p>
          <w:p w14:paraId="7CA0B6C3">
            <w:pPr>
              <w:spacing w:line="0" w:lineRule="atLeast"/>
              <w:jc w:val="center"/>
              <w:rPr>
                <w:rFonts w:eastAsia="仿宋_GB2312"/>
                <w:kern w:val="0"/>
                <w:szCs w:val="21"/>
              </w:rPr>
            </w:pPr>
          </w:p>
          <w:p w14:paraId="496E6C55">
            <w:pPr>
              <w:spacing w:line="0" w:lineRule="atLeast"/>
              <w:jc w:val="center"/>
              <w:rPr>
                <w:rFonts w:eastAsia="仿宋_GB2312"/>
                <w:kern w:val="0"/>
                <w:szCs w:val="21"/>
              </w:rPr>
            </w:pPr>
          </w:p>
          <w:p w14:paraId="33C75F23">
            <w:pPr>
              <w:spacing w:line="0" w:lineRule="atLeast"/>
              <w:jc w:val="center"/>
              <w:rPr>
                <w:rFonts w:eastAsia="仿宋_GB2312"/>
                <w:kern w:val="0"/>
                <w:szCs w:val="21"/>
              </w:rPr>
            </w:pPr>
          </w:p>
          <w:p w14:paraId="311DB296">
            <w:pPr>
              <w:spacing w:line="0" w:lineRule="atLeast"/>
              <w:jc w:val="center"/>
              <w:rPr>
                <w:rFonts w:eastAsia="仿宋_GB2312"/>
                <w:kern w:val="0"/>
                <w:szCs w:val="21"/>
              </w:rPr>
            </w:pPr>
          </w:p>
          <w:p w14:paraId="7B9D9A93">
            <w:pPr>
              <w:spacing w:line="0" w:lineRule="atLeast"/>
              <w:jc w:val="center"/>
              <w:rPr>
                <w:rFonts w:eastAsia="仿宋_GB2312"/>
                <w:kern w:val="0"/>
                <w:szCs w:val="21"/>
              </w:rPr>
            </w:pPr>
          </w:p>
          <w:p w14:paraId="5B3E11E8">
            <w:pPr>
              <w:spacing w:line="0" w:lineRule="atLeast"/>
              <w:jc w:val="center"/>
              <w:rPr>
                <w:rFonts w:eastAsia="仿宋_GB2312"/>
                <w:kern w:val="0"/>
                <w:szCs w:val="21"/>
              </w:rPr>
            </w:pPr>
          </w:p>
          <w:p w14:paraId="2CAB8652">
            <w:pPr>
              <w:spacing w:line="0" w:lineRule="atLeast"/>
              <w:jc w:val="center"/>
              <w:rPr>
                <w:rFonts w:eastAsia="仿宋_GB2312"/>
                <w:kern w:val="0"/>
                <w:szCs w:val="21"/>
              </w:rPr>
            </w:pPr>
          </w:p>
          <w:p w14:paraId="2F4C18C4">
            <w:pPr>
              <w:spacing w:line="0" w:lineRule="atLeast"/>
              <w:jc w:val="center"/>
              <w:rPr>
                <w:rFonts w:eastAsia="仿宋_GB2312"/>
                <w:kern w:val="0"/>
                <w:szCs w:val="21"/>
              </w:rPr>
            </w:pPr>
          </w:p>
          <w:p w14:paraId="3FBD4A71">
            <w:pPr>
              <w:spacing w:line="0" w:lineRule="atLeast"/>
              <w:jc w:val="center"/>
              <w:rPr>
                <w:rFonts w:eastAsia="仿宋_GB2312"/>
                <w:kern w:val="0"/>
                <w:szCs w:val="21"/>
              </w:rPr>
            </w:pPr>
          </w:p>
          <w:p w14:paraId="5017AA63">
            <w:pPr>
              <w:spacing w:line="0" w:lineRule="atLeast"/>
              <w:jc w:val="center"/>
              <w:rPr>
                <w:rFonts w:eastAsia="仿宋_GB2312"/>
                <w:kern w:val="0"/>
                <w:szCs w:val="21"/>
              </w:rPr>
            </w:pPr>
          </w:p>
          <w:p w14:paraId="7B3D54FA">
            <w:pPr>
              <w:spacing w:line="0" w:lineRule="atLeast"/>
              <w:jc w:val="center"/>
              <w:rPr>
                <w:rFonts w:eastAsia="仿宋_GB2312"/>
                <w:kern w:val="0"/>
                <w:szCs w:val="21"/>
              </w:rPr>
            </w:pPr>
          </w:p>
          <w:p w14:paraId="132B4E9C">
            <w:pPr>
              <w:spacing w:line="0" w:lineRule="atLeast"/>
              <w:jc w:val="center"/>
              <w:rPr>
                <w:rFonts w:eastAsia="仿宋_GB2312"/>
                <w:kern w:val="0"/>
                <w:szCs w:val="21"/>
              </w:rPr>
            </w:pPr>
          </w:p>
          <w:p w14:paraId="5DCE77E1">
            <w:pPr>
              <w:spacing w:line="0" w:lineRule="atLeast"/>
              <w:jc w:val="center"/>
              <w:rPr>
                <w:rFonts w:eastAsia="仿宋_GB2312"/>
                <w:kern w:val="0"/>
                <w:szCs w:val="21"/>
              </w:rPr>
            </w:pPr>
          </w:p>
          <w:p w14:paraId="4061AF9B">
            <w:pPr>
              <w:spacing w:line="0" w:lineRule="atLeast"/>
              <w:jc w:val="center"/>
              <w:rPr>
                <w:rFonts w:eastAsia="仿宋_GB2312"/>
                <w:kern w:val="0"/>
                <w:szCs w:val="21"/>
              </w:rPr>
            </w:pPr>
          </w:p>
          <w:p w14:paraId="7574C209">
            <w:pPr>
              <w:spacing w:line="0" w:lineRule="atLeast"/>
              <w:jc w:val="center"/>
              <w:rPr>
                <w:rFonts w:eastAsia="仿宋_GB2312"/>
                <w:kern w:val="0"/>
                <w:szCs w:val="21"/>
              </w:rPr>
            </w:pPr>
            <w:r>
              <w:rPr>
                <w:rFonts w:eastAsia="仿宋_GB2312"/>
                <w:kern w:val="0"/>
                <w:szCs w:val="21"/>
              </w:rPr>
              <w:t>过程</w:t>
            </w:r>
          </w:p>
          <w:p w14:paraId="47E22C0A">
            <w:pPr>
              <w:widowControl/>
              <w:spacing w:line="0" w:lineRule="atLeast"/>
              <w:jc w:val="center"/>
              <w:rPr>
                <w:rFonts w:eastAsia="仿宋_GB2312"/>
                <w:kern w:val="0"/>
                <w:szCs w:val="21"/>
              </w:rPr>
            </w:pPr>
            <w:r>
              <w:rPr>
                <w:rFonts w:eastAsia="仿宋_GB2312"/>
                <w:kern w:val="0"/>
                <w:szCs w:val="21"/>
              </w:rPr>
              <w:t>　　</w:t>
            </w:r>
          </w:p>
        </w:tc>
        <w:tc>
          <w:tcPr>
            <w:tcW w:w="1187" w:type="dxa"/>
            <w:vMerge w:val="restart"/>
            <w:shd w:val="clear" w:color="auto" w:fill="auto"/>
            <w:vAlign w:val="center"/>
          </w:tcPr>
          <w:p w14:paraId="4085FEF9">
            <w:pPr>
              <w:widowControl/>
              <w:spacing w:line="0" w:lineRule="atLeast"/>
              <w:jc w:val="center"/>
              <w:rPr>
                <w:rFonts w:eastAsia="仿宋_GB2312"/>
                <w:kern w:val="0"/>
                <w:szCs w:val="21"/>
              </w:rPr>
            </w:pPr>
            <w:r>
              <w:rPr>
                <w:rFonts w:eastAsia="仿宋_GB2312"/>
                <w:kern w:val="0"/>
                <w:szCs w:val="21"/>
              </w:rPr>
              <w:t>资金管理</w:t>
            </w:r>
          </w:p>
        </w:tc>
        <w:tc>
          <w:tcPr>
            <w:tcW w:w="1063" w:type="dxa"/>
            <w:shd w:val="clear" w:color="auto" w:fill="auto"/>
            <w:vAlign w:val="center"/>
          </w:tcPr>
          <w:p w14:paraId="19D4C0CD">
            <w:pPr>
              <w:widowControl/>
              <w:spacing w:line="0" w:lineRule="atLeast"/>
              <w:jc w:val="center"/>
              <w:rPr>
                <w:rFonts w:eastAsia="仿宋_GB2312"/>
                <w:kern w:val="0"/>
                <w:szCs w:val="21"/>
              </w:rPr>
            </w:pPr>
            <w:r>
              <w:rPr>
                <w:rFonts w:eastAsia="仿宋_GB2312"/>
                <w:kern w:val="0"/>
                <w:szCs w:val="21"/>
              </w:rPr>
              <w:t>资金到位率</w:t>
            </w:r>
          </w:p>
        </w:tc>
        <w:tc>
          <w:tcPr>
            <w:tcW w:w="2782" w:type="dxa"/>
            <w:shd w:val="clear" w:color="auto" w:fill="auto"/>
            <w:vAlign w:val="center"/>
          </w:tcPr>
          <w:p w14:paraId="6A6BE028">
            <w:pPr>
              <w:widowControl/>
              <w:spacing w:line="0" w:lineRule="atLeast"/>
              <w:rPr>
                <w:rFonts w:eastAsia="仿宋_GB2312"/>
                <w:kern w:val="0"/>
                <w:szCs w:val="21"/>
              </w:rPr>
            </w:pPr>
            <w:r>
              <w:rPr>
                <w:rFonts w:eastAsia="仿宋_GB2312"/>
                <w:kern w:val="0"/>
                <w:szCs w:val="21"/>
              </w:rPr>
              <w:t>实际到位资金与预算资金的比率，用以反映和考核资金落实情况对项目实施的总体保障程度。</w:t>
            </w:r>
          </w:p>
        </w:tc>
        <w:tc>
          <w:tcPr>
            <w:tcW w:w="6395" w:type="dxa"/>
            <w:shd w:val="clear" w:color="auto" w:fill="auto"/>
            <w:vAlign w:val="center"/>
          </w:tcPr>
          <w:p w14:paraId="60671F4E">
            <w:pPr>
              <w:widowControl/>
              <w:spacing w:line="0" w:lineRule="atLeast"/>
              <w:rPr>
                <w:rFonts w:eastAsia="仿宋_GB2312"/>
                <w:kern w:val="0"/>
                <w:szCs w:val="21"/>
              </w:rPr>
            </w:pPr>
            <w:r>
              <w:rPr>
                <w:rFonts w:eastAsia="仿宋_GB2312"/>
                <w:kern w:val="0"/>
                <w:szCs w:val="21"/>
              </w:rPr>
              <w:t>资金到位率=（实际到位资金/预算资金）×100%。</w:t>
            </w:r>
          </w:p>
          <w:p w14:paraId="3324F008">
            <w:pPr>
              <w:widowControl/>
              <w:spacing w:line="0" w:lineRule="atLeast"/>
              <w:rPr>
                <w:rFonts w:eastAsia="仿宋_GB2312"/>
                <w:kern w:val="0"/>
                <w:szCs w:val="21"/>
              </w:rPr>
            </w:pPr>
            <w:r>
              <w:rPr>
                <w:rFonts w:eastAsia="仿宋_GB2312"/>
                <w:kern w:val="0"/>
                <w:szCs w:val="21"/>
              </w:rPr>
              <w:t>实际到位资金：一定时期（本年度或项目期）内落实到具体项目的资金。</w:t>
            </w:r>
          </w:p>
          <w:p w14:paraId="4EBC4E65">
            <w:pPr>
              <w:widowControl/>
              <w:spacing w:line="0" w:lineRule="atLeast"/>
              <w:rPr>
                <w:rFonts w:eastAsia="仿宋_GB2312"/>
                <w:kern w:val="0"/>
                <w:szCs w:val="21"/>
              </w:rPr>
            </w:pPr>
            <w:r>
              <w:rPr>
                <w:rFonts w:eastAsia="仿宋_GB2312"/>
                <w:kern w:val="0"/>
                <w:szCs w:val="21"/>
              </w:rPr>
              <w:t>预算资金：一定时期（本年度或项目期）内预算安排到具体项目的资金。</w:t>
            </w:r>
          </w:p>
        </w:tc>
        <w:tc>
          <w:tcPr>
            <w:tcW w:w="805" w:type="dxa"/>
            <w:shd w:val="clear" w:color="auto" w:fill="auto"/>
            <w:vAlign w:val="center"/>
          </w:tcPr>
          <w:p w14:paraId="5A83AA99">
            <w:pPr>
              <w:widowControl/>
              <w:spacing w:line="0" w:lineRule="atLeast"/>
              <w:jc w:val="center"/>
              <w:rPr>
                <w:rFonts w:eastAsia="仿宋_GB2312"/>
                <w:b/>
                <w:bCs/>
                <w:kern w:val="0"/>
                <w:szCs w:val="21"/>
              </w:rPr>
            </w:pPr>
            <w:r>
              <w:rPr>
                <w:rFonts w:eastAsia="仿宋_GB2312"/>
                <w:b/>
                <w:bCs/>
                <w:kern w:val="0"/>
                <w:szCs w:val="21"/>
              </w:rPr>
              <w:t>4</w:t>
            </w:r>
          </w:p>
        </w:tc>
        <w:tc>
          <w:tcPr>
            <w:tcW w:w="750" w:type="dxa"/>
            <w:shd w:val="clear" w:color="auto" w:fill="auto"/>
            <w:vAlign w:val="center"/>
          </w:tcPr>
          <w:p w14:paraId="3ED90227">
            <w:pPr>
              <w:widowControl/>
              <w:spacing w:line="0" w:lineRule="atLeast"/>
              <w:jc w:val="center"/>
              <w:rPr>
                <w:rFonts w:eastAsia="仿宋_GB2312"/>
                <w:b/>
                <w:bCs/>
                <w:kern w:val="0"/>
                <w:szCs w:val="21"/>
              </w:rPr>
            </w:pPr>
            <w:r>
              <w:rPr>
                <w:rFonts w:eastAsia="仿宋_GB2312"/>
                <w:b/>
                <w:bCs/>
                <w:kern w:val="0"/>
                <w:szCs w:val="21"/>
              </w:rPr>
              <w:t>4</w:t>
            </w:r>
          </w:p>
        </w:tc>
      </w:tr>
      <w:tr w14:paraId="5B246E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1099" w:type="dxa"/>
            <w:vMerge w:val="continue"/>
            <w:shd w:val="clear" w:color="auto" w:fill="auto"/>
            <w:vAlign w:val="center"/>
          </w:tcPr>
          <w:p w14:paraId="12A77038">
            <w:pPr>
              <w:spacing w:line="0" w:lineRule="atLeast"/>
              <w:jc w:val="center"/>
              <w:rPr>
                <w:rFonts w:eastAsia="仿宋_GB2312"/>
                <w:kern w:val="0"/>
                <w:szCs w:val="21"/>
              </w:rPr>
            </w:pPr>
          </w:p>
        </w:tc>
        <w:tc>
          <w:tcPr>
            <w:tcW w:w="1187" w:type="dxa"/>
            <w:vMerge w:val="continue"/>
            <w:shd w:val="clear" w:color="auto" w:fill="auto"/>
            <w:vAlign w:val="center"/>
          </w:tcPr>
          <w:p w14:paraId="607D4E64">
            <w:pPr>
              <w:spacing w:line="0" w:lineRule="atLeast"/>
              <w:jc w:val="center"/>
              <w:rPr>
                <w:rFonts w:eastAsia="仿宋_GB2312"/>
                <w:kern w:val="0"/>
                <w:szCs w:val="21"/>
              </w:rPr>
            </w:pPr>
          </w:p>
        </w:tc>
        <w:tc>
          <w:tcPr>
            <w:tcW w:w="1063" w:type="dxa"/>
            <w:shd w:val="clear" w:color="auto" w:fill="auto"/>
            <w:vAlign w:val="center"/>
          </w:tcPr>
          <w:p w14:paraId="66205C52">
            <w:pPr>
              <w:widowControl/>
              <w:spacing w:line="0" w:lineRule="atLeast"/>
              <w:jc w:val="center"/>
              <w:rPr>
                <w:rFonts w:eastAsia="仿宋_GB2312"/>
                <w:kern w:val="0"/>
                <w:szCs w:val="21"/>
              </w:rPr>
            </w:pPr>
            <w:r>
              <w:rPr>
                <w:rFonts w:eastAsia="仿宋_GB2312"/>
                <w:kern w:val="0"/>
                <w:szCs w:val="21"/>
              </w:rPr>
              <w:t>预算执行率</w:t>
            </w:r>
          </w:p>
        </w:tc>
        <w:tc>
          <w:tcPr>
            <w:tcW w:w="2782" w:type="dxa"/>
            <w:shd w:val="clear" w:color="auto" w:fill="auto"/>
            <w:vAlign w:val="center"/>
          </w:tcPr>
          <w:p w14:paraId="542BAD18">
            <w:pPr>
              <w:widowControl/>
              <w:spacing w:line="0" w:lineRule="atLeast"/>
              <w:rPr>
                <w:rFonts w:eastAsia="仿宋_GB2312"/>
                <w:kern w:val="0"/>
                <w:szCs w:val="21"/>
              </w:rPr>
            </w:pPr>
            <w:r>
              <w:rPr>
                <w:rFonts w:eastAsia="仿宋_GB2312"/>
                <w:kern w:val="0"/>
                <w:szCs w:val="21"/>
              </w:rPr>
              <w:t>项目预算资金是否按照计划执行，用以反映或考核项目预算执行情况。</w:t>
            </w:r>
          </w:p>
        </w:tc>
        <w:tc>
          <w:tcPr>
            <w:tcW w:w="6395" w:type="dxa"/>
            <w:shd w:val="clear" w:color="auto" w:fill="auto"/>
            <w:vAlign w:val="center"/>
          </w:tcPr>
          <w:p w14:paraId="2B594077">
            <w:pPr>
              <w:widowControl/>
              <w:spacing w:line="0" w:lineRule="atLeast"/>
              <w:rPr>
                <w:rFonts w:eastAsia="仿宋_GB2312"/>
                <w:kern w:val="0"/>
                <w:szCs w:val="21"/>
              </w:rPr>
            </w:pPr>
            <w:r>
              <w:rPr>
                <w:rFonts w:eastAsia="仿宋_GB2312"/>
                <w:kern w:val="0"/>
                <w:szCs w:val="21"/>
              </w:rPr>
              <w:t>预算执行率=（实际支出资金/实际到位资金）×100%。</w:t>
            </w:r>
            <w:r>
              <w:rPr>
                <w:rFonts w:eastAsia="仿宋_GB2312"/>
                <w:kern w:val="0"/>
                <w:szCs w:val="21"/>
              </w:rPr>
              <w:br w:type="textWrapping"/>
            </w:r>
            <w:r>
              <w:rPr>
                <w:rFonts w:eastAsia="仿宋_GB2312"/>
                <w:kern w:val="0"/>
                <w:szCs w:val="21"/>
              </w:rPr>
              <w:t>实际支出资金：一定时期（本年度或项目期）内项目实际拨付的资金。</w:t>
            </w:r>
          </w:p>
        </w:tc>
        <w:tc>
          <w:tcPr>
            <w:tcW w:w="805" w:type="dxa"/>
            <w:shd w:val="clear" w:color="auto" w:fill="auto"/>
            <w:vAlign w:val="center"/>
          </w:tcPr>
          <w:p w14:paraId="56F77BD7">
            <w:pPr>
              <w:widowControl/>
              <w:spacing w:line="0" w:lineRule="atLeast"/>
              <w:jc w:val="center"/>
              <w:rPr>
                <w:rFonts w:eastAsia="仿宋_GB2312"/>
                <w:b/>
                <w:bCs/>
                <w:kern w:val="0"/>
                <w:szCs w:val="21"/>
              </w:rPr>
            </w:pPr>
            <w:r>
              <w:rPr>
                <w:rFonts w:eastAsia="仿宋_GB2312"/>
                <w:b/>
                <w:bCs/>
                <w:kern w:val="0"/>
                <w:szCs w:val="21"/>
              </w:rPr>
              <w:t>4</w:t>
            </w:r>
          </w:p>
        </w:tc>
        <w:tc>
          <w:tcPr>
            <w:tcW w:w="750" w:type="dxa"/>
            <w:shd w:val="clear" w:color="auto" w:fill="auto"/>
            <w:vAlign w:val="center"/>
          </w:tcPr>
          <w:p w14:paraId="0981F1D6">
            <w:pPr>
              <w:widowControl/>
              <w:spacing w:line="0" w:lineRule="atLeast"/>
              <w:jc w:val="center"/>
              <w:rPr>
                <w:rFonts w:eastAsia="仿宋_GB2312"/>
                <w:b/>
                <w:bCs/>
                <w:kern w:val="0"/>
                <w:szCs w:val="21"/>
              </w:rPr>
            </w:pPr>
            <w:r>
              <w:rPr>
                <w:rFonts w:eastAsia="仿宋_GB2312"/>
                <w:b/>
                <w:bCs/>
                <w:kern w:val="0"/>
                <w:szCs w:val="21"/>
              </w:rPr>
              <w:t>4</w:t>
            </w:r>
          </w:p>
        </w:tc>
      </w:tr>
      <w:tr w14:paraId="66CEDD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1099" w:type="dxa"/>
            <w:vMerge w:val="continue"/>
            <w:shd w:val="clear" w:color="auto" w:fill="auto"/>
            <w:vAlign w:val="center"/>
          </w:tcPr>
          <w:p w14:paraId="6A402ADD">
            <w:pPr>
              <w:spacing w:line="0" w:lineRule="atLeast"/>
              <w:jc w:val="center"/>
              <w:rPr>
                <w:rFonts w:eastAsia="仿宋_GB2312"/>
                <w:kern w:val="0"/>
                <w:szCs w:val="21"/>
              </w:rPr>
            </w:pPr>
          </w:p>
        </w:tc>
        <w:tc>
          <w:tcPr>
            <w:tcW w:w="1187" w:type="dxa"/>
            <w:shd w:val="clear" w:color="auto" w:fill="auto"/>
            <w:vAlign w:val="center"/>
          </w:tcPr>
          <w:p w14:paraId="1F850437">
            <w:pPr>
              <w:widowControl/>
              <w:spacing w:line="0" w:lineRule="atLeast"/>
              <w:jc w:val="center"/>
              <w:rPr>
                <w:rFonts w:eastAsia="仿宋_GB2312"/>
                <w:kern w:val="0"/>
                <w:szCs w:val="21"/>
              </w:rPr>
            </w:pPr>
            <w:r>
              <w:rPr>
                <w:rFonts w:eastAsia="仿宋_GB2312"/>
                <w:kern w:val="0"/>
                <w:szCs w:val="21"/>
              </w:rPr>
              <w:t>资金管理</w:t>
            </w:r>
          </w:p>
        </w:tc>
        <w:tc>
          <w:tcPr>
            <w:tcW w:w="1063" w:type="dxa"/>
            <w:shd w:val="clear" w:color="auto" w:fill="auto"/>
            <w:vAlign w:val="center"/>
          </w:tcPr>
          <w:p w14:paraId="4D3CDCD4">
            <w:pPr>
              <w:widowControl/>
              <w:spacing w:line="0" w:lineRule="atLeast"/>
              <w:jc w:val="center"/>
              <w:rPr>
                <w:rFonts w:eastAsia="仿宋_GB2312"/>
                <w:kern w:val="0"/>
                <w:szCs w:val="21"/>
              </w:rPr>
            </w:pPr>
            <w:r>
              <w:rPr>
                <w:rFonts w:eastAsia="仿宋_GB2312"/>
                <w:kern w:val="0"/>
                <w:szCs w:val="21"/>
              </w:rPr>
              <w:t>资金使用</w:t>
            </w:r>
          </w:p>
          <w:p w14:paraId="64C860A9">
            <w:pPr>
              <w:widowControl/>
              <w:spacing w:line="0" w:lineRule="atLeast"/>
              <w:jc w:val="center"/>
              <w:rPr>
                <w:rFonts w:eastAsia="仿宋_GB2312"/>
                <w:kern w:val="0"/>
                <w:szCs w:val="21"/>
              </w:rPr>
            </w:pPr>
            <w:r>
              <w:rPr>
                <w:rFonts w:eastAsia="仿宋_GB2312"/>
                <w:kern w:val="0"/>
                <w:szCs w:val="21"/>
              </w:rPr>
              <w:t>合规性</w:t>
            </w:r>
          </w:p>
        </w:tc>
        <w:tc>
          <w:tcPr>
            <w:tcW w:w="2782" w:type="dxa"/>
            <w:shd w:val="clear" w:color="auto" w:fill="auto"/>
            <w:vAlign w:val="center"/>
          </w:tcPr>
          <w:p w14:paraId="0112E681">
            <w:pPr>
              <w:widowControl/>
              <w:spacing w:line="0" w:lineRule="atLeast"/>
              <w:rPr>
                <w:rFonts w:eastAsia="仿宋_GB2312"/>
                <w:kern w:val="0"/>
                <w:szCs w:val="21"/>
              </w:rPr>
            </w:pPr>
            <w:r>
              <w:rPr>
                <w:rFonts w:eastAsia="仿宋_GB2312"/>
                <w:kern w:val="0"/>
                <w:szCs w:val="21"/>
              </w:rPr>
              <w:t>项目资金使用是否符合相关的财务管理制度规定，用以反映和考核项目资金的规范运行情况。</w:t>
            </w:r>
          </w:p>
        </w:tc>
        <w:tc>
          <w:tcPr>
            <w:tcW w:w="6395" w:type="dxa"/>
            <w:shd w:val="clear" w:color="auto" w:fill="auto"/>
            <w:vAlign w:val="center"/>
          </w:tcPr>
          <w:p w14:paraId="1F78EE85">
            <w:pPr>
              <w:widowControl/>
              <w:spacing w:line="0" w:lineRule="atLeast"/>
              <w:rPr>
                <w:rFonts w:eastAsia="仿宋_GB2312"/>
                <w:kern w:val="0"/>
                <w:szCs w:val="21"/>
              </w:rPr>
            </w:pPr>
            <w:r>
              <w:rPr>
                <w:rFonts w:eastAsia="仿宋_GB2312"/>
                <w:kern w:val="0"/>
                <w:szCs w:val="21"/>
              </w:rPr>
              <w:t>评价要点：</w:t>
            </w:r>
            <w:r>
              <w:rPr>
                <w:rFonts w:eastAsia="仿宋_GB2312"/>
                <w:kern w:val="0"/>
                <w:szCs w:val="21"/>
              </w:rPr>
              <w:br w:type="textWrapping"/>
            </w:r>
            <w:r>
              <w:rPr>
                <w:rFonts w:eastAsia="仿宋_GB2312"/>
                <w:kern w:val="0"/>
                <w:szCs w:val="21"/>
              </w:rPr>
              <w:t>①是否符合国家财经法规和财务管理制度以及有关专项资金管理办法的规定；</w:t>
            </w:r>
            <w:r>
              <w:rPr>
                <w:rFonts w:eastAsia="仿宋_GB2312"/>
                <w:kern w:val="0"/>
                <w:szCs w:val="21"/>
              </w:rPr>
              <w:br w:type="textWrapping"/>
            </w:r>
            <w:r>
              <w:rPr>
                <w:rFonts w:eastAsia="仿宋_GB2312"/>
                <w:kern w:val="0"/>
                <w:szCs w:val="21"/>
              </w:rPr>
              <w:t>②资金的拨付是否有完整的审批程序和手续；</w:t>
            </w:r>
            <w:r>
              <w:rPr>
                <w:rFonts w:eastAsia="仿宋_GB2312"/>
                <w:kern w:val="0"/>
                <w:szCs w:val="21"/>
              </w:rPr>
              <w:br w:type="textWrapping"/>
            </w:r>
            <w:r>
              <w:rPr>
                <w:rFonts w:eastAsia="仿宋_GB2312"/>
                <w:kern w:val="0"/>
                <w:szCs w:val="21"/>
              </w:rPr>
              <w:t>③是否符合项目预算批复或合同规定的用途；</w:t>
            </w:r>
            <w:r>
              <w:rPr>
                <w:rFonts w:eastAsia="仿宋_GB2312"/>
                <w:kern w:val="0"/>
                <w:szCs w:val="21"/>
              </w:rPr>
              <w:br w:type="textWrapping"/>
            </w:r>
            <w:r>
              <w:rPr>
                <w:rFonts w:eastAsia="仿宋_GB2312"/>
                <w:kern w:val="0"/>
                <w:szCs w:val="21"/>
              </w:rPr>
              <w:t>④是否存在截留、挤占、挪用、虚列支出等情况。</w:t>
            </w:r>
          </w:p>
        </w:tc>
        <w:tc>
          <w:tcPr>
            <w:tcW w:w="805" w:type="dxa"/>
            <w:shd w:val="clear" w:color="auto" w:fill="auto"/>
            <w:vAlign w:val="center"/>
          </w:tcPr>
          <w:p w14:paraId="05EE7157">
            <w:pPr>
              <w:widowControl/>
              <w:spacing w:line="0" w:lineRule="atLeast"/>
              <w:jc w:val="center"/>
              <w:rPr>
                <w:rFonts w:eastAsia="仿宋_GB2312"/>
                <w:b/>
                <w:bCs/>
                <w:kern w:val="0"/>
                <w:szCs w:val="21"/>
              </w:rPr>
            </w:pPr>
            <w:r>
              <w:rPr>
                <w:rFonts w:eastAsia="仿宋_GB2312"/>
                <w:b/>
                <w:bCs/>
                <w:kern w:val="0"/>
                <w:szCs w:val="21"/>
              </w:rPr>
              <w:t>4</w:t>
            </w:r>
          </w:p>
        </w:tc>
        <w:tc>
          <w:tcPr>
            <w:tcW w:w="750" w:type="dxa"/>
            <w:shd w:val="clear" w:color="auto" w:fill="auto"/>
            <w:vAlign w:val="center"/>
          </w:tcPr>
          <w:p w14:paraId="1A786140">
            <w:pPr>
              <w:widowControl/>
              <w:spacing w:line="0" w:lineRule="atLeast"/>
              <w:jc w:val="center"/>
              <w:rPr>
                <w:rFonts w:eastAsia="仿宋_GB2312"/>
                <w:b/>
                <w:bCs/>
                <w:kern w:val="0"/>
                <w:szCs w:val="21"/>
              </w:rPr>
            </w:pPr>
            <w:r>
              <w:rPr>
                <w:rFonts w:eastAsia="仿宋_GB2312"/>
                <w:b/>
                <w:bCs/>
                <w:kern w:val="0"/>
                <w:szCs w:val="21"/>
              </w:rPr>
              <w:t>4</w:t>
            </w:r>
          </w:p>
        </w:tc>
      </w:tr>
      <w:tr w14:paraId="1B4982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1099" w:type="dxa"/>
            <w:vMerge w:val="continue"/>
            <w:shd w:val="clear" w:color="auto" w:fill="auto"/>
            <w:vAlign w:val="center"/>
          </w:tcPr>
          <w:p w14:paraId="3678A8EB">
            <w:pPr>
              <w:spacing w:line="0" w:lineRule="atLeast"/>
              <w:jc w:val="center"/>
              <w:rPr>
                <w:rFonts w:eastAsia="仿宋_GB2312"/>
                <w:kern w:val="0"/>
                <w:szCs w:val="21"/>
              </w:rPr>
            </w:pPr>
          </w:p>
        </w:tc>
        <w:tc>
          <w:tcPr>
            <w:tcW w:w="1187" w:type="dxa"/>
            <w:vMerge w:val="restart"/>
            <w:shd w:val="clear" w:color="auto" w:fill="auto"/>
            <w:vAlign w:val="center"/>
          </w:tcPr>
          <w:p w14:paraId="2C0A3092">
            <w:pPr>
              <w:widowControl/>
              <w:spacing w:line="0" w:lineRule="atLeast"/>
              <w:jc w:val="center"/>
              <w:rPr>
                <w:rFonts w:eastAsia="仿宋_GB2312"/>
                <w:kern w:val="0"/>
                <w:szCs w:val="21"/>
              </w:rPr>
            </w:pPr>
            <w:r>
              <w:rPr>
                <w:rFonts w:eastAsia="仿宋_GB2312"/>
                <w:kern w:val="0"/>
                <w:szCs w:val="21"/>
              </w:rPr>
              <w:t>组织实施</w:t>
            </w:r>
          </w:p>
          <w:p w14:paraId="5BFA1B0F">
            <w:pPr>
              <w:spacing w:line="0" w:lineRule="atLeast"/>
              <w:jc w:val="center"/>
              <w:rPr>
                <w:rFonts w:eastAsia="仿宋_GB2312"/>
                <w:kern w:val="0"/>
                <w:szCs w:val="21"/>
              </w:rPr>
            </w:pPr>
            <w:r>
              <w:rPr>
                <w:rFonts w:eastAsia="仿宋_GB2312"/>
                <w:kern w:val="0"/>
                <w:szCs w:val="21"/>
              </w:rPr>
              <w:t>　</w:t>
            </w:r>
          </w:p>
        </w:tc>
        <w:tc>
          <w:tcPr>
            <w:tcW w:w="1063" w:type="dxa"/>
            <w:shd w:val="clear" w:color="auto" w:fill="auto"/>
            <w:vAlign w:val="center"/>
          </w:tcPr>
          <w:p w14:paraId="37C7D4EF">
            <w:pPr>
              <w:widowControl/>
              <w:spacing w:line="0" w:lineRule="atLeast"/>
              <w:jc w:val="center"/>
              <w:rPr>
                <w:rFonts w:eastAsia="仿宋_GB2312"/>
                <w:kern w:val="0"/>
                <w:szCs w:val="21"/>
              </w:rPr>
            </w:pPr>
            <w:r>
              <w:rPr>
                <w:rFonts w:eastAsia="仿宋_GB2312"/>
                <w:kern w:val="0"/>
                <w:szCs w:val="21"/>
              </w:rPr>
              <w:t>管理制度</w:t>
            </w:r>
          </w:p>
          <w:p w14:paraId="69C069A5">
            <w:pPr>
              <w:widowControl/>
              <w:spacing w:line="0" w:lineRule="atLeast"/>
              <w:jc w:val="center"/>
              <w:rPr>
                <w:rFonts w:eastAsia="仿宋_GB2312"/>
                <w:kern w:val="0"/>
                <w:szCs w:val="21"/>
              </w:rPr>
            </w:pPr>
            <w:r>
              <w:rPr>
                <w:rFonts w:eastAsia="仿宋_GB2312"/>
                <w:kern w:val="0"/>
                <w:szCs w:val="21"/>
              </w:rPr>
              <w:t>健全性</w:t>
            </w:r>
          </w:p>
        </w:tc>
        <w:tc>
          <w:tcPr>
            <w:tcW w:w="2782" w:type="dxa"/>
            <w:shd w:val="clear" w:color="auto" w:fill="auto"/>
            <w:vAlign w:val="center"/>
          </w:tcPr>
          <w:p w14:paraId="247E354B">
            <w:pPr>
              <w:widowControl/>
              <w:spacing w:line="0" w:lineRule="atLeast"/>
              <w:rPr>
                <w:rFonts w:eastAsia="仿宋_GB2312"/>
                <w:kern w:val="0"/>
                <w:szCs w:val="21"/>
              </w:rPr>
            </w:pPr>
            <w:r>
              <w:rPr>
                <w:rFonts w:eastAsia="仿宋_GB2312"/>
                <w:kern w:val="0"/>
                <w:szCs w:val="21"/>
              </w:rPr>
              <w:t>项目实施单位的财务和业务管理制度是否健全，用以反映和考核财务和业务管理制度对项目顺利实施的保障情况。</w:t>
            </w:r>
          </w:p>
        </w:tc>
        <w:tc>
          <w:tcPr>
            <w:tcW w:w="6395" w:type="dxa"/>
            <w:shd w:val="clear" w:color="auto" w:fill="auto"/>
            <w:vAlign w:val="center"/>
          </w:tcPr>
          <w:p w14:paraId="6F062DB1">
            <w:pPr>
              <w:widowControl/>
              <w:spacing w:line="0" w:lineRule="atLeast"/>
              <w:rPr>
                <w:rFonts w:eastAsia="仿宋_GB2312"/>
                <w:kern w:val="0"/>
                <w:szCs w:val="21"/>
              </w:rPr>
            </w:pPr>
            <w:r>
              <w:rPr>
                <w:rFonts w:eastAsia="仿宋_GB2312"/>
                <w:kern w:val="0"/>
                <w:szCs w:val="21"/>
              </w:rPr>
              <w:t>评价要点：</w:t>
            </w:r>
            <w:r>
              <w:rPr>
                <w:rFonts w:eastAsia="仿宋_GB2312"/>
                <w:kern w:val="0"/>
                <w:szCs w:val="21"/>
              </w:rPr>
              <w:br w:type="textWrapping"/>
            </w:r>
            <w:r>
              <w:rPr>
                <w:rFonts w:eastAsia="仿宋_GB2312"/>
                <w:kern w:val="0"/>
                <w:szCs w:val="21"/>
              </w:rPr>
              <w:t>①是否已制定或具有相应的财务和业务管理制度；</w:t>
            </w:r>
            <w:r>
              <w:rPr>
                <w:rFonts w:eastAsia="仿宋_GB2312"/>
                <w:kern w:val="0"/>
                <w:szCs w:val="21"/>
              </w:rPr>
              <w:br w:type="textWrapping"/>
            </w:r>
            <w:r>
              <w:rPr>
                <w:rFonts w:eastAsia="仿宋_GB2312"/>
                <w:kern w:val="0"/>
                <w:szCs w:val="21"/>
              </w:rPr>
              <w:t>②财务和业务管理制度是否合法、合规、完整。</w:t>
            </w:r>
          </w:p>
        </w:tc>
        <w:tc>
          <w:tcPr>
            <w:tcW w:w="805" w:type="dxa"/>
            <w:shd w:val="clear" w:color="auto" w:fill="auto"/>
            <w:vAlign w:val="center"/>
          </w:tcPr>
          <w:p w14:paraId="10B84DB0">
            <w:pPr>
              <w:widowControl/>
              <w:spacing w:line="0" w:lineRule="atLeast"/>
              <w:jc w:val="center"/>
              <w:rPr>
                <w:rFonts w:eastAsia="仿宋_GB2312"/>
                <w:b/>
                <w:bCs/>
                <w:kern w:val="0"/>
                <w:szCs w:val="21"/>
              </w:rPr>
            </w:pPr>
            <w:r>
              <w:rPr>
                <w:rFonts w:eastAsia="仿宋_GB2312"/>
                <w:b/>
                <w:bCs/>
                <w:kern w:val="0"/>
                <w:szCs w:val="21"/>
              </w:rPr>
              <w:t>4</w:t>
            </w:r>
          </w:p>
        </w:tc>
        <w:tc>
          <w:tcPr>
            <w:tcW w:w="750" w:type="dxa"/>
            <w:shd w:val="clear" w:color="auto" w:fill="auto"/>
            <w:vAlign w:val="center"/>
          </w:tcPr>
          <w:p w14:paraId="2C53FB17">
            <w:pPr>
              <w:widowControl/>
              <w:spacing w:line="0" w:lineRule="atLeast"/>
              <w:jc w:val="center"/>
              <w:rPr>
                <w:rFonts w:eastAsia="仿宋_GB2312"/>
                <w:b/>
                <w:bCs/>
                <w:kern w:val="0"/>
                <w:szCs w:val="21"/>
              </w:rPr>
            </w:pPr>
            <w:r>
              <w:rPr>
                <w:rFonts w:eastAsia="仿宋_GB2312"/>
                <w:b/>
                <w:bCs/>
                <w:kern w:val="0"/>
                <w:szCs w:val="21"/>
              </w:rPr>
              <w:t>4</w:t>
            </w:r>
          </w:p>
        </w:tc>
      </w:tr>
      <w:tr w14:paraId="11EF40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83" w:hRule="atLeast"/>
          <w:jc w:val="center"/>
        </w:trPr>
        <w:tc>
          <w:tcPr>
            <w:tcW w:w="1099" w:type="dxa"/>
            <w:vMerge w:val="continue"/>
            <w:shd w:val="clear" w:color="auto" w:fill="auto"/>
            <w:vAlign w:val="center"/>
          </w:tcPr>
          <w:p w14:paraId="441D21B9">
            <w:pPr>
              <w:widowControl/>
              <w:spacing w:line="0" w:lineRule="atLeast"/>
              <w:jc w:val="center"/>
              <w:rPr>
                <w:rFonts w:eastAsia="仿宋_GB2312"/>
                <w:kern w:val="0"/>
                <w:szCs w:val="21"/>
              </w:rPr>
            </w:pPr>
          </w:p>
        </w:tc>
        <w:tc>
          <w:tcPr>
            <w:tcW w:w="1187" w:type="dxa"/>
            <w:vMerge w:val="continue"/>
            <w:shd w:val="clear" w:color="auto" w:fill="auto"/>
            <w:vAlign w:val="center"/>
          </w:tcPr>
          <w:p w14:paraId="213718D8">
            <w:pPr>
              <w:widowControl/>
              <w:spacing w:line="0" w:lineRule="atLeast"/>
              <w:jc w:val="center"/>
              <w:rPr>
                <w:rFonts w:eastAsia="仿宋_GB2312"/>
                <w:kern w:val="0"/>
                <w:szCs w:val="21"/>
              </w:rPr>
            </w:pPr>
          </w:p>
        </w:tc>
        <w:tc>
          <w:tcPr>
            <w:tcW w:w="1063" w:type="dxa"/>
            <w:shd w:val="clear" w:color="auto" w:fill="auto"/>
            <w:vAlign w:val="center"/>
          </w:tcPr>
          <w:p w14:paraId="7E7830DF">
            <w:pPr>
              <w:widowControl/>
              <w:spacing w:line="0" w:lineRule="atLeast"/>
              <w:jc w:val="center"/>
              <w:rPr>
                <w:rFonts w:eastAsia="仿宋_GB2312"/>
                <w:kern w:val="0"/>
                <w:szCs w:val="21"/>
              </w:rPr>
            </w:pPr>
            <w:r>
              <w:rPr>
                <w:rFonts w:eastAsia="仿宋_GB2312"/>
                <w:kern w:val="0"/>
                <w:szCs w:val="21"/>
              </w:rPr>
              <w:t>制度执行</w:t>
            </w:r>
          </w:p>
          <w:p w14:paraId="10B19A71">
            <w:pPr>
              <w:widowControl/>
              <w:spacing w:line="0" w:lineRule="atLeast"/>
              <w:jc w:val="center"/>
              <w:rPr>
                <w:rFonts w:eastAsia="仿宋_GB2312"/>
                <w:kern w:val="0"/>
                <w:szCs w:val="21"/>
              </w:rPr>
            </w:pPr>
            <w:r>
              <w:rPr>
                <w:rFonts w:eastAsia="仿宋_GB2312"/>
                <w:kern w:val="0"/>
                <w:szCs w:val="21"/>
              </w:rPr>
              <w:t>有效性</w:t>
            </w:r>
          </w:p>
        </w:tc>
        <w:tc>
          <w:tcPr>
            <w:tcW w:w="2782" w:type="dxa"/>
            <w:shd w:val="clear" w:color="auto" w:fill="auto"/>
            <w:vAlign w:val="center"/>
          </w:tcPr>
          <w:p w14:paraId="3E72E23C">
            <w:pPr>
              <w:widowControl/>
              <w:spacing w:line="0" w:lineRule="atLeast"/>
              <w:rPr>
                <w:rFonts w:eastAsia="仿宋_GB2312"/>
                <w:kern w:val="0"/>
                <w:szCs w:val="21"/>
              </w:rPr>
            </w:pPr>
            <w:r>
              <w:rPr>
                <w:rFonts w:eastAsia="仿宋_GB2312"/>
                <w:kern w:val="0"/>
                <w:szCs w:val="21"/>
              </w:rPr>
              <w:t>项目实施是否符合相关管理规定，用以反映和考核相关管理制度的有效执行情况。</w:t>
            </w:r>
          </w:p>
        </w:tc>
        <w:tc>
          <w:tcPr>
            <w:tcW w:w="6395" w:type="dxa"/>
            <w:shd w:val="clear" w:color="auto" w:fill="auto"/>
            <w:vAlign w:val="center"/>
          </w:tcPr>
          <w:p w14:paraId="355FD0CD">
            <w:pPr>
              <w:widowControl/>
              <w:spacing w:line="0" w:lineRule="atLeast"/>
              <w:rPr>
                <w:rFonts w:eastAsia="仿宋_GB2312"/>
                <w:kern w:val="0"/>
                <w:szCs w:val="21"/>
              </w:rPr>
            </w:pPr>
            <w:r>
              <w:rPr>
                <w:rFonts w:eastAsia="仿宋_GB2312"/>
                <w:kern w:val="0"/>
                <w:szCs w:val="21"/>
              </w:rPr>
              <w:t>评价要点：</w:t>
            </w:r>
            <w:r>
              <w:rPr>
                <w:rFonts w:eastAsia="仿宋_GB2312"/>
                <w:kern w:val="0"/>
                <w:szCs w:val="21"/>
              </w:rPr>
              <w:br w:type="textWrapping"/>
            </w:r>
            <w:r>
              <w:rPr>
                <w:rFonts w:eastAsia="仿宋_GB2312"/>
                <w:kern w:val="0"/>
                <w:szCs w:val="21"/>
              </w:rPr>
              <w:t>①是否遵守相关法律法规和相关管理规定；</w:t>
            </w:r>
            <w:r>
              <w:rPr>
                <w:rFonts w:eastAsia="仿宋_GB2312"/>
                <w:kern w:val="0"/>
                <w:szCs w:val="21"/>
              </w:rPr>
              <w:br w:type="textWrapping"/>
            </w:r>
            <w:r>
              <w:rPr>
                <w:rFonts w:eastAsia="仿宋_GB2312"/>
                <w:kern w:val="0"/>
                <w:szCs w:val="21"/>
              </w:rPr>
              <w:t>②项目调整及支出调整手续是否完备；</w:t>
            </w:r>
            <w:r>
              <w:rPr>
                <w:rFonts w:eastAsia="仿宋_GB2312"/>
                <w:kern w:val="0"/>
                <w:szCs w:val="21"/>
              </w:rPr>
              <w:br w:type="textWrapping"/>
            </w:r>
            <w:r>
              <w:rPr>
                <w:rFonts w:eastAsia="仿宋_GB2312"/>
                <w:kern w:val="0"/>
                <w:szCs w:val="21"/>
              </w:rPr>
              <w:t>③项目合同书、验收报告、技术鉴定等资料是否齐全并及时归档；</w:t>
            </w:r>
            <w:r>
              <w:rPr>
                <w:rFonts w:eastAsia="仿宋_GB2312"/>
                <w:kern w:val="0"/>
                <w:szCs w:val="21"/>
              </w:rPr>
              <w:br w:type="textWrapping"/>
            </w:r>
            <w:r>
              <w:rPr>
                <w:rFonts w:eastAsia="仿宋_GB2312"/>
                <w:kern w:val="0"/>
                <w:szCs w:val="21"/>
              </w:rPr>
              <w:t>④项目实施的人员条件、场地设备、信息支撑等是否落实到位。</w:t>
            </w:r>
          </w:p>
        </w:tc>
        <w:tc>
          <w:tcPr>
            <w:tcW w:w="805" w:type="dxa"/>
            <w:shd w:val="clear" w:color="auto" w:fill="auto"/>
            <w:vAlign w:val="center"/>
          </w:tcPr>
          <w:p w14:paraId="5B373AB9">
            <w:pPr>
              <w:widowControl/>
              <w:spacing w:line="0" w:lineRule="atLeast"/>
              <w:jc w:val="center"/>
              <w:rPr>
                <w:rFonts w:eastAsia="仿宋_GB2312"/>
                <w:b/>
                <w:bCs/>
                <w:kern w:val="0"/>
                <w:szCs w:val="21"/>
              </w:rPr>
            </w:pPr>
            <w:r>
              <w:rPr>
                <w:rFonts w:eastAsia="仿宋_GB2312"/>
                <w:b/>
                <w:bCs/>
                <w:kern w:val="0"/>
                <w:szCs w:val="21"/>
              </w:rPr>
              <w:t>4</w:t>
            </w:r>
          </w:p>
        </w:tc>
        <w:tc>
          <w:tcPr>
            <w:tcW w:w="750" w:type="dxa"/>
            <w:shd w:val="clear" w:color="auto" w:fill="auto"/>
            <w:vAlign w:val="center"/>
          </w:tcPr>
          <w:p w14:paraId="424B1D02">
            <w:pPr>
              <w:widowControl/>
              <w:spacing w:line="0" w:lineRule="atLeast"/>
              <w:jc w:val="center"/>
              <w:rPr>
                <w:rFonts w:eastAsia="仿宋_GB2312"/>
                <w:b/>
                <w:bCs/>
                <w:kern w:val="0"/>
                <w:szCs w:val="21"/>
              </w:rPr>
            </w:pPr>
            <w:r>
              <w:rPr>
                <w:rFonts w:eastAsia="仿宋_GB2312"/>
                <w:b/>
                <w:bCs/>
                <w:kern w:val="0"/>
                <w:szCs w:val="21"/>
              </w:rPr>
              <w:t>4</w:t>
            </w:r>
          </w:p>
        </w:tc>
      </w:tr>
      <w:tr w14:paraId="306E2F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1099" w:type="dxa"/>
            <w:vMerge w:val="restart"/>
            <w:shd w:val="clear" w:color="auto" w:fill="auto"/>
            <w:vAlign w:val="center"/>
          </w:tcPr>
          <w:p w14:paraId="618FE8FC">
            <w:pPr>
              <w:widowControl/>
              <w:spacing w:line="0" w:lineRule="atLeast"/>
              <w:jc w:val="center"/>
              <w:rPr>
                <w:rFonts w:eastAsia="仿宋_GB2312"/>
                <w:kern w:val="0"/>
                <w:szCs w:val="21"/>
              </w:rPr>
            </w:pPr>
            <w:r>
              <w:rPr>
                <w:rFonts w:eastAsia="仿宋_GB2312"/>
                <w:kern w:val="0"/>
                <w:szCs w:val="21"/>
              </w:rPr>
              <w:t>产出</w:t>
            </w:r>
          </w:p>
        </w:tc>
        <w:tc>
          <w:tcPr>
            <w:tcW w:w="1187" w:type="dxa"/>
            <w:shd w:val="clear" w:color="auto" w:fill="auto"/>
            <w:vAlign w:val="center"/>
          </w:tcPr>
          <w:p w14:paraId="4F73BC3C">
            <w:pPr>
              <w:widowControl/>
              <w:spacing w:line="0" w:lineRule="atLeast"/>
              <w:jc w:val="center"/>
              <w:rPr>
                <w:rFonts w:eastAsia="仿宋_GB2312"/>
                <w:kern w:val="0"/>
                <w:szCs w:val="21"/>
              </w:rPr>
            </w:pPr>
            <w:r>
              <w:rPr>
                <w:rFonts w:eastAsia="仿宋_GB2312"/>
                <w:kern w:val="0"/>
                <w:szCs w:val="21"/>
              </w:rPr>
              <w:t>产出数量</w:t>
            </w:r>
          </w:p>
        </w:tc>
        <w:tc>
          <w:tcPr>
            <w:tcW w:w="1063" w:type="dxa"/>
            <w:shd w:val="clear" w:color="auto" w:fill="auto"/>
            <w:vAlign w:val="center"/>
          </w:tcPr>
          <w:p w14:paraId="0B448854">
            <w:pPr>
              <w:widowControl/>
              <w:spacing w:line="0" w:lineRule="atLeast"/>
              <w:jc w:val="center"/>
              <w:rPr>
                <w:rFonts w:eastAsia="仿宋_GB2312"/>
                <w:kern w:val="0"/>
                <w:szCs w:val="21"/>
              </w:rPr>
            </w:pPr>
            <w:r>
              <w:rPr>
                <w:rFonts w:eastAsia="仿宋_GB2312"/>
                <w:kern w:val="0"/>
                <w:szCs w:val="21"/>
              </w:rPr>
              <w:t>实际完成率</w:t>
            </w:r>
          </w:p>
        </w:tc>
        <w:tc>
          <w:tcPr>
            <w:tcW w:w="2782" w:type="dxa"/>
            <w:shd w:val="clear" w:color="auto" w:fill="auto"/>
            <w:vAlign w:val="center"/>
          </w:tcPr>
          <w:p w14:paraId="1066E72E">
            <w:pPr>
              <w:widowControl/>
              <w:spacing w:line="0" w:lineRule="atLeast"/>
              <w:rPr>
                <w:rFonts w:eastAsia="仿宋_GB2312"/>
                <w:kern w:val="0"/>
                <w:szCs w:val="21"/>
              </w:rPr>
            </w:pPr>
            <w:r>
              <w:rPr>
                <w:rFonts w:eastAsia="仿宋_GB2312"/>
                <w:kern w:val="0"/>
                <w:szCs w:val="21"/>
              </w:rPr>
              <w:t>项目实施的实际产出数与计划产出数的比率，用以反映和考核项目产出数量目标的实现程度。</w:t>
            </w:r>
          </w:p>
        </w:tc>
        <w:tc>
          <w:tcPr>
            <w:tcW w:w="6395" w:type="dxa"/>
            <w:shd w:val="clear" w:color="auto" w:fill="auto"/>
            <w:vAlign w:val="center"/>
          </w:tcPr>
          <w:p w14:paraId="5AF49383">
            <w:pPr>
              <w:widowControl/>
              <w:spacing w:line="0" w:lineRule="atLeast"/>
              <w:rPr>
                <w:rFonts w:eastAsia="仿宋_GB2312"/>
                <w:kern w:val="0"/>
                <w:szCs w:val="21"/>
              </w:rPr>
            </w:pPr>
            <w:r>
              <w:rPr>
                <w:rFonts w:eastAsia="仿宋_GB2312"/>
                <w:kern w:val="0"/>
                <w:szCs w:val="21"/>
              </w:rPr>
              <w:t>实际完成率=（实际产出数/计划产出数）×100%。</w:t>
            </w:r>
            <w:r>
              <w:rPr>
                <w:rFonts w:eastAsia="仿宋_GB2312"/>
                <w:kern w:val="0"/>
                <w:szCs w:val="21"/>
              </w:rPr>
              <w:br w:type="textWrapping"/>
            </w:r>
            <w:r>
              <w:rPr>
                <w:rFonts w:eastAsia="仿宋_GB2312"/>
                <w:kern w:val="0"/>
                <w:szCs w:val="21"/>
              </w:rPr>
              <w:t>实际产出数：一定时期（本年度或项目期）内项目实际产出的产品或提供的服务数量。</w:t>
            </w:r>
            <w:r>
              <w:rPr>
                <w:rFonts w:eastAsia="仿宋_GB2312"/>
                <w:kern w:val="0"/>
                <w:szCs w:val="21"/>
              </w:rPr>
              <w:br w:type="textWrapping"/>
            </w:r>
            <w:r>
              <w:rPr>
                <w:rFonts w:eastAsia="仿宋_GB2312"/>
                <w:kern w:val="0"/>
                <w:szCs w:val="21"/>
              </w:rPr>
              <w:t>计划产出数：项目绩效目标确定的在一定时期（本年度或项目期）内计划产出的产品或提供的服务数量。</w:t>
            </w:r>
          </w:p>
        </w:tc>
        <w:tc>
          <w:tcPr>
            <w:tcW w:w="805" w:type="dxa"/>
            <w:shd w:val="clear" w:color="auto" w:fill="auto"/>
            <w:vAlign w:val="center"/>
          </w:tcPr>
          <w:p w14:paraId="70D024C4">
            <w:pPr>
              <w:widowControl/>
              <w:spacing w:line="0" w:lineRule="atLeast"/>
              <w:jc w:val="center"/>
              <w:rPr>
                <w:rFonts w:eastAsia="仿宋_GB2312"/>
                <w:b/>
                <w:bCs/>
                <w:kern w:val="0"/>
                <w:szCs w:val="21"/>
              </w:rPr>
            </w:pPr>
            <w:r>
              <w:rPr>
                <w:rFonts w:eastAsia="仿宋_GB2312"/>
                <w:b/>
                <w:bCs/>
                <w:kern w:val="0"/>
                <w:szCs w:val="21"/>
              </w:rPr>
              <w:t>10</w:t>
            </w:r>
          </w:p>
        </w:tc>
        <w:tc>
          <w:tcPr>
            <w:tcW w:w="750" w:type="dxa"/>
            <w:shd w:val="clear" w:color="auto" w:fill="auto"/>
            <w:vAlign w:val="center"/>
          </w:tcPr>
          <w:p w14:paraId="33CB2ECD">
            <w:pPr>
              <w:widowControl/>
              <w:spacing w:line="0" w:lineRule="atLeast"/>
              <w:jc w:val="center"/>
              <w:rPr>
                <w:rFonts w:eastAsia="仿宋_GB2312"/>
                <w:b/>
                <w:bCs/>
                <w:kern w:val="0"/>
                <w:szCs w:val="21"/>
              </w:rPr>
            </w:pPr>
            <w:r>
              <w:rPr>
                <w:rFonts w:hint="eastAsia" w:eastAsia="仿宋_GB2312"/>
                <w:b/>
                <w:bCs/>
                <w:kern w:val="0"/>
                <w:szCs w:val="21"/>
              </w:rPr>
              <w:t>10</w:t>
            </w:r>
          </w:p>
        </w:tc>
      </w:tr>
      <w:tr w14:paraId="5798FA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1099" w:type="dxa"/>
            <w:vMerge w:val="continue"/>
            <w:shd w:val="clear" w:color="auto" w:fill="auto"/>
            <w:vAlign w:val="center"/>
          </w:tcPr>
          <w:p w14:paraId="19A2CDDF">
            <w:pPr>
              <w:widowControl/>
              <w:spacing w:line="0" w:lineRule="atLeast"/>
              <w:jc w:val="center"/>
              <w:rPr>
                <w:rFonts w:eastAsia="仿宋_GB2312"/>
                <w:kern w:val="0"/>
                <w:szCs w:val="21"/>
              </w:rPr>
            </w:pPr>
          </w:p>
        </w:tc>
        <w:tc>
          <w:tcPr>
            <w:tcW w:w="1187" w:type="dxa"/>
            <w:shd w:val="clear" w:color="auto" w:fill="auto"/>
            <w:vAlign w:val="center"/>
          </w:tcPr>
          <w:p w14:paraId="0986FE73">
            <w:pPr>
              <w:widowControl/>
              <w:spacing w:line="0" w:lineRule="atLeast"/>
              <w:jc w:val="center"/>
              <w:rPr>
                <w:rFonts w:eastAsia="仿宋_GB2312"/>
                <w:kern w:val="0"/>
                <w:szCs w:val="21"/>
              </w:rPr>
            </w:pPr>
            <w:r>
              <w:rPr>
                <w:rFonts w:eastAsia="仿宋_GB2312"/>
                <w:kern w:val="0"/>
                <w:szCs w:val="21"/>
              </w:rPr>
              <w:t>产出质量</w:t>
            </w:r>
          </w:p>
        </w:tc>
        <w:tc>
          <w:tcPr>
            <w:tcW w:w="1063" w:type="dxa"/>
            <w:shd w:val="clear" w:color="auto" w:fill="auto"/>
            <w:vAlign w:val="center"/>
          </w:tcPr>
          <w:p w14:paraId="318EDAAD">
            <w:pPr>
              <w:widowControl/>
              <w:spacing w:line="0" w:lineRule="atLeast"/>
              <w:jc w:val="center"/>
              <w:rPr>
                <w:rFonts w:eastAsia="仿宋_GB2312"/>
                <w:kern w:val="0"/>
                <w:szCs w:val="21"/>
              </w:rPr>
            </w:pPr>
            <w:r>
              <w:rPr>
                <w:rFonts w:eastAsia="仿宋_GB2312"/>
                <w:kern w:val="0"/>
                <w:szCs w:val="21"/>
              </w:rPr>
              <w:t>质量达标率</w:t>
            </w:r>
          </w:p>
        </w:tc>
        <w:tc>
          <w:tcPr>
            <w:tcW w:w="2782" w:type="dxa"/>
            <w:shd w:val="clear" w:color="auto" w:fill="auto"/>
            <w:vAlign w:val="center"/>
          </w:tcPr>
          <w:p w14:paraId="6A7A65DA">
            <w:pPr>
              <w:widowControl/>
              <w:spacing w:line="0" w:lineRule="atLeast"/>
              <w:rPr>
                <w:rFonts w:eastAsia="仿宋_GB2312"/>
                <w:kern w:val="0"/>
                <w:szCs w:val="21"/>
              </w:rPr>
            </w:pPr>
            <w:r>
              <w:rPr>
                <w:rFonts w:eastAsia="仿宋_GB2312"/>
                <w:kern w:val="0"/>
                <w:szCs w:val="21"/>
              </w:rPr>
              <w:t>项目完成的质量达标产出数与实际产出数的比率，用以反映和考核项目产出质量目标的实现程度。</w:t>
            </w:r>
          </w:p>
        </w:tc>
        <w:tc>
          <w:tcPr>
            <w:tcW w:w="6395" w:type="dxa"/>
            <w:shd w:val="clear" w:color="auto" w:fill="auto"/>
            <w:vAlign w:val="center"/>
          </w:tcPr>
          <w:p w14:paraId="0B2BE2CA">
            <w:pPr>
              <w:widowControl/>
              <w:spacing w:line="0" w:lineRule="atLeast"/>
              <w:rPr>
                <w:rFonts w:eastAsia="仿宋_GB2312"/>
                <w:kern w:val="0"/>
                <w:szCs w:val="21"/>
              </w:rPr>
            </w:pPr>
            <w:r>
              <w:rPr>
                <w:rFonts w:eastAsia="仿宋_GB2312"/>
                <w:kern w:val="0"/>
                <w:szCs w:val="21"/>
              </w:rPr>
              <w:t>质量达标率=（质量达标产出数/实际产出数）×100%。</w:t>
            </w:r>
          </w:p>
          <w:p w14:paraId="47F29937">
            <w:pPr>
              <w:widowControl/>
              <w:spacing w:line="0" w:lineRule="atLeast"/>
              <w:rPr>
                <w:rFonts w:eastAsia="仿宋_GB2312"/>
                <w:kern w:val="0"/>
                <w:szCs w:val="21"/>
              </w:rPr>
            </w:pPr>
            <w:r>
              <w:rPr>
                <w:rFonts w:eastAsia="仿宋_GB2312"/>
                <w:kern w:val="0"/>
                <w:szCs w:val="21"/>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05" w:type="dxa"/>
            <w:shd w:val="clear" w:color="auto" w:fill="auto"/>
            <w:vAlign w:val="center"/>
          </w:tcPr>
          <w:p w14:paraId="70EB9DA9">
            <w:pPr>
              <w:widowControl/>
              <w:spacing w:line="0" w:lineRule="atLeast"/>
              <w:jc w:val="center"/>
              <w:rPr>
                <w:rFonts w:eastAsia="仿宋_GB2312"/>
                <w:b/>
                <w:bCs/>
                <w:kern w:val="0"/>
                <w:szCs w:val="21"/>
              </w:rPr>
            </w:pPr>
            <w:r>
              <w:rPr>
                <w:rFonts w:eastAsia="仿宋_GB2312"/>
                <w:b/>
                <w:bCs/>
                <w:kern w:val="0"/>
                <w:szCs w:val="21"/>
              </w:rPr>
              <w:t>10</w:t>
            </w:r>
          </w:p>
        </w:tc>
        <w:tc>
          <w:tcPr>
            <w:tcW w:w="750" w:type="dxa"/>
            <w:shd w:val="clear" w:color="auto" w:fill="auto"/>
            <w:vAlign w:val="center"/>
          </w:tcPr>
          <w:p w14:paraId="79127247">
            <w:pPr>
              <w:widowControl/>
              <w:spacing w:line="0" w:lineRule="atLeast"/>
              <w:jc w:val="center"/>
              <w:rPr>
                <w:rFonts w:eastAsia="仿宋_GB2312"/>
                <w:b/>
                <w:bCs/>
                <w:kern w:val="0"/>
                <w:szCs w:val="21"/>
              </w:rPr>
            </w:pPr>
            <w:r>
              <w:rPr>
                <w:rFonts w:eastAsia="仿宋_GB2312"/>
                <w:b/>
                <w:bCs/>
                <w:kern w:val="0"/>
                <w:szCs w:val="21"/>
              </w:rPr>
              <w:t>10</w:t>
            </w:r>
          </w:p>
        </w:tc>
      </w:tr>
      <w:tr w14:paraId="290329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1099" w:type="dxa"/>
            <w:vMerge w:val="continue"/>
            <w:shd w:val="clear" w:color="auto" w:fill="auto"/>
            <w:vAlign w:val="center"/>
          </w:tcPr>
          <w:p w14:paraId="10140C71">
            <w:pPr>
              <w:spacing w:line="0" w:lineRule="atLeast"/>
              <w:jc w:val="center"/>
              <w:rPr>
                <w:rFonts w:eastAsia="仿宋_GB2312"/>
                <w:kern w:val="0"/>
                <w:szCs w:val="21"/>
              </w:rPr>
            </w:pPr>
          </w:p>
        </w:tc>
        <w:tc>
          <w:tcPr>
            <w:tcW w:w="1187" w:type="dxa"/>
            <w:shd w:val="clear" w:color="auto" w:fill="auto"/>
            <w:vAlign w:val="center"/>
          </w:tcPr>
          <w:p w14:paraId="0A925579">
            <w:pPr>
              <w:spacing w:line="0" w:lineRule="atLeast"/>
              <w:jc w:val="center"/>
              <w:rPr>
                <w:rFonts w:eastAsia="仿宋_GB2312"/>
                <w:kern w:val="0"/>
                <w:szCs w:val="21"/>
              </w:rPr>
            </w:pPr>
            <w:r>
              <w:rPr>
                <w:rFonts w:eastAsia="仿宋_GB2312"/>
                <w:kern w:val="0"/>
                <w:szCs w:val="21"/>
              </w:rPr>
              <w:t>产出时效</w:t>
            </w:r>
          </w:p>
        </w:tc>
        <w:tc>
          <w:tcPr>
            <w:tcW w:w="1063" w:type="dxa"/>
            <w:shd w:val="clear" w:color="auto" w:fill="auto"/>
            <w:vAlign w:val="center"/>
          </w:tcPr>
          <w:p w14:paraId="0972A798">
            <w:pPr>
              <w:widowControl/>
              <w:spacing w:line="0" w:lineRule="atLeast"/>
              <w:jc w:val="center"/>
              <w:rPr>
                <w:rFonts w:eastAsia="仿宋_GB2312"/>
                <w:kern w:val="0"/>
                <w:szCs w:val="21"/>
              </w:rPr>
            </w:pPr>
            <w:r>
              <w:rPr>
                <w:rFonts w:eastAsia="仿宋_GB2312"/>
                <w:kern w:val="0"/>
                <w:szCs w:val="21"/>
              </w:rPr>
              <w:t>完成及时性</w:t>
            </w:r>
          </w:p>
        </w:tc>
        <w:tc>
          <w:tcPr>
            <w:tcW w:w="2782" w:type="dxa"/>
            <w:shd w:val="clear" w:color="auto" w:fill="auto"/>
            <w:vAlign w:val="center"/>
          </w:tcPr>
          <w:p w14:paraId="18D9038E">
            <w:pPr>
              <w:widowControl/>
              <w:spacing w:line="0" w:lineRule="atLeast"/>
              <w:rPr>
                <w:rFonts w:eastAsia="仿宋_GB2312"/>
                <w:kern w:val="0"/>
                <w:szCs w:val="21"/>
              </w:rPr>
            </w:pPr>
            <w:r>
              <w:rPr>
                <w:rFonts w:eastAsia="仿宋_GB2312"/>
                <w:kern w:val="0"/>
                <w:szCs w:val="21"/>
              </w:rPr>
              <w:t>项目实际完成时间与计划完成时间的比较，用以反映和考核项目产出时效目标的实现程度。</w:t>
            </w:r>
          </w:p>
        </w:tc>
        <w:tc>
          <w:tcPr>
            <w:tcW w:w="6395" w:type="dxa"/>
            <w:shd w:val="clear" w:color="auto" w:fill="auto"/>
            <w:vAlign w:val="center"/>
          </w:tcPr>
          <w:p w14:paraId="1FD116AD">
            <w:pPr>
              <w:widowControl/>
              <w:spacing w:line="0" w:lineRule="atLeast"/>
              <w:rPr>
                <w:rFonts w:eastAsia="仿宋_GB2312"/>
                <w:kern w:val="0"/>
                <w:szCs w:val="21"/>
              </w:rPr>
            </w:pPr>
            <w:r>
              <w:rPr>
                <w:rFonts w:eastAsia="仿宋_GB2312"/>
                <w:kern w:val="0"/>
                <w:szCs w:val="21"/>
              </w:rPr>
              <w:t>实际完成时间：项目实施单位完成该项目实际所耗用的时间。</w:t>
            </w:r>
            <w:r>
              <w:rPr>
                <w:rFonts w:eastAsia="仿宋_GB2312"/>
                <w:kern w:val="0"/>
                <w:szCs w:val="21"/>
              </w:rPr>
              <w:br w:type="textWrapping"/>
            </w:r>
            <w:r>
              <w:rPr>
                <w:rFonts w:eastAsia="仿宋_GB2312"/>
                <w:kern w:val="0"/>
                <w:szCs w:val="21"/>
              </w:rPr>
              <w:t>计划完成时间：按照项目实施计划或相关规定完成该项目所需的时间。</w:t>
            </w:r>
          </w:p>
        </w:tc>
        <w:tc>
          <w:tcPr>
            <w:tcW w:w="805" w:type="dxa"/>
            <w:shd w:val="clear" w:color="auto" w:fill="auto"/>
            <w:vAlign w:val="center"/>
          </w:tcPr>
          <w:p w14:paraId="1187F212">
            <w:pPr>
              <w:widowControl/>
              <w:spacing w:line="0" w:lineRule="atLeast"/>
              <w:jc w:val="center"/>
              <w:rPr>
                <w:rFonts w:eastAsia="仿宋_GB2312"/>
                <w:b/>
                <w:bCs/>
                <w:kern w:val="0"/>
                <w:szCs w:val="21"/>
              </w:rPr>
            </w:pPr>
            <w:r>
              <w:rPr>
                <w:rFonts w:eastAsia="仿宋_GB2312"/>
                <w:b/>
                <w:bCs/>
                <w:kern w:val="0"/>
                <w:szCs w:val="21"/>
              </w:rPr>
              <w:t>10</w:t>
            </w:r>
          </w:p>
        </w:tc>
        <w:tc>
          <w:tcPr>
            <w:tcW w:w="750" w:type="dxa"/>
            <w:shd w:val="clear" w:color="auto" w:fill="auto"/>
            <w:vAlign w:val="center"/>
          </w:tcPr>
          <w:p w14:paraId="7966FBB6">
            <w:pPr>
              <w:widowControl/>
              <w:spacing w:line="0" w:lineRule="atLeast"/>
              <w:jc w:val="center"/>
              <w:rPr>
                <w:rFonts w:eastAsia="仿宋_GB2312"/>
                <w:b/>
                <w:bCs/>
                <w:kern w:val="0"/>
                <w:szCs w:val="21"/>
              </w:rPr>
            </w:pPr>
            <w:r>
              <w:rPr>
                <w:rFonts w:eastAsia="仿宋_GB2312"/>
                <w:b/>
                <w:bCs/>
                <w:kern w:val="0"/>
                <w:szCs w:val="21"/>
              </w:rPr>
              <w:t>10</w:t>
            </w:r>
          </w:p>
        </w:tc>
      </w:tr>
      <w:tr w14:paraId="7EBB38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1099" w:type="dxa"/>
            <w:vMerge w:val="continue"/>
            <w:shd w:val="clear" w:color="auto" w:fill="auto"/>
            <w:vAlign w:val="center"/>
          </w:tcPr>
          <w:p w14:paraId="09CE7CF0">
            <w:pPr>
              <w:widowControl/>
              <w:spacing w:line="0" w:lineRule="atLeast"/>
              <w:jc w:val="center"/>
              <w:rPr>
                <w:rFonts w:eastAsia="仿宋_GB2312"/>
                <w:kern w:val="0"/>
                <w:szCs w:val="21"/>
              </w:rPr>
            </w:pPr>
          </w:p>
        </w:tc>
        <w:tc>
          <w:tcPr>
            <w:tcW w:w="1187" w:type="dxa"/>
            <w:shd w:val="clear" w:color="auto" w:fill="auto"/>
            <w:vAlign w:val="center"/>
          </w:tcPr>
          <w:p w14:paraId="13907A6F">
            <w:pPr>
              <w:widowControl/>
              <w:spacing w:line="0" w:lineRule="atLeast"/>
              <w:jc w:val="center"/>
              <w:rPr>
                <w:rFonts w:eastAsia="仿宋_GB2312"/>
                <w:kern w:val="0"/>
                <w:szCs w:val="21"/>
              </w:rPr>
            </w:pPr>
            <w:r>
              <w:rPr>
                <w:rFonts w:eastAsia="仿宋_GB2312"/>
                <w:kern w:val="0"/>
                <w:szCs w:val="21"/>
              </w:rPr>
              <w:t>产出成本</w:t>
            </w:r>
          </w:p>
        </w:tc>
        <w:tc>
          <w:tcPr>
            <w:tcW w:w="1063" w:type="dxa"/>
            <w:shd w:val="clear" w:color="auto" w:fill="auto"/>
            <w:vAlign w:val="center"/>
          </w:tcPr>
          <w:p w14:paraId="0E209D10">
            <w:pPr>
              <w:widowControl/>
              <w:spacing w:line="0" w:lineRule="atLeast"/>
              <w:jc w:val="center"/>
              <w:rPr>
                <w:rFonts w:eastAsia="仿宋_GB2312"/>
                <w:kern w:val="0"/>
                <w:szCs w:val="21"/>
              </w:rPr>
            </w:pPr>
            <w:r>
              <w:rPr>
                <w:rFonts w:eastAsia="仿宋_GB2312"/>
                <w:kern w:val="0"/>
                <w:szCs w:val="21"/>
              </w:rPr>
              <w:t>成本节约率</w:t>
            </w:r>
          </w:p>
        </w:tc>
        <w:tc>
          <w:tcPr>
            <w:tcW w:w="2782" w:type="dxa"/>
            <w:shd w:val="clear" w:color="auto" w:fill="auto"/>
            <w:vAlign w:val="center"/>
          </w:tcPr>
          <w:p w14:paraId="3D44F7AB">
            <w:pPr>
              <w:widowControl/>
              <w:spacing w:line="0" w:lineRule="atLeast"/>
              <w:rPr>
                <w:rFonts w:eastAsia="仿宋_GB2312"/>
                <w:kern w:val="0"/>
                <w:szCs w:val="21"/>
              </w:rPr>
            </w:pPr>
            <w:r>
              <w:rPr>
                <w:rFonts w:eastAsia="仿宋_GB2312"/>
                <w:kern w:val="0"/>
                <w:szCs w:val="21"/>
              </w:rPr>
              <w:t>完成项目计划工作目标的实际节约成本与计划成本的比率，用以反映和考核项目的成本节约程度。</w:t>
            </w:r>
          </w:p>
        </w:tc>
        <w:tc>
          <w:tcPr>
            <w:tcW w:w="6395" w:type="dxa"/>
            <w:shd w:val="clear" w:color="auto" w:fill="auto"/>
            <w:vAlign w:val="center"/>
          </w:tcPr>
          <w:p w14:paraId="69B541D2">
            <w:pPr>
              <w:widowControl/>
              <w:spacing w:line="0" w:lineRule="atLeast"/>
              <w:rPr>
                <w:rFonts w:eastAsia="仿宋_GB2312"/>
                <w:kern w:val="0"/>
                <w:szCs w:val="21"/>
              </w:rPr>
            </w:pPr>
            <w:r>
              <w:rPr>
                <w:rFonts w:eastAsia="仿宋_GB2312"/>
                <w:kern w:val="0"/>
                <w:szCs w:val="21"/>
              </w:rPr>
              <w:t>成本节约率=[（计划成本-实际成本）/计划成本]×100%。</w:t>
            </w:r>
            <w:r>
              <w:rPr>
                <w:rFonts w:eastAsia="仿宋_GB2312"/>
                <w:kern w:val="0"/>
                <w:szCs w:val="21"/>
              </w:rPr>
              <w:br w:type="textWrapping"/>
            </w:r>
            <w:r>
              <w:rPr>
                <w:rFonts w:eastAsia="仿宋_GB2312"/>
                <w:kern w:val="0"/>
                <w:szCs w:val="21"/>
              </w:rPr>
              <w:t>实际成本：项目实施单位如期、保质、保量完成既定工作目标实际所耗费的支出。</w:t>
            </w:r>
            <w:r>
              <w:rPr>
                <w:rFonts w:eastAsia="仿宋_GB2312"/>
                <w:kern w:val="0"/>
                <w:szCs w:val="21"/>
              </w:rPr>
              <w:br w:type="textWrapping"/>
            </w:r>
            <w:r>
              <w:rPr>
                <w:rFonts w:eastAsia="仿宋_GB2312"/>
                <w:kern w:val="0"/>
                <w:szCs w:val="21"/>
              </w:rPr>
              <w:t>计划成本：项目实施单位为完成工作目标计划安排的支出，一般以项目预算为参考。</w:t>
            </w:r>
          </w:p>
        </w:tc>
        <w:tc>
          <w:tcPr>
            <w:tcW w:w="805" w:type="dxa"/>
            <w:shd w:val="clear" w:color="auto" w:fill="auto"/>
            <w:vAlign w:val="center"/>
          </w:tcPr>
          <w:p w14:paraId="3D309501">
            <w:pPr>
              <w:widowControl/>
              <w:spacing w:line="0" w:lineRule="atLeast"/>
              <w:jc w:val="center"/>
              <w:rPr>
                <w:rFonts w:eastAsia="仿宋_GB2312"/>
                <w:b/>
                <w:bCs/>
                <w:kern w:val="0"/>
                <w:szCs w:val="21"/>
              </w:rPr>
            </w:pPr>
            <w:r>
              <w:rPr>
                <w:rFonts w:eastAsia="仿宋_GB2312"/>
                <w:b/>
                <w:bCs/>
                <w:kern w:val="0"/>
                <w:szCs w:val="21"/>
              </w:rPr>
              <w:t>10</w:t>
            </w:r>
          </w:p>
        </w:tc>
        <w:tc>
          <w:tcPr>
            <w:tcW w:w="750" w:type="dxa"/>
            <w:shd w:val="clear" w:color="auto" w:fill="auto"/>
            <w:vAlign w:val="center"/>
          </w:tcPr>
          <w:p w14:paraId="7C0EC0DE">
            <w:pPr>
              <w:widowControl/>
              <w:spacing w:line="0" w:lineRule="atLeast"/>
              <w:jc w:val="center"/>
              <w:rPr>
                <w:rFonts w:eastAsia="仿宋_GB2312"/>
                <w:b/>
                <w:bCs/>
                <w:kern w:val="0"/>
                <w:szCs w:val="21"/>
              </w:rPr>
            </w:pPr>
            <w:r>
              <w:rPr>
                <w:rFonts w:eastAsia="仿宋_GB2312"/>
                <w:b/>
                <w:bCs/>
                <w:kern w:val="0"/>
                <w:szCs w:val="21"/>
              </w:rPr>
              <w:t>10</w:t>
            </w:r>
          </w:p>
        </w:tc>
      </w:tr>
      <w:tr w14:paraId="20AF11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1099" w:type="dxa"/>
            <w:vMerge w:val="restart"/>
            <w:shd w:val="clear" w:color="auto" w:fill="auto"/>
            <w:vAlign w:val="center"/>
          </w:tcPr>
          <w:p w14:paraId="369C8A33">
            <w:pPr>
              <w:widowControl/>
              <w:spacing w:line="0" w:lineRule="atLeast"/>
              <w:jc w:val="center"/>
              <w:rPr>
                <w:rFonts w:eastAsia="仿宋_GB2312"/>
                <w:kern w:val="0"/>
                <w:szCs w:val="21"/>
              </w:rPr>
            </w:pPr>
            <w:r>
              <w:rPr>
                <w:rFonts w:eastAsia="仿宋_GB2312"/>
                <w:kern w:val="0"/>
                <w:szCs w:val="21"/>
              </w:rPr>
              <w:t>效益　</w:t>
            </w:r>
          </w:p>
        </w:tc>
        <w:tc>
          <w:tcPr>
            <w:tcW w:w="1187" w:type="dxa"/>
            <w:vMerge w:val="restart"/>
            <w:shd w:val="clear" w:color="auto" w:fill="auto"/>
            <w:vAlign w:val="center"/>
          </w:tcPr>
          <w:p w14:paraId="750D61E6">
            <w:pPr>
              <w:widowControl/>
              <w:spacing w:line="0" w:lineRule="atLeast"/>
              <w:jc w:val="center"/>
              <w:rPr>
                <w:rFonts w:eastAsia="仿宋_GB2312"/>
                <w:kern w:val="0"/>
                <w:szCs w:val="21"/>
              </w:rPr>
            </w:pPr>
            <w:r>
              <w:rPr>
                <w:rFonts w:eastAsia="仿宋_GB2312"/>
                <w:kern w:val="0"/>
                <w:szCs w:val="21"/>
              </w:rPr>
              <w:t>项目效益　</w:t>
            </w:r>
          </w:p>
        </w:tc>
        <w:tc>
          <w:tcPr>
            <w:tcW w:w="1063" w:type="dxa"/>
            <w:shd w:val="clear" w:color="auto" w:fill="auto"/>
            <w:vAlign w:val="center"/>
          </w:tcPr>
          <w:p w14:paraId="3E0070DC">
            <w:pPr>
              <w:widowControl/>
              <w:spacing w:line="0" w:lineRule="atLeast"/>
              <w:jc w:val="center"/>
              <w:rPr>
                <w:rFonts w:eastAsia="仿宋_GB2312"/>
                <w:kern w:val="0"/>
                <w:szCs w:val="21"/>
              </w:rPr>
            </w:pPr>
            <w:r>
              <w:rPr>
                <w:rFonts w:eastAsia="仿宋_GB2312"/>
                <w:kern w:val="0"/>
                <w:szCs w:val="21"/>
              </w:rPr>
              <w:t>实施效益</w:t>
            </w:r>
          </w:p>
        </w:tc>
        <w:tc>
          <w:tcPr>
            <w:tcW w:w="2782" w:type="dxa"/>
            <w:shd w:val="clear" w:color="auto" w:fill="auto"/>
            <w:vAlign w:val="center"/>
          </w:tcPr>
          <w:p w14:paraId="54CCE979">
            <w:pPr>
              <w:widowControl/>
              <w:spacing w:line="0" w:lineRule="atLeast"/>
              <w:jc w:val="left"/>
              <w:rPr>
                <w:rFonts w:eastAsia="仿宋_GB2312"/>
                <w:kern w:val="0"/>
                <w:szCs w:val="21"/>
              </w:rPr>
            </w:pPr>
            <w:r>
              <w:rPr>
                <w:rFonts w:eastAsia="仿宋_GB2312"/>
                <w:kern w:val="0"/>
                <w:szCs w:val="21"/>
              </w:rPr>
              <w:t>项目实施所产生的效益。</w:t>
            </w:r>
          </w:p>
        </w:tc>
        <w:tc>
          <w:tcPr>
            <w:tcW w:w="6395" w:type="dxa"/>
            <w:shd w:val="clear" w:color="auto" w:fill="auto"/>
            <w:vAlign w:val="center"/>
          </w:tcPr>
          <w:p w14:paraId="27744A51">
            <w:pPr>
              <w:widowControl/>
              <w:spacing w:line="0" w:lineRule="atLeast"/>
              <w:rPr>
                <w:rFonts w:eastAsia="仿宋_GB2312"/>
                <w:kern w:val="0"/>
                <w:szCs w:val="21"/>
              </w:rPr>
            </w:pPr>
            <w:r>
              <w:rPr>
                <w:rFonts w:eastAsia="仿宋_GB2312"/>
                <w:kern w:val="0"/>
                <w:szCs w:val="21"/>
              </w:rPr>
              <w:t>项目实施所产生的社会效益、经济效益、生态效益、可持续影响等。可根据项目实际情况有选择地设置和细化。</w:t>
            </w:r>
          </w:p>
        </w:tc>
        <w:tc>
          <w:tcPr>
            <w:tcW w:w="805" w:type="dxa"/>
            <w:shd w:val="clear" w:color="auto" w:fill="auto"/>
            <w:vAlign w:val="center"/>
          </w:tcPr>
          <w:p w14:paraId="550EC63B">
            <w:pPr>
              <w:widowControl/>
              <w:spacing w:line="0" w:lineRule="atLeast"/>
              <w:jc w:val="center"/>
              <w:rPr>
                <w:rFonts w:eastAsia="仿宋_GB2312"/>
                <w:b/>
                <w:bCs/>
                <w:kern w:val="0"/>
                <w:szCs w:val="21"/>
              </w:rPr>
            </w:pPr>
            <w:r>
              <w:rPr>
                <w:rFonts w:eastAsia="仿宋_GB2312"/>
                <w:b/>
                <w:bCs/>
                <w:kern w:val="0"/>
                <w:szCs w:val="21"/>
              </w:rPr>
              <w:t>10</w:t>
            </w:r>
          </w:p>
        </w:tc>
        <w:tc>
          <w:tcPr>
            <w:tcW w:w="750" w:type="dxa"/>
            <w:shd w:val="clear" w:color="auto" w:fill="auto"/>
            <w:vAlign w:val="center"/>
          </w:tcPr>
          <w:p w14:paraId="24F4DCF5">
            <w:pPr>
              <w:widowControl/>
              <w:spacing w:line="0" w:lineRule="atLeast"/>
              <w:jc w:val="center"/>
              <w:rPr>
                <w:rFonts w:eastAsia="仿宋_GB2312"/>
                <w:b/>
                <w:bCs/>
                <w:kern w:val="0"/>
                <w:szCs w:val="21"/>
              </w:rPr>
            </w:pPr>
            <w:r>
              <w:rPr>
                <w:rFonts w:eastAsia="仿宋_GB2312"/>
                <w:b/>
                <w:bCs/>
                <w:kern w:val="0"/>
                <w:szCs w:val="21"/>
              </w:rPr>
              <w:t>10</w:t>
            </w:r>
          </w:p>
        </w:tc>
      </w:tr>
      <w:tr w14:paraId="5B1AE9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1099" w:type="dxa"/>
            <w:vMerge w:val="continue"/>
            <w:shd w:val="clear" w:color="auto" w:fill="auto"/>
            <w:vAlign w:val="center"/>
          </w:tcPr>
          <w:p w14:paraId="493CA1B1">
            <w:pPr>
              <w:widowControl/>
              <w:spacing w:line="0" w:lineRule="atLeast"/>
              <w:jc w:val="center"/>
              <w:rPr>
                <w:rFonts w:eastAsia="仿宋_GB2312"/>
                <w:kern w:val="0"/>
                <w:szCs w:val="21"/>
              </w:rPr>
            </w:pPr>
          </w:p>
        </w:tc>
        <w:tc>
          <w:tcPr>
            <w:tcW w:w="1187" w:type="dxa"/>
            <w:vMerge w:val="continue"/>
            <w:shd w:val="clear" w:color="auto" w:fill="auto"/>
            <w:vAlign w:val="center"/>
          </w:tcPr>
          <w:p w14:paraId="3B357D66">
            <w:pPr>
              <w:widowControl/>
              <w:spacing w:line="0" w:lineRule="atLeast"/>
              <w:jc w:val="center"/>
              <w:rPr>
                <w:rFonts w:eastAsia="仿宋_GB2312"/>
                <w:kern w:val="0"/>
                <w:szCs w:val="21"/>
              </w:rPr>
            </w:pPr>
          </w:p>
        </w:tc>
        <w:tc>
          <w:tcPr>
            <w:tcW w:w="1063" w:type="dxa"/>
            <w:shd w:val="clear" w:color="auto" w:fill="auto"/>
            <w:vAlign w:val="center"/>
          </w:tcPr>
          <w:p w14:paraId="7CC286EC">
            <w:pPr>
              <w:widowControl/>
              <w:spacing w:line="0" w:lineRule="atLeast"/>
              <w:jc w:val="center"/>
              <w:rPr>
                <w:rFonts w:eastAsia="仿宋_GB2312"/>
                <w:kern w:val="0"/>
                <w:szCs w:val="21"/>
              </w:rPr>
            </w:pPr>
            <w:r>
              <w:rPr>
                <w:rFonts w:eastAsia="仿宋_GB2312"/>
                <w:kern w:val="0"/>
                <w:szCs w:val="21"/>
              </w:rPr>
              <w:t>满意度</w:t>
            </w:r>
          </w:p>
        </w:tc>
        <w:tc>
          <w:tcPr>
            <w:tcW w:w="2782" w:type="dxa"/>
            <w:shd w:val="clear" w:color="auto" w:fill="auto"/>
            <w:vAlign w:val="center"/>
          </w:tcPr>
          <w:p w14:paraId="3278FD19">
            <w:pPr>
              <w:widowControl/>
              <w:spacing w:line="0" w:lineRule="atLeast"/>
              <w:rPr>
                <w:rFonts w:eastAsia="仿宋_GB2312"/>
                <w:kern w:val="0"/>
                <w:szCs w:val="21"/>
              </w:rPr>
            </w:pPr>
            <w:r>
              <w:rPr>
                <w:rFonts w:eastAsia="仿宋_GB2312"/>
                <w:kern w:val="0"/>
                <w:szCs w:val="21"/>
              </w:rPr>
              <w:t>社会公众或服务对象对项目实施效果的满意程度。</w:t>
            </w:r>
          </w:p>
        </w:tc>
        <w:tc>
          <w:tcPr>
            <w:tcW w:w="6395" w:type="dxa"/>
            <w:shd w:val="clear" w:color="auto" w:fill="auto"/>
            <w:vAlign w:val="center"/>
          </w:tcPr>
          <w:p w14:paraId="70DC6E24">
            <w:pPr>
              <w:widowControl/>
              <w:spacing w:line="0" w:lineRule="atLeast"/>
              <w:rPr>
                <w:rFonts w:eastAsia="仿宋_GB2312"/>
                <w:kern w:val="0"/>
                <w:szCs w:val="21"/>
              </w:rPr>
            </w:pPr>
            <w:r>
              <w:rPr>
                <w:rFonts w:eastAsia="仿宋_GB2312"/>
                <w:kern w:val="0"/>
                <w:szCs w:val="21"/>
              </w:rPr>
              <w:t>社会公众或服务对象是指因该项目实施而受到影响的部门（单位）、群体或个人。一般采取社会调查的方式。</w:t>
            </w:r>
          </w:p>
        </w:tc>
        <w:tc>
          <w:tcPr>
            <w:tcW w:w="805" w:type="dxa"/>
            <w:shd w:val="clear" w:color="auto" w:fill="auto"/>
            <w:vAlign w:val="center"/>
          </w:tcPr>
          <w:p w14:paraId="0BB62B20">
            <w:pPr>
              <w:widowControl/>
              <w:spacing w:line="0" w:lineRule="atLeast"/>
              <w:jc w:val="center"/>
              <w:rPr>
                <w:rFonts w:eastAsia="仿宋_GB2312"/>
                <w:b/>
                <w:bCs/>
                <w:kern w:val="0"/>
                <w:szCs w:val="21"/>
              </w:rPr>
            </w:pPr>
            <w:r>
              <w:rPr>
                <w:rFonts w:eastAsia="仿宋_GB2312"/>
                <w:b/>
                <w:bCs/>
                <w:kern w:val="0"/>
                <w:szCs w:val="21"/>
              </w:rPr>
              <w:t>10</w:t>
            </w:r>
          </w:p>
        </w:tc>
        <w:tc>
          <w:tcPr>
            <w:tcW w:w="750" w:type="dxa"/>
            <w:shd w:val="clear" w:color="auto" w:fill="auto"/>
            <w:vAlign w:val="center"/>
          </w:tcPr>
          <w:p w14:paraId="059A599B">
            <w:pPr>
              <w:widowControl/>
              <w:spacing w:line="0" w:lineRule="atLeast"/>
              <w:jc w:val="center"/>
              <w:rPr>
                <w:rFonts w:eastAsia="仿宋_GB2312"/>
                <w:b/>
                <w:bCs/>
                <w:kern w:val="0"/>
                <w:szCs w:val="21"/>
              </w:rPr>
            </w:pPr>
            <w:r>
              <w:rPr>
                <w:rFonts w:eastAsia="仿宋_GB2312"/>
                <w:b/>
                <w:bCs/>
                <w:kern w:val="0"/>
                <w:szCs w:val="21"/>
              </w:rPr>
              <w:t>10</w:t>
            </w:r>
          </w:p>
        </w:tc>
      </w:tr>
    </w:tbl>
    <w:p w14:paraId="0BD0C406">
      <w:pPr>
        <w:pStyle w:val="2"/>
        <w:rPr>
          <w:rFonts w:ascii="Times New Roman" w:hAnsi="Times New Roman"/>
        </w:rPr>
      </w:pPr>
    </w:p>
    <w:sectPr>
      <w:pgSz w:w="16838" w:h="11906" w:orient="landscape"/>
      <w:pgMar w:top="1134" w:right="1417" w:bottom="1134" w:left="1417"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审核人" w:date="2023-03-08T10:38:00Z" w:initials="">
    <w:p w14:paraId="763DAD86">
      <w:pPr>
        <w:pStyle w:val="3"/>
        <w:rPr>
          <w:b/>
          <w:bCs/>
          <w:color w:val="FF0000"/>
        </w:rPr>
      </w:pPr>
      <w:r>
        <w:rPr>
          <w:rFonts w:hint="eastAsia"/>
          <w:b/>
          <w:bCs/>
          <w:color w:val="FF0000"/>
        </w:rPr>
        <w:t>注意：此部分的分值产出、效益相加不得低于</w:t>
      </w:r>
      <w:r>
        <w:rPr>
          <w:b/>
          <w:bCs/>
          <w:color w:val="FF0000"/>
        </w:rPr>
        <w:t>60</w:t>
      </w:r>
      <w:r>
        <w:rPr>
          <w:rFonts w:hint="eastAsia"/>
          <w:b/>
          <w:bCs/>
          <w:color w:val="FF0000"/>
        </w:rPr>
        <w:t>分，并与表</w:t>
      </w:r>
      <w:r>
        <w:rPr>
          <w:b/>
          <w:bCs/>
          <w:color w:val="FF0000"/>
        </w:rPr>
        <w:t>1</w:t>
      </w:r>
      <w:r>
        <w:rPr>
          <w:rFonts w:hint="eastAsia"/>
          <w:b/>
          <w:bCs/>
          <w:color w:val="FF0000"/>
        </w:rPr>
        <w:t>综合评分表及附件</w:t>
      </w:r>
      <w:r>
        <w:rPr>
          <w:b/>
          <w:bCs/>
          <w:color w:val="FF0000"/>
        </w:rPr>
        <w:t>1</w:t>
      </w:r>
      <w:r>
        <w:rPr>
          <w:rFonts w:hint="eastAsia"/>
          <w:b/>
          <w:bCs/>
          <w:color w:val="FF0000"/>
        </w:rPr>
        <w:t>的分值保持一致</w:t>
      </w:r>
      <w:r>
        <w:rPr>
          <w:b/>
          <w:bCs/>
          <w:color w:val="FF0000"/>
        </w:rPr>
        <w:t>.</w:t>
      </w:r>
    </w:p>
  </w:comment>
  <w:comment w:id="1" w:author="审核人" w:date="2023-03-08T12:41:00Z" w:initials="">
    <w:p w14:paraId="1B016F6F">
      <w:pPr>
        <w:pStyle w:val="3"/>
        <w:rPr>
          <w:b/>
          <w:bCs/>
          <w:color w:val="FF0000"/>
        </w:rPr>
      </w:pPr>
      <w:r>
        <w:rPr>
          <w:rFonts w:hint="eastAsia"/>
          <w:b/>
          <w:bCs/>
          <w:color w:val="FF0000"/>
        </w:rPr>
        <w:t>结合单位实际情况填写项目实际使用到的标准。</w:t>
      </w:r>
    </w:p>
  </w:comment>
  <w:comment w:id="2" w:author="  " w:date="2023-03-15T13:47:00Z" w:initials="">
    <w:p w14:paraId="1B1D539E">
      <w:pPr>
        <w:pStyle w:val="3"/>
      </w:pPr>
      <w:r>
        <w:rPr>
          <w:rFonts w:hint="eastAsia"/>
          <w:b/>
          <w:bCs/>
          <w:color w:val="FF0000"/>
        </w:rPr>
        <w:t>得分率</w:t>
      </w:r>
      <w:r>
        <w:rPr>
          <w:b/>
          <w:bCs/>
          <w:color w:val="FF0000"/>
        </w:rPr>
        <w:t>=</w:t>
      </w:r>
      <w:r>
        <w:rPr>
          <w:rFonts w:hint="eastAsia"/>
          <w:b/>
          <w:bCs/>
          <w:color w:val="FF0000"/>
        </w:rPr>
        <w:t>（得分</w:t>
      </w:r>
      <w:r>
        <w:rPr>
          <w:b/>
          <w:bCs/>
          <w:color w:val="FF0000"/>
        </w:rPr>
        <w:t>/</w:t>
      </w:r>
      <w:r>
        <w:rPr>
          <w:rFonts w:hint="eastAsia"/>
          <w:b/>
          <w:bCs/>
          <w:color w:val="FF0000"/>
        </w:rPr>
        <w:t>权重）</w:t>
      </w:r>
      <w:r>
        <w:rPr>
          <w:b/>
          <w:bCs/>
          <w:color w:val="FF0000"/>
        </w:rPr>
        <w:t xml:space="preserve">*100% </w:t>
      </w:r>
      <w:r>
        <w:rPr>
          <w:rFonts w:hint="eastAsia"/>
          <w:b/>
          <w:bCs/>
          <w:color w:val="FF0000"/>
        </w:rPr>
        <w:t>（与表</w:t>
      </w:r>
      <w:r>
        <w:rPr>
          <w:b/>
          <w:bCs/>
          <w:color w:val="FF0000"/>
        </w:rPr>
        <w:t xml:space="preserve">1 </w:t>
      </w:r>
      <w:r>
        <w:rPr>
          <w:rFonts w:hint="eastAsia"/>
          <w:b/>
          <w:bCs/>
          <w:color w:val="FF0000"/>
        </w:rPr>
        <w:t>综合评分表及附件</w:t>
      </w:r>
      <w:r>
        <w:rPr>
          <w:b/>
          <w:bCs/>
          <w:color w:val="FF0000"/>
        </w:rPr>
        <w:t>1</w:t>
      </w:r>
      <w:r>
        <w:rPr>
          <w:rFonts w:hint="eastAsia"/>
          <w:b/>
          <w:bCs/>
          <w:color w:val="FF0000"/>
        </w:rPr>
        <w:t>中的数据保持一致）</w:t>
      </w:r>
    </w:p>
  </w:comment>
  <w:comment w:id="3" w:author="  " w:date="2023-03-15T13:59:00Z" w:initials="">
    <w:p w14:paraId="370BE37D">
      <w:pPr>
        <w:pStyle w:val="3"/>
      </w:pPr>
      <w:r>
        <w:rPr>
          <w:rFonts w:hint="eastAsia"/>
          <w:b/>
          <w:bCs/>
          <w:color w:val="FF0000"/>
        </w:rPr>
        <w:t>根据单位实际情况，进行选择保留</w:t>
      </w:r>
    </w:p>
  </w:comment>
  <w:comment w:id="4" w:author="审核人" w:date="2023-03-08T11:48:00Z" w:initials="">
    <w:p w14:paraId="55BC0D9D">
      <w:pPr>
        <w:pStyle w:val="3"/>
        <w:rPr>
          <w:b/>
          <w:bCs/>
          <w:color w:val="FF0000"/>
        </w:rPr>
      </w:pPr>
      <w:r>
        <w:rPr>
          <w:rFonts w:hint="eastAsia"/>
          <w:b/>
          <w:bCs/>
          <w:color w:val="FF0000"/>
        </w:rPr>
        <w:t>注意要点：</w:t>
      </w:r>
    </w:p>
    <w:p w14:paraId="101E5518">
      <w:pPr>
        <w:pStyle w:val="3"/>
        <w:numPr>
          <w:ilvl w:val="0"/>
          <w:numId w:val="1"/>
        </w:numPr>
        <w:rPr>
          <w:b/>
          <w:bCs/>
          <w:color w:val="FF0000"/>
        </w:rPr>
      </w:pPr>
      <w:r>
        <w:rPr>
          <w:rFonts w:hint="eastAsia"/>
          <w:b/>
          <w:bCs/>
          <w:color w:val="FF0000"/>
        </w:rPr>
        <w:t>此部分结合此项目自评表中的各项指标进行文字化描述。</w:t>
      </w:r>
    </w:p>
    <w:p w14:paraId="4E0567DF">
      <w:pPr>
        <w:pStyle w:val="3"/>
        <w:numPr>
          <w:ilvl w:val="0"/>
          <w:numId w:val="1"/>
        </w:numPr>
        <w:rPr>
          <w:b/>
          <w:bCs/>
          <w:color w:val="FF0000"/>
        </w:rPr>
      </w:pPr>
      <w:r>
        <w:rPr>
          <w:rFonts w:hint="eastAsia"/>
          <w:b/>
          <w:bCs/>
          <w:color w:val="FF0000"/>
        </w:rPr>
        <w:t>指标未完成或者超额完成20%,（含</w:t>
      </w:r>
      <w:r>
        <w:rPr>
          <w:b/>
          <w:bCs/>
          <w:color w:val="FF0000"/>
        </w:rPr>
        <w:t>20%</w:t>
      </w:r>
      <w:r>
        <w:rPr>
          <w:rFonts w:hint="eastAsia"/>
          <w:b/>
          <w:bCs/>
          <w:color w:val="FF0000"/>
        </w:rPr>
        <w:t>）需要在相应指标后写偏差原因。</w:t>
      </w:r>
    </w:p>
  </w:comment>
  <w:comment w:id="5" w:author="审核人" w:date="2023-03-08T12:18:00Z" w:initials="">
    <w:p w14:paraId="33519E48">
      <w:pPr>
        <w:pStyle w:val="3"/>
        <w:rPr>
          <w:b/>
          <w:bCs/>
          <w:color w:val="FF0000"/>
        </w:rPr>
      </w:pPr>
      <w:r>
        <w:rPr>
          <w:rFonts w:hint="eastAsia"/>
          <w:b/>
          <w:bCs/>
          <w:color w:val="FF0000"/>
        </w:rPr>
        <w:t>与表</w:t>
      </w:r>
      <w:r>
        <w:rPr>
          <w:b/>
          <w:bCs/>
          <w:color w:val="FF0000"/>
        </w:rPr>
        <w:t xml:space="preserve">1 </w:t>
      </w:r>
      <w:r>
        <w:rPr>
          <w:rFonts w:hint="eastAsia"/>
          <w:b/>
          <w:bCs/>
          <w:color w:val="FF0000"/>
        </w:rPr>
        <w:t>综合评分表的数据保持一致。</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763DAD86" w15:done="0"/>
  <w15:commentEx w15:paraId="1B016F6F" w15:done="0"/>
  <w15:commentEx w15:paraId="1B1D539E" w15:done="0"/>
  <w15:commentEx w15:paraId="370BE37D" w15:done="0"/>
  <w15:commentEx w15:paraId="4E0567DF" w15:done="0"/>
  <w15:commentEx w15:paraId="33519E4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397149"/>
    </w:sdtPr>
    <w:sdtContent>
      <w:p w14:paraId="0FED7FD4">
        <w:pPr>
          <w:pStyle w:val="7"/>
          <w:jc w:val="cente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PAGE   \* MERGEFORMAT</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lang w:val="zh-CN"/>
          </w:rPr>
          <w:t>19</w:t>
        </w:r>
        <w:r>
          <w:rPr>
            <w:rFonts w:hint="eastAsia" w:ascii="仿宋_GB2312" w:hAnsi="仿宋_GB2312" w:eastAsia="仿宋_GB2312" w:cs="仿宋_GB2312"/>
            <w:sz w:val="28"/>
            <w:szCs w:val="28"/>
          </w:rPr>
          <w:fldChar w:fldCharType="end"/>
        </w:r>
      </w:p>
    </w:sdtContent>
  </w:sdt>
  <w:p w14:paraId="1A9A1260">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FDFF5F47"/>
    <w:multiLevelType w:val="singleLevel"/>
    <w:tmpl w:val="FDFF5F47"/>
    <w:lvl w:ilvl="0" w:tentative="0">
      <w:start w:val="1"/>
      <w:numFmt w:val="decimal"/>
      <w:lvlText w:val="%1."/>
      <w:lvlJc w:val="left"/>
      <w:pPr>
        <w:tabs>
          <w:tab w:val="left" w:pos="312"/>
        </w:tabs>
      </w:p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 w:numId="5">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审核人">
    <w15:presenceInfo w15:providerId="None" w15:userId="审核人"/>
  </w15:person>
  <w15:person w15:author="  ">
    <w15:presenceInfo w15:providerId="WPS Office" w15:userId="39014007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revisionView w:markup="0"/>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mZmNmVlYjFlZGZmY2EwZDY2ODFiNjY3NjBlMWJmMTEifQ=="/>
  </w:docVars>
  <w:rsids>
    <w:rsidRoot w:val="FF6C4049"/>
    <w:rsid w:val="000417EF"/>
    <w:rsid w:val="001B1C84"/>
    <w:rsid w:val="00400527"/>
    <w:rsid w:val="00593900"/>
    <w:rsid w:val="00655070"/>
    <w:rsid w:val="006F7242"/>
    <w:rsid w:val="007B168A"/>
    <w:rsid w:val="007E6283"/>
    <w:rsid w:val="00851D0D"/>
    <w:rsid w:val="008B2CFE"/>
    <w:rsid w:val="00A61CF1"/>
    <w:rsid w:val="00AD3B4B"/>
    <w:rsid w:val="00D41EF9"/>
    <w:rsid w:val="00D57549"/>
    <w:rsid w:val="00EA7FC6"/>
    <w:rsid w:val="00EE049B"/>
    <w:rsid w:val="00F26FF6"/>
    <w:rsid w:val="00FE6C56"/>
    <w:rsid w:val="02495A44"/>
    <w:rsid w:val="031370CF"/>
    <w:rsid w:val="05FF4691"/>
    <w:rsid w:val="07397B77"/>
    <w:rsid w:val="0ECF491D"/>
    <w:rsid w:val="13471461"/>
    <w:rsid w:val="13B90F01"/>
    <w:rsid w:val="181066D2"/>
    <w:rsid w:val="184779C8"/>
    <w:rsid w:val="1C671E73"/>
    <w:rsid w:val="1DBF10A0"/>
    <w:rsid w:val="1E69327B"/>
    <w:rsid w:val="21037F00"/>
    <w:rsid w:val="22D12F02"/>
    <w:rsid w:val="29CA4159"/>
    <w:rsid w:val="36F25777"/>
    <w:rsid w:val="38CA40DD"/>
    <w:rsid w:val="395F2B56"/>
    <w:rsid w:val="3B323380"/>
    <w:rsid w:val="3B4373E9"/>
    <w:rsid w:val="3BECE841"/>
    <w:rsid w:val="3C553E04"/>
    <w:rsid w:val="3FF7797D"/>
    <w:rsid w:val="400F607E"/>
    <w:rsid w:val="489906CD"/>
    <w:rsid w:val="4DF94F37"/>
    <w:rsid w:val="52E5013A"/>
    <w:rsid w:val="568A401A"/>
    <w:rsid w:val="59143FC6"/>
    <w:rsid w:val="5AB12F14"/>
    <w:rsid w:val="5BFF6039"/>
    <w:rsid w:val="5D76A616"/>
    <w:rsid w:val="5D7F20B9"/>
    <w:rsid w:val="5DAC7D0E"/>
    <w:rsid w:val="5ED86E62"/>
    <w:rsid w:val="5F98B5AF"/>
    <w:rsid w:val="5FFE8511"/>
    <w:rsid w:val="5FFEACE2"/>
    <w:rsid w:val="643EE26D"/>
    <w:rsid w:val="6B2571EA"/>
    <w:rsid w:val="6F5C41AC"/>
    <w:rsid w:val="6FAF6C78"/>
    <w:rsid w:val="72D433DC"/>
    <w:rsid w:val="7317C656"/>
    <w:rsid w:val="734ED73F"/>
    <w:rsid w:val="77FD8BE9"/>
    <w:rsid w:val="79A9BD3F"/>
    <w:rsid w:val="7BFFFDD0"/>
    <w:rsid w:val="7C336E5F"/>
    <w:rsid w:val="7D7A5F86"/>
    <w:rsid w:val="7E4936D1"/>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1"/>
    <w:autoRedefine/>
    <w:qFormat/>
    <w:uiPriority w:val="0"/>
    <w:pPr>
      <w:jc w:val="left"/>
    </w:pPr>
  </w:style>
  <w:style w:type="paragraph" w:styleId="4">
    <w:name w:val="Body Text"/>
    <w:basedOn w:val="1"/>
    <w:autoRedefine/>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19"/>
    <w:autoRedefine/>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annotation subject"/>
    <w:basedOn w:val="3"/>
    <w:next w:val="3"/>
    <w:link w:val="22"/>
    <w:autoRedefine/>
    <w:qFormat/>
    <w:uiPriority w:val="0"/>
    <w:rPr>
      <w:b/>
      <w:bCs/>
    </w:rPr>
  </w:style>
  <w:style w:type="paragraph" w:styleId="11">
    <w:name w:val="Body Text First Indent"/>
    <w:basedOn w:val="4"/>
    <w:qFormat/>
    <w:uiPriority w:val="0"/>
    <w:pPr>
      <w:spacing w:after="0"/>
      <w:ind w:firstLine="200" w:firstLineChars="200"/>
    </w:pPr>
  </w:style>
  <w:style w:type="paragraph" w:styleId="12">
    <w:name w:val="Body Text First Indent 2"/>
    <w:basedOn w:val="5"/>
    <w:autoRedefine/>
    <w:qFormat/>
    <w:uiPriority w:val="0"/>
    <w:pPr>
      <w:ind w:firstLine="420" w:firstLineChars="200"/>
    </w:pPr>
  </w:style>
  <w:style w:type="character" w:styleId="15">
    <w:name w:val="Strong"/>
    <w:basedOn w:val="14"/>
    <w:qFormat/>
    <w:uiPriority w:val="0"/>
    <w:rPr>
      <w:b/>
      <w:bCs/>
    </w:rPr>
  </w:style>
  <w:style w:type="character" w:styleId="16">
    <w:name w:val="annotation reference"/>
    <w:basedOn w:val="14"/>
    <w:autoRedefine/>
    <w:qFormat/>
    <w:uiPriority w:val="0"/>
    <w:rPr>
      <w:sz w:val="21"/>
      <w:szCs w:val="21"/>
    </w:rPr>
  </w:style>
  <w:style w:type="character" w:customStyle="1" w:styleId="17">
    <w:name w:val="fontstyle01"/>
    <w:autoRedefine/>
    <w:qFormat/>
    <w:uiPriority w:val="0"/>
    <w:rPr>
      <w:rFonts w:ascii="仿宋_GB2312" w:hAnsi="仿宋_GB2312" w:eastAsia="仿宋_GB2312" w:cs="仿宋_GB2312"/>
      <w:color w:val="000000"/>
      <w:sz w:val="32"/>
      <w:szCs w:val="32"/>
    </w:rPr>
  </w:style>
  <w:style w:type="paragraph" w:customStyle="1" w:styleId="18">
    <w:name w:val="闻政-正文段落文字"/>
    <w:basedOn w:val="1"/>
    <w:autoRedefine/>
    <w:qFormat/>
    <w:uiPriority w:val="3"/>
    <w:pPr>
      <w:spacing w:line="500" w:lineRule="exact"/>
      <w:ind w:firstLine="200"/>
    </w:pPr>
    <w:rPr>
      <w:kern w:val="0"/>
      <w:szCs w:val="28"/>
    </w:rPr>
  </w:style>
  <w:style w:type="character" w:customStyle="1" w:styleId="19">
    <w:name w:val="批注框文本 Char"/>
    <w:basedOn w:val="14"/>
    <w:link w:val="6"/>
    <w:autoRedefine/>
    <w:qFormat/>
    <w:uiPriority w:val="0"/>
    <w:rPr>
      <w:rFonts w:ascii="Times New Roman" w:hAnsi="Times New Roman" w:eastAsia="宋体" w:cs="Times New Roman"/>
      <w:kern w:val="2"/>
      <w:sz w:val="18"/>
      <w:szCs w:val="18"/>
    </w:rPr>
  </w:style>
  <w:style w:type="character" w:customStyle="1" w:styleId="20">
    <w:name w:val="页眉 Char"/>
    <w:basedOn w:val="14"/>
    <w:link w:val="8"/>
    <w:autoRedefine/>
    <w:qFormat/>
    <w:uiPriority w:val="0"/>
    <w:rPr>
      <w:rFonts w:ascii="Times New Roman" w:hAnsi="Times New Roman" w:eastAsia="宋体" w:cs="Times New Roman"/>
      <w:kern w:val="2"/>
      <w:sz w:val="18"/>
      <w:szCs w:val="18"/>
    </w:rPr>
  </w:style>
  <w:style w:type="character" w:customStyle="1" w:styleId="21">
    <w:name w:val="批注文字 Char"/>
    <w:basedOn w:val="14"/>
    <w:link w:val="3"/>
    <w:autoRedefine/>
    <w:qFormat/>
    <w:uiPriority w:val="0"/>
    <w:rPr>
      <w:rFonts w:ascii="Times New Roman" w:hAnsi="Times New Roman" w:eastAsia="宋体" w:cs="Times New Roman"/>
      <w:kern w:val="2"/>
      <w:sz w:val="21"/>
      <w:szCs w:val="24"/>
    </w:rPr>
  </w:style>
  <w:style w:type="character" w:customStyle="1" w:styleId="22">
    <w:name w:val="批注主题 Char"/>
    <w:basedOn w:val="21"/>
    <w:link w:val="10"/>
    <w:autoRedefine/>
    <w:qFormat/>
    <w:uiPriority w:val="0"/>
    <w:rPr>
      <w:rFonts w:ascii="Times New Roman" w:hAnsi="Times New Roman" w:eastAsia="宋体" w:cs="Times New Roman"/>
      <w:b/>
      <w:bCs/>
      <w:kern w:val="2"/>
      <w:sz w:val="21"/>
      <w:szCs w:val="24"/>
    </w:rPr>
  </w:style>
  <w:style w:type="paragraph" w:styleId="23">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21</Pages>
  <Words>10325</Words>
  <Characters>10802</Characters>
  <Lines>11</Lines>
  <Paragraphs>23</Paragraphs>
  <TotalTime>74</TotalTime>
  <ScaleCrop>false</ScaleCrop>
  <LinksUpToDate>false</LinksUpToDate>
  <CharactersWithSpaces>10852</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2024-04-08T09:18:00Z</dcterms:created>
  <dc:creator>审核人</dc:creator>
  <cp:lastModifiedBy>梦缘花雨</cp:lastModifiedBy>
  <dcterms:modified xsi:type="dcterms:W3CDTF">2024-08-27T02:48:13Z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FAE467B1A7914C35B49417E2F06A5A21_13</vt:lpwstr>
  </property>
</Properties>
</file>