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中共新疆维吾尔自治区委员会政法委员会</w:t>
      </w: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pPr>
        <w:keepNext w:val="0"/>
        <w:keepLines w:val="0"/>
        <w:pageBreakBefore w:val="0"/>
        <w:kinsoku/>
        <w:wordWrap/>
        <w:overflowPunct/>
        <w:topLinePunct w:val="0"/>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部门</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bidi w:val="0"/>
        <w:adjustRightInd/>
        <w:snapToGrid/>
        <w:spacing w:line="600" w:lineRule="exact"/>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部门</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color w:val="000000"/>
          <w:sz w:val="32"/>
          <w:szCs w:val="32"/>
          <w:lang w:val="en-US" w:eastAsia="zh-CN"/>
        </w:rPr>
      </w:pPr>
      <w:bookmarkStart w:id="4" w:name="_Toc31238"/>
      <w:bookmarkStart w:id="5" w:name="_Toc2151"/>
      <w:r>
        <w:rPr>
          <w:rFonts w:hint="default" w:ascii="Times New Roman" w:hAnsi="Times New Roman" w:eastAsia="方正仿宋简体" w:cs="Times New Roman"/>
          <w:color w:val="000000"/>
          <w:sz w:val="32"/>
          <w:szCs w:val="32"/>
          <w:lang w:eastAsia="zh-CN"/>
        </w:rPr>
        <w:t>在自治区党委统一领导和中央政法委指导下，深入贯彻习近平新时代中国特色社会主义思想，坚持党对政法工作的绝对领导，深入贯彻党中央关于政法工作的决策部署和自治区党委工作要求，加强对政法领域重大实践和理论制度调查研究，了解掌握和分析研判社会稳定形势，政法舆情情况动态，协调做好政法领域调查研究、重大宣传工作，对全区政法工作研究提出全局深化改革，加强过硬队伍建设，深化智能化建设，加强对政法工作的督查，维护国家政治安全，确保社会大局稳定，促进社会公平正义，保障人民安居乐业。</w:t>
      </w:r>
      <w:r>
        <w:rPr>
          <w:rFonts w:hint="default" w:ascii="Times New Roman" w:hAnsi="Times New Roman" w:eastAsia="方正仿宋简体" w:cs="Times New Roman"/>
          <w:color w:val="00000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b/>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中共新疆维吾尔自治区委员会政法委员</w:t>
      </w:r>
      <w:r>
        <w:rPr>
          <w:rFonts w:hint="eastAsia" w:eastAsia="方正仿宋简体" w:cs="Times New Roman"/>
          <w:color w:val="auto"/>
          <w:sz w:val="32"/>
          <w:szCs w:val="32"/>
          <w:highlight w:val="none"/>
          <w:lang w:val="en-US" w:eastAsia="zh-CN"/>
        </w:rPr>
        <w:t>会</w:t>
      </w:r>
      <w:r>
        <w:rPr>
          <w:rFonts w:hint="default" w:ascii="Times New Roman" w:hAnsi="Times New Roman" w:eastAsia="方正仿宋简体" w:cs="Times New Roman"/>
          <w:color w:val="auto"/>
          <w:sz w:val="32"/>
          <w:szCs w:val="32"/>
          <w:highlight w:val="none"/>
          <w:lang w:eastAsia="zh-CN"/>
        </w:rPr>
        <w:t>2023年度</w:t>
      </w:r>
      <w:r>
        <w:rPr>
          <w:rFonts w:hint="eastAsia" w:eastAsia="方正仿宋简体" w:cs="Times New Roman"/>
          <w:color w:val="auto"/>
          <w:sz w:val="32"/>
          <w:szCs w:val="32"/>
          <w:highlight w:val="none"/>
          <w:lang w:val="en-US" w:eastAsia="zh-CN"/>
        </w:rPr>
        <w:t>部门</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实有人数</w:t>
      </w:r>
      <w:r>
        <w:rPr>
          <w:rFonts w:hint="default" w:ascii="Times New Roman" w:hAnsi="Times New Roman" w:eastAsia="方正仿宋简体" w:cs="Times New Roman"/>
          <w:sz w:val="32"/>
          <w:szCs w:val="32"/>
          <w:highlight w:val="none"/>
          <w:lang w:val="en-US" w:eastAsia="zh-CN"/>
        </w:rPr>
        <w:t>182</w:t>
      </w:r>
      <w:r>
        <w:rPr>
          <w:rFonts w:hint="default" w:ascii="Times New Roman" w:hAnsi="Times New Roman" w:eastAsia="方正仿宋简体" w:cs="Times New Roman"/>
          <w:color w:val="auto"/>
          <w:sz w:val="32"/>
          <w:szCs w:val="32"/>
          <w:highlight w:val="none"/>
        </w:rPr>
        <w:t>人，其中：在职人员</w:t>
      </w:r>
      <w:r>
        <w:rPr>
          <w:rFonts w:hint="default" w:ascii="Times New Roman" w:hAnsi="Times New Roman" w:eastAsia="方正仿宋简体" w:cs="Times New Roman"/>
          <w:sz w:val="32"/>
          <w:szCs w:val="32"/>
          <w:highlight w:val="none"/>
          <w:lang w:val="en-US" w:eastAsia="zh-CN"/>
        </w:rPr>
        <w:t>122</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离休人员</w:t>
      </w:r>
      <w:r>
        <w:rPr>
          <w:rFonts w:hint="default" w:ascii="Times New Roman" w:hAnsi="Times New Roman" w:eastAsia="方正仿宋简体" w:cs="Times New Roman"/>
          <w:color w:val="auto"/>
          <w:sz w:val="32"/>
          <w:szCs w:val="32"/>
          <w:highlight w:val="none"/>
          <w:lang w:val="zh-CN" w:eastAsia="zh-CN"/>
        </w:rPr>
        <w:t>0</w:t>
      </w:r>
      <w:r>
        <w:rPr>
          <w:rFonts w:hint="default" w:ascii="Times New Roman" w:hAnsi="Times New Roman" w:eastAsia="方正仿宋简体" w:cs="Times New Roman"/>
          <w:color w:val="auto"/>
          <w:sz w:val="32"/>
          <w:szCs w:val="32"/>
          <w:highlight w:val="none"/>
        </w:rPr>
        <w:t>人，退休人员</w:t>
      </w:r>
      <w:r>
        <w:rPr>
          <w:rFonts w:hint="default" w:ascii="Times New Roman" w:hAnsi="Times New Roman" w:eastAsia="方正仿宋简体" w:cs="Times New Roman"/>
          <w:color w:val="auto"/>
          <w:sz w:val="32"/>
          <w:szCs w:val="32"/>
          <w:highlight w:val="none"/>
          <w:lang w:val="zh-CN" w:eastAsia="zh-CN"/>
        </w:rPr>
        <w:t>60</w:t>
      </w:r>
      <w:r>
        <w:rPr>
          <w:rFonts w:hint="default" w:ascii="Times New Roman" w:hAnsi="Times New Roman" w:eastAsia="方正仿宋简体"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从</w:t>
      </w:r>
      <w:r>
        <w:rPr>
          <w:rFonts w:hint="default" w:ascii="Times New Roman" w:hAnsi="Times New Roman" w:eastAsia="方正仿宋简体" w:cs="Times New Roman"/>
          <w:color w:val="auto"/>
          <w:sz w:val="32"/>
          <w:szCs w:val="32"/>
          <w:highlight w:val="none"/>
          <w:lang w:eastAsia="zh-CN"/>
        </w:rPr>
        <w:t>部门</w:t>
      </w:r>
      <w:r>
        <w:rPr>
          <w:rFonts w:hint="default" w:ascii="Times New Roman" w:hAnsi="Times New Roman" w:eastAsia="方正仿宋简体" w:cs="Times New Roman"/>
          <w:color w:val="auto"/>
          <w:sz w:val="32"/>
          <w:szCs w:val="32"/>
          <w:highlight w:val="none"/>
        </w:rPr>
        <w:t>决算单位构成看，</w:t>
      </w: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color w:val="auto"/>
          <w:sz w:val="32"/>
          <w:szCs w:val="32"/>
          <w:highlight w:val="none"/>
        </w:rPr>
        <w:t>部门决算包括：</w:t>
      </w: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color w:val="auto"/>
          <w:sz w:val="32"/>
          <w:szCs w:val="32"/>
          <w:highlight w:val="none"/>
        </w:rPr>
        <w:t>本级决算</w:t>
      </w:r>
      <w:r>
        <w:rPr>
          <w:rFonts w:hint="default" w:ascii="Times New Roman" w:hAnsi="Times New Roman" w:eastAsia="方正仿宋简体" w:cs="Times New Roman"/>
          <w:color w:val="auto"/>
          <w:sz w:val="32"/>
          <w:szCs w:val="32"/>
          <w:highlight w:val="none"/>
          <w:lang w:eastAsia="zh-CN"/>
        </w:rPr>
        <w:t>及</w:t>
      </w:r>
      <w:r>
        <w:rPr>
          <w:rFonts w:hint="default" w:ascii="Times New Roman" w:hAnsi="Times New Roman" w:eastAsia="方正仿宋简体" w:cs="Times New Roman"/>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rPr>
        <w:sectPr>
          <w:footerReference r:id="rId3" w:type="default"/>
          <w:pgSz w:w="11906" w:h="16838"/>
          <w:pgMar w:top="2098" w:right="1531" w:bottom="2098" w:left="1531" w:header="851" w:footer="992" w:gutter="0"/>
          <w:cols w:space="720" w:num="1"/>
          <w:docGrid w:type="lines" w:linePitch="312" w:charSpace="0"/>
        </w:sectPr>
      </w:pP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color w:val="auto"/>
          <w:kern w:val="0"/>
          <w:sz w:val="32"/>
          <w:szCs w:val="32"/>
          <w:highlight w:val="none"/>
        </w:rPr>
        <w:t>本级</w:t>
      </w:r>
      <w:r>
        <w:rPr>
          <w:rFonts w:hint="default" w:ascii="Times New Roman" w:hAnsi="Times New Roman" w:eastAsia="方正仿宋简体" w:cs="Times New Roman"/>
          <w:bCs/>
          <w:color w:val="auto"/>
          <w:kern w:val="0"/>
          <w:sz w:val="32"/>
          <w:szCs w:val="32"/>
          <w:highlight w:val="none"/>
        </w:rPr>
        <w:t>下设</w:t>
      </w:r>
      <w:r>
        <w:rPr>
          <w:rFonts w:hint="default" w:ascii="Times New Roman" w:hAnsi="Times New Roman" w:eastAsia="方正仿宋简体" w:cs="Times New Roman"/>
          <w:sz w:val="32"/>
          <w:szCs w:val="32"/>
          <w:highlight w:val="none"/>
          <w:lang w:val="en-US" w:eastAsia="zh-CN"/>
        </w:rPr>
        <w:t>17</w:t>
      </w:r>
      <w:r>
        <w:rPr>
          <w:rFonts w:hint="default" w:ascii="Times New Roman" w:hAnsi="Times New Roman" w:eastAsia="方正仿宋简体" w:cs="Times New Roman"/>
          <w:bCs/>
          <w:kern w:val="0"/>
          <w:sz w:val="32"/>
          <w:szCs w:val="32"/>
          <w:highlight w:val="none"/>
        </w:rPr>
        <w:t>个处室，分别是：</w:t>
      </w:r>
      <w:r>
        <w:rPr>
          <w:rFonts w:hint="default" w:ascii="Times New Roman" w:hAnsi="Times New Roman" w:eastAsia="方正仿宋简体" w:cs="Times New Roman"/>
          <w:color w:val="000000"/>
          <w:kern w:val="2"/>
          <w:sz w:val="32"/>
          <w:szCs w:val="32"/>
          <w:lang w:val="en-US" w:eastAsia="zh-CN" w:bidi="ar"/>
        </w:rPr>
        <w:t>办公一室、二室、三室、四室、五室、六室、七室、八室、九室、十室、十一室、十二室、十三室、十四室、十五室、十六室、十七室</w:t>
      </w:r>
      <w:r>
        <w:rPr>
          <w:rFonts w:hint="default" w:ascii="Times New Roman" w:hAnsi="Times New Roman" w:eastAsia="方正仿宋简体" w:cs="Times New Roman"/>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rPr>
        <w:t>纳入</w:t>
      </w: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rPr>
        <w:t>部门决算编制范围的</w:t>
      </w:r>
      <w:r>
        <w:rPr>
          <w:rFonts w:hint="default" w:ascii="Times New Roman" w:hAnsi="Times New Roman" w:eastAsia="方正仿宋简体" w:cs="Times New Roman"/>
          <w:color w:val="auto"/>
          <w:spacing w:val="0"/>
          <w:sz w:val="32"/>
          <w:szCs w:val="32"/>
          <w:highlight w:val="none"/>
          <w:lang w:val="en-US" w:eastAsia="zh-CN"/>
        </w:rPr>
        <w:t>下属预算</w:t>
      </w:r>
      <w:r>
        <w:rPr>
          <w:rFonts w:hint="default" w:ascii="Times New Roman" w:hAnsi="Times New Roman" w:eastAsia="方正仿宋简体" w:cs="Times New Roman"/>
          <w:color w:val="auto"/>
          <w:spacing w:val="0"/>
          <w:sz w:val="32"/>
          <w:szCs w:val="32"/>
          <w:highlight w:val="none"/>
        </w:rPr>
        <w:t>单位</w:t>
      </w:r>
      <w:r>
        <w:rPr>
          <w:rFonts w:hint="default" w:ascii="Times New Roman" w:hAnsi="Times New Roman" w:eastAsia="方正仿宋简体" w:cs="Times New Roman"/>
          <w:color w:val="auto"/>
          <w:spacing w:val="0"/>
          <w:sz w:val="32"/>
          <w:szCs w:val="32"/>
          <w:highlight w:val="none"/>
          <w:lang w:val="en-US" w:eastAsia="zh-CN"/>
        </w:rPr>
        <w:t>包括</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rPr>
      </w:pPr>
      <w:r>
        <w:rPr>
          <w:rFonts w:hint="default" w:ascii="Times New Roman" w:hAnsi="Times New Roman" w:eastAsia="方正仿宋简体" w:cs="Times New Roman"/>
          <w:color w:val="auto"/>
          <w:sz w:val="32"/>
          <w:szCs w:val="32"/>
          <w:highlight w:val="none"/>
          <w:lang w:val="en-US" w:eastAsia="zh-CN"/>
        </w:rPr>
        <w:t>1.中共新疆维吾尔自治区委员会政法委员会</w:t>
      </w:r>
      <w:r>
        <w:rPr>
          <w:rFonts w:hint="default" w:ascii="Times New Roman" w:hAnsi="Times New Roman" w:eastAsia="方正仿宋简体" w:cs="Times New Roman"/>
          <w:color w:val="auto"/>
          <w:kern w:val="0"/>
          <w:sz w:val="32"/>
          <w:szCs w:val="32"/>
          <w:highlight w:val="none"/>
        </w:rPr>
        <w:t>本级</w:t>
      </w:r>
    </w:p>
    <w:p>
      <w:pPr>
        <w:keepNext w:val="0"/>
        <w:keepLines w:val="0"/>
        <w:pageBreakBefore w:val="0"/>
        <w:widowControl w:val="0"/>
        <w:numPr>
          <w:ilvl w:val="0"/>
          <w:numId w:val="0"/>
        </w:numPr>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val="en-US" w:eastAsia="zh-CN"/>
        </w:rPr>
        <w:t>2.新疆维吾尔自治区法学会</w:t>
      </w:r>
    </w:p>
    <w:p>
      <w:pPr>
        <w:keepNext w:val="0"/>
        <w:keepLines w:val="0"/>
        <w:pageBreakBefore w:val="0"/>
        <w:widowControl w:val="0"/>
        <w:numPr>
          <w:ilvl w:val="0"/>
          <w:numId w:val="0"/>
        </w:numPr>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val="en-US" w:eastAsia="zh-CN"/>
        </w:rPr>
        <w:t>3.新疆平安网信息中心</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rPr>
        <w:sectPr>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lang w:val="en-US" w:eastAsia="zh-CN"/>
        </w:rPr>
        <w:t>收入总计4,172.43</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其中：本年收入合计4,041.64</w:t>
      </w:r>
      <w:r>
        <w:rPr>
          <w:rFonts w:hint="default" w:ascii="Times New Roman" w:hAnsi="Times New Roman" w:eastAsia="方正仿宋简体" w:cs="Times New Roman"/>
          <w:color w:val="auto"/>
          <w:spacing w:val="0"/>
          <w:sz w:val="32"/>
          <w:szCs w:val="32"/>
          <w:highlight w:val="none"/>
          <w:lang w:eastAsia="zh-CN"/>
        </w:rPr>
        <w:t>万元，使用非财政拨款结余0.00万元，年初结转和结余</w:t>
      </w:r>
      <w:r>
        <w:rPr>
          <w:rFonts w:hint="default" w:ascii="Times New Roman" w:hAnsi="Times New Roman" w:eastAsia="方正仿宋简体" w:cs="Times New Roman"/>
          <w:color w:val="auto"/>
          <w:spacing w:val="0"/>
          <w:sz w:val="32"/>
          <w:szCs w:val="32"/>
          <w:highlight w:val="none"/>
          <w:lang w:val="en-US" w:eastAsia="zh-CN"/>
        </w:rPr>
        <w:t>130.79</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2023</w:t>
      </w:r>
      <w:r>
        <w:rPr>
          <w:rFonts w:hint="default" w:ascii="Times New Roman" w:hAnsi="Times New Roman" w:eastAsia="方正仿宋简体" w:cs="Times New Roman"/>
          <w:color w:val="auto"/>
          <w:spacing w:val="0"/>
          <w:sz w:val="32"/>
          <w:szCs w:val="32"/>
          <w:highlight w:val="none"/>
          <w:lang w:eastAsia="zh-CN"/>
        </w:rPr>
        <w:t>年</w:t>
      </w:r>
      <w:r>
        <w:rPr>
          <w:rFonts w:hint="default" w:ascii="Times New Roman" w:hAnsi="Times New Roman" w:eastAsia="方正仿宋简体" w:cs="Times New Roman"/>
          <w:color w:val="auto"/>
          <w:spacing w:val="0"/>
          <w:sz w:val="32"/>
          <w:szCs w:val="32"/>
          <w:highlight w:val="none"/>
          <w:lang w:val="en-US" w:eastAsia="zh-CN"/>
        </w:rPr>
        <w:t>度</w:t>
      </w:r>
      <w:r>
        <w:rPr>
          <w:rFonts w:hint="default" w:ascii="Times New Roman" w:hAnsi="Times New Roman" w:eastAsia="方正仿宋简体" w:cs="Times New Roman"/>
          <w:color w:val="auto"/>
          <w:spacing w:val="0"/>
          <w:sz w:val="32"/>
          <w:szCs w:val="32"/>
          <w:highlight w:val="none"/>
          <w:lang w:eastAsia="zh-CN"/>
        </w:rPr>
        <w:t>支出</w:t>
      </w:r>
      <w:r>
        <w:rPr>
          <w:rFonts w:hint="default" w:ascii="Times New Roman" w:hAnsi="Times New Roman" w:eastAsia="方正仿宋简体" w:cs="Times New Roman"/>
          <w:color w:val="auto"/>
          <w:spacing w:val="0"/>
          <w:sz w:val="32"/>
          <w:szCs w:val="32"/>
          <w:highlight w:val="none"/>
          <w:lang w:val="en-US" w:eastAsia="zh-CN"/>
        </w:rPr>
        <w:t>总计4,172.43</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其中：本年支出合计4,020.03</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结余分配0.39</w:t>
      </w:r>
      <w:r>
        <w:rPr>
          <w:rFonts w:hint="default" w:ascii="Times New Roman" w:hAnsi="Times New Roman" w:eastAsia="方正仿宋简体" w:cs="Times New Roman"/>
          <w:color w:val="auto"/>
          <w:spacing w:val="0"/>
          <w:sz w:val="32"/>
          <w:szCs w:val="32"/>
          <w:highlight w:val="none"/>
          <w:lang w:eastAsia="zh-CN"/>
        </w:rPr>
        <w:t>万元，年末结转和结余</w:t>
      </w:r>
      <w:r>
        <w:rPr>
          <w:rFonts w:hint="default" w:ascii="Times New Roman" w:hAnsi="Times New Roman" w:eastAsia="方正仿宋简体" w:cs="Times New Roman"/>
          <w:color w:val="auto"/>
          <w:spacing w:val="0"/>
          <w:sz w:val="32"/>
          <w:szCs w:val="32"/>
          <w:highlight w:val="none"/>
          <w:lang w:val="en-US" w:eastAsia="zh-CN"/>
        </w:rPr>
        <w:t>152.01</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收入支出总体与上年相比</w:t>
      </w:r>
      <w:r>
        <w:rPr>
          <w:rFonts w:hint="default" w:ascii="Times New Roman" w:hAnsi="Times New Roman" w:eastAsia="方正仿宋简体" w:cs="Times New Roman"/>
          <w:color w:val="auto"/>
          <w:spacing w:val="0"/>
          <w:sz w:val="32"/>
          <w:szCs w:val="32"/>
          <w:highlight w:val="none"/>
          <w:lang w:eastAsia="zh-CN"/>
        </w:rPr>
        <w:t>，</w:t>
      </w:r>
      <w:r>
        <w:rPr>
          <w:rFonts w:hint="eastAsia" w:ascii="Times New Roman" w:hAnsi="Times New Roman" w:eastAsia="方正仿宋简体" w:cs="Times New Roman"/>
          <w:color w:val="auto"/>
          <w:spacing w:val="0"/>
          <w:sz w:val="32"/>
          <w:szCs w:val="32"/>
          <w:highlight w:val="none"/>
          <w:lang w:val="zh-CN" w:eastAsia="zh-CN"/>
        </w:rPr>
        <w:t>增加</w:t>
      </w:r>
      <w:r>
        <w:rPr>
          <w:rFonts w:hint="eastAsia" w:ascii="Times New Roman" w:hAnsi="Times New Roman" w:eastAsia="方正仿宋简体" w:cs="Times New Roman"/>
          <w:color w:val="auto"/>
          <w:spacing w:val="0"/>
          <w:sz w:val="32"/>
          <w:szCs w:val="32"/>
          <w:highlight w:val="none"/>
          <w:lang w:val="en-US" w:eastAsia="zh-CN"/>
        </w:rPr>
        <w:t>4.87</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w:t>
      </w:r>
      <w:r>
        <w:rPr>
          <w:rFonts w:hint="eastAsia" w:ascii="Times New Roman" w:hAnsi="Times New Roman" w:eastAsia="方正仿宋简体" w:cs="Times New Roman"/>
          <w:color w:val="auto"/>
          <w:spacing w:val="0"/>
          <w:sz w:val="32"/>
          <w:szCs w:val="32"/>
          <w:highlight w:val="none"/>
          <w:lang w:eastAsia="zh-CN"/>
        </w:rPr>
        <w:t>增长</w:t>
      </w:r>
      <w:r>
        <w:rPr>
          <w:rFonts w:hint="eastAsia" w:ascii="Times New Roman" w:hAnsi="Times New Roman" w:eastAsia="方正仿宋简体" w:cs="Times New Roman"/>
          <w:color w:val="auto"/>
          <w:spacing w:val="0"/>
          <w:sz w:val="32"/>
          <w:szCs w:val="32"/>
          <w:highlight w:val="none"/>
          <w:lang w:val="en-US" w:eastAsia="zh-CN"/>
        </w:rPr>
        <w:t>0.12</w:t>
      </w:r>
      <w:r>
        <w:rPr>
          <w:rFonts w:hint="default" w:ascii="Times New Roman" w:hAnsi="Times New Roman" w:eastAsia="方正仿宋简体" w:cs="Times New Roman"/>
          <w:color w:val="auto"/>
          <w:spacing w:val="0"/>
          <w:sz w:val="32"/>
          <w:szCs w:val="32"/>
          <w:highlight w:val="none"/>
          <w:lang w:eastAsia="zh-CN"/>
        </w:rPr>
        <w:t>%，主要原因是：一是在职人员</w:t>
      </w:r>
      <w:r>
        <w:rPr>
          <w:rFonts w:hint="eastAsia" w:eastAsia="方正仿宋简体" w:cs="Times New Roman"/>
          <w:color w:val="auto"/>
          <w:spacing w:val="0"/>
          <w:sz w:val="32"/>
          <w:szCs w:val="32"/>
          <w:highlight w:val="none"/>
          <w:lang w:eastAsia="zh-CN"/>
        </w:rPr>
        <w:t>调资及</w:t>
      </w:r>
      <w:r>
        <w:rPr>
          <w:rFonts w:hint="default" w:ascii="Times New Roman" w:hAnsi="Times New Roman" w:eastAsia="方正仿宋简体" w:cs="Times New Roman"/>
          <w:color w:val="auto"/>
          <w:spacing w:val="0"/>
          <w:sz w:val="32"/>
          <w:szCs w:val="32"/>
          <w:highlight w:val="none"/>
          <w:lang w:eastAsia="zh-CN"/>
        </w:rPr>
        <w:t>职务职级</w:t>
      </w:r>
      <w:r>
        <w:rPr>
          <w:rFonts w:hint="eastAsia" w:eastAsia="方正仿宋简体" w:cs="Times New Roman"/>
          <w:color w:val="auto"/>
          <w:spacing w:val="0"/>
          <w:sz w:val="32"/>
          <w:szCs w:val="32"/>
          <w:highlight w:val="none"/>
          <w:lang w:eastAsia="zh-CN"/>
        </w:rPr>
        <w:t>升档</w:t>
      </w:r>
      <w:r>
        <w:rPr>
          <w:rFonts w:hint="default" w:ascii="Times New Roman" w:hAnsi="Times New Roman" w:eastAsia="方正仿宋简体" w:cs="Times New Roman"/>
          <w:color w:val="auto"/>
          <w:spacing w:val="0"/>
          <w:sz w:val="32"/>
          <w:szCs w:val="32"/>
          <w:highlight w:val="none"/>
          <w:lang w:eastAsia="zh-CN"/>
        </w:rPr>
        <w:t>，导致收入增加；二是</w:t>
      </w:r>
      <w:r>
        <w:rPr>
          <w:rFonts w:hint="eastAsia" w:eastAsia="方正仿宋简体" w:cs="Times New Roman"/>
          <w:color w:val="auto"/>
          <w:spacing w:val="0"/>
          <w:sz w:val="32"/>
          <w:szCs w:val="32"/>
          <w:highlight w:val="none"/>
          <w:lang w:val="en-US" w:eastAsia="zh-CN"/>
        </w:rPr>
        <w:t>2022年受疫情影响，预算支出总体较低，2023年正常开展工作后，支出数较2022年大幅增长。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本年收入</w:t>
      </w:r>
      <w:r>
        <w:rPr>
          <w:rFonts w:hint="eastAsia" w:ascii="Times New Roman" w:hAnsi="Times New Roman" w:eastAsia="方正仿宋简体" w:cs="Times New Roman"/>
          <w:color w:val="auto"/>
          <w:sz w:val="32"/>
          <w:szCs w:val="32"/>
          <w:highlight w:val="none"/>
          <w:lang w:val="en-US" w:eastAsia="zh-CN"/>
        </w:rPr>
        <w:t>4,041.64</w:t>
      </w:r>
      <w:r>
        <w:rPr>
          <w:rFonts w:hint="default" w:ascii="Times New Roman" w:hAnsi="Times New Roman" w:eastAsia="方正仿宋简体" w:cs="Times New Roman"/>
          <w:color w:val="auto"/>
          <w:sz w:val="32"/>
          <w:szCs w:val="32"/>
          <w:highlight w:val="none"/>
        </w:rPr>
        <w:t>万元，其中：财政拨款收入</w:t>
      </w:r>
      <w:r>
        <w:rPr>
          <w:rFonts w:hint="eastAsia" w:ascii="Times New Roman" w:hAnsi="Times New Roman" w:eastAsia="方正仿宋简体" w:cs="Times New Roman"/>
          <w:color w:val="auto"/>
          <w:sz w:val="32"/>
          <w:szCs w:val="32"/>
          <w:highlight w:val="none"/>
          <w:lang w:val="en-US" w:eastAsia="zh-CN"/>
        </w:rPr>
        <w:t>3,999.15</w:t>
      </w:r>
      <w:r>
        <w:rPr>
          <w:rFonts w:hint="default" w:ascii="Times New Roman" w:hAnsi="Times New Roman" w:eastAsia="方正仿宋简体" w:cs="Times New Roman"/>
          <w:color w:val="auto"/>
          <w:sz w:val="32"/>
          <w:szCs w:val="32"/>
          <w:highlight w:val="none"/>
        </w:rPr>
        <w:t>万元，占</w:t>
      </w:r>
      <w:r>
        <w:rPr>
          <w:rFonts w:hint="eastAsia" w:ascii="Times New Roman" w:hAnsi="Times New Roman" w:eastAsia="方正仿宋简体" w:cs="Times New Roman"/>
          <w:color w:val="auto"/>
          <w:sz w:val="32"/>
          <w:szCs w:val="32"/>
          <w:highlight w:val="none"/>
          <w:lang w:val="en-US" w:eastAsia="zh-CN"/>
        </w:rPr>
        <w:t>98.95</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；上级补助收入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eastAsia" w:ascii="Times New Roman" w:hAnsi="Times New Roman"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rPr>
        <w:t>万元，占</w:t>
      </w:r>
      <w:r>
        <w:rPr>
          <w:rFonts w:hint="eastAsia"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sz w:val="32"/>
          <w:szCs w:val="32"/>
          <w:highlight w:val="none"/>
          <w:lang w:val="zh-CN"/>
        </w:rPr>
        <w:t>.00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附属单位上缴收入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w:t>
      </w:r>
      <w:r>
        <w:rPr>
          <w:rFonts w:hint="eastAsia" w:ascii="Times New Roman" w:hAnsi="Times New Roman" w:eastAsia="方正仿宋简体" w:cs="Times New Roman"/>
          <w:color w:val="auto"/>
          <w:sz w:val="32"/>
          <w:szCs w:val="32"/>
          <w:highlight w:val="none"/>
          <w:lang w:val="en-US" w:eastAsia="zh-CN"/>
        </w:rPr>
        <w:t>42.49</w:t>
      </w:r>
      <w:r>
        <w:rPr>
          <w:rFonts w:hint="default" w:ascii="Times New Roman" w:hAnsi="Times New Roman" w:eastAsia="方正仿宋简体" w:cs="Times New Roman"/>
          <w:color w:val="auto"/>
          <w:sz w:val="32"/>
          <w:szCs w:val="32"/>
          <w:highlight w:val="none"/>
        </w:rPr>
        <w:t>万元，占</w:t>
      </w:r>
      <w:r>
        <w:rPr>
          <w:rFonts w:hint="eastAsia" w:ascii="Times New Roman" w:hAnsi="Times New Roman" w:eastAsia="方正仿宋简体" w:cs="Times New Roman"/>
          <w:color w:val="auto"/>
          <w:sz w:val="32"/>
          <w:szCs w:val="32"/>
          <w:highlight w:val="none"/>
          <w:lang w:val="en-US" w:eastAsia="zh-CN"/>
        </w:rPr>
        <w:t>1.0</w:t>
      </w:r>
      <w:r>
        <w:rPr>
          <w:rFonts w:hint="eastAsia"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0"/>
          <w:szCs w:val="30"/>
          <w:highlight w:val="none"/>
          <w:lang w:val="zh-CN" w:eastAsia="zh-CN"/>
        </w:rPr>
      </w:pPr>
      <w:r>
        <w:rPr>
          <w:rFonts w:hint="default" w:ascii="Times New Roman" w:hAnsi="Times New Roman" w:eastAsia="方正仿宋简体" w:cs="Times New Roman"/>
          <w:color w:val="auto"/>
          <w:sz w:val="32"/>
          <w:szCs w:val="32"/>
          <w:highlight w:val="none"/>
          <w:lang w:val="zh-CN" w:eastAsia="zh-CN"/>
        </w:rPr>
        <w:t>本年支出</w:t>
      </w:r>
      <w:r>
        <w:rPr>
          <w:rFonts w:hint="eastAsia" w:ascii="Times New Roman" w:hAnsi="Times New Roman" w:eastAsia="方正仿宋简体" w:cs="Times New Roman"/>
          <w:color w:val="auto"/>
          <w:sz w:val="32"/>
          <w:szCs w:val="32"/>
          <w:highlight w:val="none"/>
          <w:lang w:val="en-US" w:eastAsia="zh-CN"/>
        </w:rPr>
        <w:t>4,020.03</w:t>
      </w:r>
      <w:r>
        <w:rPr>
          <w:rFonts w:hint="default" w:ascii="Times New Roman" w:hAnsi="Times New Roman" w:eastAsia="方正仿宋简体" w:cs="Times New Roman"/>
          <w:color w:val="auto"/>
          <w:sz w:val="32"/>
          <w:szCs w:val="32"/>
          <w:highlight w:val="none"/>
          <w:lang w:val="zh-CN" w:eastAsia="zh-CN"/>
        </w:rPr>
        <w:t>万元，其中：基本支出</w:t>
      </w:r>
      <w:r>
        <w:rPr>
          <w:rFonts w:hint="eastAsia" w:ascii="Times New Roman" w:hAnsi="Times New Roman" w:eastAsia="方正仿宋简体" w:cs="Times New Roman"/>
          <w:color w:val="auto"/>
          <w:sz w:val="32"/>
          <w:szCs w:val="32"/>
          <w:highlight w:val="none"/>
          <w:lang w:val="en-US" w:eastAsia="zh-CN"/>
        </w:rPr>
        <w:t>3538.16</w:t>
      </w:r>
      <w:r>
        <w:rPr>
          <w:rFonts w:hint="default" w:ascii="Times New Roman" w:hAnsi="Times New Roman" w:eastAsia="方正仿宋简体" w:cs="Times New Roman"/>
          <w:color w:val="auto"/>
          <w:sz w:val="32"/>
          <w:szCs w:val="32"/>
          <w:highlight w:val="none"/>
          <w:lang w:val="zh-CN" w:eastAsia="zh-CN"/>
        </w:rPr>
        <w:t>万元，占</w:t>
      </w:r>
      <w:r>
        <w:rPr>
          <w:rFonts w:hint="eastAsia" w:ascii="Times New Roman" w:hAnsi="Times New Roman" w:eastAsia="方正仿宋简体" w:cs="Times New Roman"/>
          <w:color w:val="auto"/>
          <w:sz w:val="32"/>
          <w:szCs w:val="32"/>
          <w:highlight w:val="none"/>
          <w:lang w:val="en-US" w:eastAsia="zh-CN"/>
        </w:rPr>
        <w:t>88.0</w:t>
      </w:r>
      <w:r>
        <w:rPr>
          <w:rFonts w:hint="eastAsia" w:eastAsia="方正仿宋简体" w:cs="Times New Roman"/>
          <w:color w:val="auto"/>
          <w:sz w:val="32"/>
          <w:szCs w:val="32"/>
          <w:highlight w:val="none"/>
          <w:lang w:val="en-US" w:eastAsia="zh-CN"/>
        </w:rPr>
        <w:t>1</w:t>
      </w:r>
      <w:r>
        <w:rPr>
          <w:rFonts w:hint="default" w:ascii="Times New Roman" w:hAnsi="Times New Roman" w:eastAsia="方正仿宋简体" w:cs="Times New Roman"/>
          <w:color w:val="auto"/>
          <w:sz w:val="32"/>
          <w:szCs w:val="32"/>
          <w:highlight w:val="none"/>
          <w:lang w:val="zh-CN" w:eastAsia="zh-CN"/>
        </w:rPr>
        <w:t>%；项目支出</w:t>
      </w:r>
      <w:r>
        <w:rPr>
          <w:rFonts w:hint="eastAsia" w:ascii="Times New Roman" w:hAnsi="Times New Roman" w:eastAsia="方正仿宋简体" w:cs="Times New Roman"/>
          <w:color w:val="auto"/>
          <w:sz w:val="32"/>
          <w:szCs w:val="32"/>
          <w:highlight w:val="none"/>
          <w:lang w:val="en-US" w:eastAsia="zh-CN"/>
        </w:rPr>
        <w:t>481.87</w:t>
      </w:r>
      <w:r>
        <w:rPr>
          <w:rFonts w:hint="default" w:ascii="Times New Roman" w:hAnsi="Times New Roman" w:eastAsia="方正仿宋简体" w:cs="Times New Roman"/>
          <w:color w:val="auto"/>
          <w:sz w:val="32"/>
          <w:szCs w:val="32"/>
          <w:highlight w:val="none"/>
          <w:lang w:val="zh-CN" w:eastAsia="zh-CN"/>
        </w:rPr>
        <w:t>万元，占</w:t>
      </w:r>
      <w:r>
        <w:rPr>
          <w:rFonts w:hint="eastAsia" w:ascii="Times New Roman" w:hAnsi="Times New Roman" w:eastAsia="方正仿宋简体" w:cs="Times New Roman"/>
          <w:color w:val="auto"/>
          <w:sz w:val="32"/>
          <w:szCs w:val="32"/>
          <w:highlight w:val="none"/>
          <w:lang w:val="en-US" w:eastAsia="zh-CN"/>
        </w:rPr>
        <w:t>11.99</w:t>
      </w:r>
      <w:r>
        <w:rPr>
          <w:rFonts w:hint="default" w:ascii="Times New Roman" w:hAnsi="Times New Roman" w:eastAsia="方正仿宋简体" w:cs="Times New Roman"/>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2023年度财政拨款收入</w:t>
      </w:r>
      <w:r>
        <w:rPr>
          <w:rFonts w:hint="default" w:ascii="Times New Roman" w:hAnsi="Times New Roman" w:eastAsia="方正仿宋简体" w:cs="Times New Roman"/>
          <w:color w:val="auto"/>
          <w:spacing w:val="0"/>
          <w:sz w:val="32"/>
          <w:szCs w:val="32"/>
          <w:highlight w:val="none"/>
          <w:lang w:val="en-US" w:eastAsia="zh-CN"/>
        </w:rPr>
        <w:t>总计</w:t>
      </w:r>
      <w:r>
        <w:rPr>
          <w:rFonts w:hint="eastAsia" w:ascii="Times New Roman" w:hAnsi="Times New Roman" w:eastAsia="方正仿宋简体" w:cs="Times New Roman"/>
          <w:color w:val="auto"/>
          <w:spacing w:val="0"/>
          <w:sz w:val="32"/>
          <w:szCs w:val="32"/>
          <w:highlight w:val="none"/>
          <w:lang w:val="en-US" w:eastAsia="zh-CN"/>
        </w:rPr>
        <w:t>4,101.63</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其中：年初财政拨款结转和结余</w:t>
      </w:r>
      <w:r>
        <w:rPr>
          <w:rFonts w:hint="eastAsia" w:ascii="Times New Roman" w:hAnsi="Times New Roman" w:eastAsia="方正仿宋简体" w:cs="Times New Roman"/>
          <w:color w:val="auto"/>
          <w:spacing w:val="0"/>
          <w:sz w:val="32"/>
          <w:szCs w:val="32"/>
          <w:highlight w:val="none"/>
          <w:lang w:val="en-US" w:eastAsia="zh-CN"/>
        </w:rPr>
        <w:t>102.48</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本年财政拨款收入</w:t>
      </w:r>
      <w:r>
        <w:rPr>
          <w:rFonts w:hint="eastAsia" w:ascii="Times New Roman" w:hAnsi="Times New Roman" w:eastAsia="方正仿宋简体" w:cs="Times New Roman"/>
          <w:color w:val="auto"/>
          <w:spacing w:val="0"/>
          <w:sz w:val="32"/>
          <w:szCs w:val="32"/>
          <w:highlight w:val="none"/>
          <w:lang w:val="en-US" w:eastAsia="zh-CN"/>
        </w:rPr>
        <w:t>3,999.15</w:t>
      </w:r>
      <w:r>
        <w:rPr>
          <w:rFonts w:hint="default" w:ascii="Times New Roman" w:hAnsi="Times New Roman" w:eastAsia="方正仿宋简体" w:cs="Times New Roman"/>
          <w:color w:val="auto"/>
          <w:spacing w:val="0"/>
          <w:sz w:val="32"/>
          <w:szCs w:val="32"/>
          <w:highlight w:val="none"/>
          <w:lang w:eastAsia="zh-CN"/>
        </w:rPr>
        <w:t>万元。财政拨款支出</w:t>
      </w:r>
      <w:r>
        <w:rPr>
          <w:rFonts w:hint="default" w:ascii="Times New Roman" w:hAnsi="Times New Roman" w:eastAsia="方正仿宋简体" w:cs="Times New Roman"/>
          <w:color w:val="auto"/>
          <w:spacing w:val="0"/>
          <w:sz w:val="32"/>
          <w:szCs w:val="32"/>
          <w:highlight w:val="none"/>
          <w:lang w:val="en-US" w:eastAsia="zh-CN"/>
        </w:rPr>
        <w:t>总计</w:t>
      </w:r>
      <w:r>
        <w:rPr>
          <w:rFonts w:hint="eastAsia" w:ascii="Times New Roman" w:hAnsi="Times New Roman" w:eastAsia="方正仿宋简体" w:cs="Times New Roman"/>
          <w:color w:val="auto"/>
          <w:spacing w:val="0"/>
          <w:sz w:val="32"/>
          <w:szCs w:val="32"/>
          <w:highlight w:val="none"/>
          <w:lang w:val="en-US" w:eastAsia="zh-CN"/>
        </w:rPr>
        <w:t>4,101.63</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其中：年末财政拨款结转和结余</w:t>
      </w:r>
      <w:r>
        <w:rPr>
          <w:rFonts w:hint="eastAsia" w:ascii="Times New Roman" w:hAnsi="Times New Roman" w:eastAsia="方正仿宋简体" w:cs="Times New Roman"/>
          <w:color w:val="auto"/>
          <w:spacing w:val="0"/>
          <w:sz w:val="32"/>
          <w:szCs w:val="32"/>
          <w:highlight w:val="none"/>
          <w:lang w:val="en-US" w:eastAsia="zh-CN"/>
        </w:rPr>
        <w:t>102.86</w:t>
      </w:r>
      <w:r>
        <w:rPr>
          <w:rFonts w:hint="default" w:ascii="Times New Roman" w:hAnsi="Times New Roman" w:eastAsia="方正仿宋简体" w:cs="Times New Roman"/>
          <w:color w:val="auto"/>
          <w:spacing w:val="0"/>
          <w:sz w:val="32"/>
          <w:szCs w:val="32"/>
          <w:highlight w:val="none"/>
          <w:lang w:eastAsia="zh-CN"/>
        </w:rPr>
        <w:t>万元，</w:t>
      </w:r>
      <w:r>
        <w:rPr>
          <w:rFonts w:hint="default" w:ascii="Times New Roman" w:hAnsi="Times New Roman" w:eastAsia="方正仿宋简体" w:cs="Times New Roman"/>
          <w:color w:val="auto"/>
          <w:spacing w:val="0"/>
          <w:sz w:val="32"/>
          <w:szCs w:val="32"/>
          <w:highlight w:val="none"/>
          <w:lang w:val="en-US" w:eastAsia="zh-CN"/>
        </w:rPr>
        <w:t>本年财政拨款支出</w:t>
      </w:r>
      <w:r>
        <w:rPr>
          <w:rFonts w:hint="eastAsia" w:ascii="Times New Roman" w:hAnsi="Times New Roman" w:eastAsia="方正仿宋简体" w:cs="Times New Roman"/>
          <w:color w:val="auto"/>
          <w:spacing w:val="0"/>
          <w:sz w:val="32"/>
          <w:szCs w:val="32"/>
          <w:highlight w:val="none"/>
          <w:lang w:val="en-US" w:eastAsia="zh-CN"/>
        </w:rPr>
        <w:t>3,998.77</w:t>
      </w:r>
      <w:r>
        <w:rPr>
          <w:rFonts w:hint="default" w:ascii="Times New Roman" w:hAnsi="Times New Roman" w:eastAsia="方正仿宋简体"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财政拨款收入支出总体与上年相比</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val="zh-CN" w:eastAsia="zh-CN"/>
        </w:rPr>
        <w:t>减少</w:t>
      </w:r>
      <w:r>
        <w:rPr>
          <w:rFonts w:hint="eastAsia" w:ascii="Times New Roman" w:hAnsi="Times New Roman" w:eastAsia="方正仿宋简体" w:cs="Times New Roman"/>
          <w:color w:val="auto"/>
          <w:spacing w:val="0"/>
          <w:sz w:val="32"/>
          <w:szCs w:val="32"/>
          <w:highlight w:val="none"/>
          <w:lang w:val="en-US" w:eastAsia="zh-CN"/>
        </w:rPr>
        <w:t>33.80</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下降</w:t>
      </w:r>
      <w:r>
        <w:rPr>
          <w:rFonts w:hint="eastAsia" w:ascii="Times New Roman" w:hAnsi="Times New Roman" w:eastAsia="方正仿宋简体" w:cs="Times New Roman"/>
          <w:color w:val="auto"/>
          <w:spacing w:val="0"/>
          <w:sz w:val="32"/>
          <w:szCs w:val="32"/>
          <w:highlight w:val="none"/>
          <w:lang w:val="en-US" w:eastAsia="zh-CN"/>
        </w:rPr>
        <w:t>0.8</w:t>
      </w:r>
      <w:r>
        <w:rPr>
          <w:rFonts w:hint="eastAsia" w:eastAsia="方正仿宋简体" w:cs="Times New Roman"/>
          <w:color w:val="auto"/>
          <w:spacing w:val="0"/>
          <w:sz w:val="32"/>
          <w:szCs w:val="32"/>
          <w:highlight w:val="none"/>
          <w:lang w:val="en-US" w:eastAsia="zh-CN"/>
        </w:rPr>
        <w:t>3</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例行节约，严格控制支出，压减支出</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eastAsia" w:ascii="Times New Roman" w:hAnsi="Times New Roman" w:eastAsia="方正仿宋简体" w:cs="Times New Roman"/>
          <w:color w:val="auto"/>
          <w:spacing w:val="0"/>
          <w:sz w:val="32"/>
          <w:szCs w:val="32"/>
          <w:highlight w:val="none"/>
          <w:lang w:val="en-US" w:eastAsia="zh-CN"/>
        </w:rPr>
        <w:t>3,601.62</w:t>
      </w:r>
      <w:r>
        <w:rPr>
          <w:rFonts w:hint="default" w:ascii="Times New Roman" w:hAnsi="Times New Roman" w:eastAsia="方正仿宋简体" w:cs="Times New Roman"/>
          <w:color w:val="auto"/>
          <w:spacing w:val="0"/>
          <w:sz w:val="32"/>
          <w:szCs w:val="32"/>
          <w:highlight w:val="none"/>
          <w:lang w:eastAsia="zh-CN"/>
        </w:rPr>
        <w:t>万元，决算数</w:t>
      </w:r>
      <w:r>
        <w:rPr>
          <w:rFonts w:hint="eastAsia" w:ascii="Times New Roman" w:hAnsi="Times New Roman" w:eastAsia="方正仿宋简体" w:cs="Times New Roman"/>
          <w:color w:val="auto"/>
          <w:spacing w:val="0"/>
          <w:sz w:val="32"/>
          <w:szCs w:val="32"/>
          <w:highlight w:val="none"/>
          <w:lang w:val="en-US" w:eastAsia="zh-CN"/>
        </w:rPr>
        <w:t>4,101.63</w:t>
      </w:r>
      <w:r>
        <w:rPr>
          <w:rFonts w:hint="default" w:ascii="Times New Roman" w:hAnsi="Times New Roman" w:eastAsia="方正仿宋简体" w:cs="Times New Roman"/>
          <w:color w:val="auto"/>
          <w:spacing w:val="0"/>
          <w:sz w:val="32"/>
          <w:szCs w:val="32"/>
          <w:highlight w:val="none"/>
          <w:lang w:eastAsia="zh-CN"/>
        </w:rPr>
        <w:t>万元，预决算差异率</w:t>
      </w:r>
      <w:r>
        <w:rPr>
          <w:rFonts w:hint="eastAsia" w:ascii="Times New Roman" w:hAnsi="Times New Roman" w:eastAsia="方正仿宋简体" w:cs="Times New Roman"/>
          <w:color w:val="auto"/>
          <w:spacing w:val="0"/>
          <w:sz w:val="32"/>
          <w:szCs w:val="32"/>
          <w:highlight w:val="none"/>
          <w:lang w:val="en-US" w:eastAsia="zh-CN"/>
        </w:rPr>
        <w:t>13.</w:t>
      </w:r>
      <w:r>
        <w:rPr>
          <w:rFonts w:hint="eastAsia" w:eastAsia="方正仿宋简体" w:cs="Times New Roman"/>
          <w:color w:val="auto"/>
          <w:spacing w:val="0"/>
          <w:sz w:val="32"/>
          <w:szCs w:val="32"/>
          <w:highlight w:val="none"/>
          <w:lang w:val="en-US" w:eastAsia="zh-CN"/>
        </w:rPr>
        <w:t>8</w:t>
      </w:r>
      <w:r>
        <w:rPr>
          <w:rFonts w:hint="eastAsia" w:ascii="Times New Roman" w:hAnsi="Times New Roman" w:eastAsia="方正仿宋简体" w:cs="Times New Roman"/>
          <w:color w:val="auto"/>
          <w:spacing w:val="0"/>
          <w:sz w:val="32"/>
          <w:szCs w:val="32"/>
          <w:highlight w:val="none"/>
          <w:lang w:val="en-US" w:eastAsia="zh-CN"/>
        </w:rPr>
        <w:t>8</w:t>
      </w:r>
      <w:r>
        <w:rPr>
          <w:rFonts w:hint="default" w:ascii="Times New Roman" w:hAnsi="Times New Roman" w:eastAsia="方正仿宋简体" w:cs="Times New Roman"/>
          <w:color w:val="auto"/>
          <w:spacing w:val="0"/>
          <w:sz w:val="32"/>
          <w:szCs w:val="32"/>
          <w:highlight w:val="none"/>
          <w:lang w:eastAsia="zh-CN"/>
        </w:rPr>
        <w:t>%，主要原因是：一是在职人员</w:t>
      </w:r>
      <w:r>
        <w:rPr>
          <w:rFonts w:hint="eastAsia" w:eastAsia="方正仿宋简体" w:cs="Times New Roman"/>
          <w:color w:val="auto"/>
          <w:spacing w:val="0"/>
          <w:sz w:val="32"/>
          <w:szCs w:val="32"/>
          <w:highlight w:val="none"/>
          <w:lang w:eastAsia="zh-CN"/>
        </w:rPr>
        <w:t>调资及</w:t>
      </w:r>
      <w:r>
        <w:rPr>
          <w:rFonts w:hint="default" w:ascii="Times New Roman" w:hAnsi="Times New Roman" w:eastAsia="方正仿宋简体" w:cs="Times New Roman"/>
          <w:color w:val="auto"/>
          <w:spacing w:val="0"/>
          <w:sz w:val="32"/>
          <w:szCs w:val="32"/>
          <w:highlight w:val="none"/>
          <w:lang w:eastAsia="zh-CN"/>
        </w:rPr>
        <w:t>职务职级</w:t>
      </w:r>
      <w:r>
        <w:rPr>
          <w:rFonts w:hint="eastAsia" w:eastAsia="方正仿宋简体" w:cs="Times New Roman"/>
          <w:color w:val="auto"/>
          <w:spacing w:val="0"/>
          <w:sz w:val="32"/>
          <w:szCs w:val="32"/>
          <w:highlight w:val="none"/>
          <w:lang w:eastAsia="zh-CN"/>
        </w:rPr>
        <w:t>升档</w:t>
      </w:r>
      <w:r>
        <w:rPr>
          <w:rFonts w:hint="default" w:ascii="Times New Roman" w:hAnsi="Times New Roman" w:eastAsia="方正仿宋简体" w:cs="Times New Roman"/>
          <w:color w:val="auto"/>
          <w:spacing w:val="0"/>
          <w:sz w:val="32"/>
          <w:szCs w:val="32"/>
          <w:highlight w:val="none"/>
          <w:lang w:eastAsia="zh-CN"/>
        </w:rPr>
        <w:t>，导致收入增加；二是</w:t>
      </w:r>
      <w:r>
        <w:rPr>
          <w:rFonts w:hint="eastAsia" w:eastAsia="方正仿宋简体" w:cs="Times New Roman"/>
          <w:color w:val="auto"/>
          <w:spacing w:val="0"/>
          <w:sz w:val="32"/>
          <w:szCs w:val="32"/>
          <w:highlight w:val="none"/>
          <w:lang w:val="en-US" w:eastAsia="zh-CN"/>
        </w:rPr>
        <w:t>2022年受疫情影响，预算支出总体较低，2023年正常开展工作后，支出数较2022年大幅增长。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2023年度一般公共预算财政拨款支出</w:t>
      </w:r>
      <w:r>
        <w:rPr>
          <w:rFonts w:hint="eastAsia" w:ascii="Times New Roman" w:hAnsi="Times New Roman" w:eastAsia="方正仿宋简体" w:cs="Times New Roman"/>
          <w:color w:val="auto"/>
          <w:spacing w:val="0"/>
          <w:sz w:val="32"/>
          <w:szCs w:val="32"/>
          <w:highlight w:val="none"/>
          <w:lang w:val="en-US" w:eastAsia="zh-CN"/>
        </w:rPr>
        <w:t>3998.77</w:t>
      </w:r>
      <w:r>
        <w:rPr>
          <w:rFonts w:hint="default" w:ascii="Times New Roman" w:hAnsi="Times New Roman" w:eastAsia="方正仿宋简体" w:cs="Times New Roman"/>
          <w:color w:val="auto"/>
          <w:spacing w:val="0"/>
          <w:sz w:val="32"/>
          <w:szCs w:val="32"/>
          <w:highlight w:val="none"/>
          <w:lang w:eastAsia="zh-CN"/>
        </w:rPr>
        <w:t>万元，占本年支出合计的</w:t>
      </w:r>
      <w:r>
        <w:rPr>
          <w:rFonts w:hint="eastAsia" w:ascii="Times New Roman" w:hAnsi="Times New Roman" w:eastAsia="方正仿宋简体" w:cs="Times New Roman"/>
          <w:color w:val="auto"/>
          <w:spacing w:val="0"/>
          <w:sz w:val="32"/>
          <w:szCs w:val="32"/>
          <w:highlight w:val="none"/>
          <w:lang w:val="en-US" w:eastAsia="zh-CN"/>
        </w:rPr>
        <w:t>100.00</w:t>
      </w:r>
      <w:r>
        <w:rPr>
          <w:rFonts w:hint="default" w:ascii="Times New Roman" w:hAnsi="Times New Roman" w:eastAsia="方正仿宋简体" w:cs="Times New Roman"/>
          <w:color w:val="auto"/>
          <w:spacing w:val="0"/>
          <w:sz w:val="32"/>
          <w:szCs w:val="32"/>
          <w:highlight w:val="none"/>
          <w:lang w:val="zh-CN" w:eastAsia="zh-CN"/>
        </w:rPr>
        <w:t>%</w:t>
      </w:r>
      <w:r>
        <w:rPr>
          <w:rFonts w:hint="default" w:ascii="Times New Roman" w:hAnsi="Times New Roman" w:eastAsia="方正仿宋简体" w:cs="Times New Roman"/>
          <w:color w:val="auto"/>
          <w:spacing w:val="0"/>
          <w:sz w:val="32"/>
          <w:szCs w:val="32"/>
          <w:highlight w:val="none"/>
          <w:lang w:eastAsia="zh-CN"/>
        </w:rPr>
        <w:t>。与上年相比，</w:t>
      </w:r>
      <w:r>
        <w:rPr>
          <w:rFonts w:hint="default" w:ascii="Times New Roman" w:hAnsi="Times New Roman" w:eastAsia="方正仿宋简体" w:cs="Times New Roman"/>
          <w:color w:val="auto"/>
          <w:spacing w:val="0"/>
          <w:sz w:val="32"/>
          <w:szCs w:val="32"/>
          <w:highlight w:val="none"/>
          <w:lang w:val="zh-CN" w:eastAsia="zh-CN"/>
        </w:rPr>
        <w:t>减少</w:t>
      </w:r>
      <w:r>
        <w:rPr>
          <w:rFonts w:hint="eastAsia" w:ascii="Times New Roman" w:hAnsi="Times New Roman" w:eastAsia="方正仿宋简体" w:cs="Times New Roman"/>
          <w:color w:val="auto"/>
          <w:spacing w:val="0"/>
          <w:sz w:val="32"/>
          <w:szCs w:val="32"/>
          <w:highlight w:val="none"/>
          <w:lang w:val="en-US" w:eastAsia="zh-CN"/>
        </w:rPr>
        <w:t>34.18</w:t>
      </w:r>
      <w:r>
        <w:rPr>
          <w:rFonts w:hint="default" w:ascii="Times New Roman" w:hAnsi="Times New Roman" w:eastAsia="方正仿宋简体" w:cs="Times New Roman"/>
          <w:color w:val="auto"/>
          <w:spacing w:val="0"/>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en-US" w:eastAsia="zh-CN"/>
        </w:rPr>
        <w:t>下降</w:t>
      </w:r>
      <w:r>
        <w:rPr>
          <w:rFonts w:hint="eastAsia" w:ascii="Times New Roman" w:hAnsi="Times New Roman" w:eastAsia="方正仿宋简体" w:cs="Times New Roman"/>
          <w:color w:val="auto"/>
          <w:spacing w:val="0"/>
          <w:sz w:val="32"/>
          <w:szCs w:val="32"/>
          <w:highlight w:val="none"/>
          <w:lang w:val="en-US" w:eastAsia="zh-CN"/>
        </w:rPr>
        <w:t>0.85</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例行节约，严格控制支出，压减支出</w:t>
      </w:r>
      <w:r>
        <w:rPr>
          <w:rFonts w:hint="default" w:ascii="Times New Roman" w:hAnsi="Times New Roman" w:eastAsia="方正仿宋简体" w:cs="Times New Roman"/>
          <w:color w:val="auto"/>
          <w:spacing w:val="0"/>
          <w:sz w:val="32"/>
          <w:szCs w:val="32"/>
          <w:highlight w:val="none"/>
          <w:lang w:eastAsia="zh-CN"/>
        </w:rPr>
        <w:t>。与年初预算相比，年初预算数</w:t>
      </w:r>
      <w:r>
        <w:rPr>
          <w:rFonts w:hint="eastAsia" w:ascii="Times New Roman" w:hAnsi="Times New Roman" w:eastAsia="方正仿宋简体" w:cs="Times New Roman"/>
          <w:color w:val="auto"/>
          <w:spacing w:val="0"/>
          <w:sz w:val="32"/>
          <w:szCs w:val="32"/>
          <w:highlight w:val="none"/>
          <w:lang w:val="en-US" w:eastAsia="zh-CN"/>
        </w:rPr>
        <w:t>3601.62</w:t>
      </w:r>
      <w:r>
        <w:rPr>
          <w:rFonts w:hint="default" w:ascii="Times New Roman" w:hAnsi="Times New Roman" w:eastAsia="方正仿宋简体" w:cs="Times New Roman"/>
          <w:color w:val="auto"/>
          <w:spacing w:val="0"/>
          <w:sz w:val="32"/>
          <w:szCs w:val="32"/>
          <w:highlight w:val="none"/>
          <w:lang w:eastAsia="zh-CN"/>
        </w:rPr>
        <w:t>万元，决算数</w:t>
      </w:r>
      <w:r>
        <w:rPr>
          <w:rFonts w:hint="eastAsia" w:ascii="Times New Roman" w:hAnsi="Times New Roman" w:eastAsia="方正仿宋简体" w:cs="Times New Roman"/>
          <w:color w:val="auto"/>
          <w:spacing w:val="0"/>
          <w:sz w:val="32"/>
          <w:szCs w:val="32"/>
          <w:highlight w:val="none"/>
          <w:lang w:val="en-US" w:eastAsia="zh-CN"/>
        </w:rPr>
        <w:t>3998.77</w:t>
      </w:r>
      <w:r>
        <w:rPr>
          <w:rFonts w:hint="default" w:ascii="Times New Roman" w:hAnsi="Times New Roman" w:eastAsia="方正仿宋简体" w:cs="Times New Roman"/>
          <w:color w:val="auto"/>
          <w:spacing w:val="0"/>
          <w:sz w:val="32"/>
          <w:szCs w:val="32"/>
          <w:highlight w:val="none"/>
          <w:lang w:eastAsia="zh-CN"/>
        </w:rPr>
        <w:t>万元，预决算差异率</w:t>
      </w:r>
      <w:r>
        <w:rPr>
          <w:rFonts w:hint="eastAsia" w:ascii="Times New Roman" w:hAnsi="Times New Roman" w:eastAsia="方正仿宋简体" w:cs="Times New Roman"/>
          <w:color w:val="auto"/>
          <w:spacing w:val="0"/>
          <w:sz w:val="32"/>
          <w:szCs w:val="32"/>
          <w:highlight w:val="none"/>
          <w:lang w:val="en-US" w:eastAsia="zh-CN"/>
        </w:rPr>
        <w:t>11.03</w:t>
      </w:r>
      <w:r>
        <w:rPr>
          <w:rFonts w:hint="default" w:ascii="Times New Roman" w:hAnsi="Times New Roman" w:eastAsia="方正仿宋简体" w:cs="Times New Roman"/>
          <w:color w:val="auto"/>
          <w:spacing w:val="0"/>
          <w:sz w:val="32"/>
          <w:szCs w:val="32"/>
          <w:highlight w:val="none"/>
          <w:lang w:val="zh-CN" w:eastAsia="zh-CN"/>
        </w:rPr>
        <w:t>%</w:t>
      </w:r>
      <w:r>
        <w:rPr>
          <w:rFonts w:hint="default" w:ascii="Times New Roman" w:hAnsi="Times New Roman" w:eastAsia="方正仿宋简体" w:cs="Times New Roman"/>
          <w:color w:val="auto"/>
          <w:spacing w:val="0"/>
          <w:sz w:val="32"/>
          <w:szCs w:val="32"/>
          <w:highlight w:val="none"/>
          <w:lang w:eastAsia="zh-CN"/>
        </w:rPr>
        <w:t>，主要原因是：一是在职人员</w:t>
      </w:r>
      <w:r>
        <w:rPr>
          <w:rFonts w:hint="eastAsia" w:eastAsia="方正仿宋简体" w:cs="Times New Roman"/>
          <w:color w:val="auto"/>
          <w:spacing w:val="0"/>
          <w:sz w:val="32"/>
          <w:szCs w:val="32"/>
          <w:highlight w:val="none"/>
          <w:lang w:eastAsia="zh-CN"/>
        </w:rPr>
        <w:t>调资及</w:t>
      </w:r>
      <w:r>
        <w:rPr>
          <w:rFonts w:hint="default" w:ascii="Times New Roman" w:hAnsi="Times New Roman" w:eastAsia="方正仿宋简体" w:cs="Times New Roman"/>
          <w:color w:val="auto"/>
          <w:spacing w:val="0"/>
          <w:sz w:val="32"/>
          <w:szCs w:val="32"/>
          <w:highlight w:val="none"/>
          <w:lang w:eastAsia="zh-CN"/>
        </w:rPr>
        <w:t>职务职级</w:t>
      </w:r>
      <w:r>
        <w:rPr>
          <w:rFonts w:hint="eastAsia" w:eastAsia="方正仿宋简体" w:cs="Times New Roman"/>
          <w:color w:val="auto"/>
          <w:spacing w:val="0"/>
          <w:sz w:val="32"/>
          <w:szCs w:val="32"/>
          <w:highlight w:val="none"/>
          <w:lang w:eastAsia="zh-CN"/>
        </w:rPr>
        <w:t>升档</w:t>
      </w:r>
      <w:r>
        <w:rPr>
          <w:rFonts w:hint="default" w:ascii="Times New Roman" w:hAnsi="Times New Roman" w:eastAsia="方正仿宋简体" w:cs="Times New Roman"/>
          <w:color w:val="auto"/>
          <w:spacing w:val="0"/>
          <w:sz w:val="32"/>
          <w:szCs w:val="32"/>
          <w:highlight w:val="none"/>
          <w:lang w:eastAsia="zh-CN"/>
        </w:rPr>
        <w:t>，导致收入增加；二是</w:t>
      </w:r>
      <w:r>
        <w:rPr>
          <w:rFonts w:hint="eastAsia" w:eastAsia="方正仿宋简体" w:cs="Times New Roman"/>
          <w:color w:val="auto"/>
          <w:spacing w:val="0"/>
          <w:sz w:val="32"/>
          <w:szCs w:val="32"/>
          <w:highlight w:val="none"/>
          <w:lang w:val="en-US" w:eastAsia="zh-CN"/>
        </w:rPr>
        <w:t>2022年受疫情影响，预算支出总体较低，2023年正常开展工作后，支出数较2022年大幅增长。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（二）一般公共预算</w:t>
      </w:r>
      <w:r>
        <w:rPr>
          <w:rFonts w:hint="default" w:ascii="Times New Roman" w:hAnsi="Times New Roman" w:eastAsia="楷体" w:cs="Times New Roman"/>
          <w:color w:val="auto"/>
          <w:sz w:val="32"/>
          <w:szCs w:val="32"/>
          <w:highlight w:val="none"/>
          <w:lang w:val="en-US" w:eastAsia="zh-CN"/>
        </w:rPr>
        <w:t>财政拨款支出决算</w:t>
      </w:r>
      <w:r>
        <w:rPr>
          <w:rFonts w:hint="default" w:ascii="Times New Roman" w:hAnsi="Times New Roman" w:eastAsia="楷体" w:cs="Times New Roman"/>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default" w:ascii="Times New Roman" w:hAnsi="Times New Roman" w:eastAsia="方正仿宋简体" w:cs="Times New Roman"/>
          <w:color w:val="auto"/>
          <w:spacing w:val="0"/>
          <w:kern w:val="2"/>
          <w:sz w:val="32"/>
          <w:szCs w:val="32"/>
          <w:lang w:val="zh-CN" w:eastAsia="zh-CN" w:bidi="ar-SA"/>
        </w:rPr>
        <w:t>1.</w:t>
      </w:r>
      <w:r>
        <w:rPr>
          <w:rFonts w:hint="default" w:ascii="Times New Roman" w:hAnsi="Times New Roman" w:eastAsia="方正仿宋简体" w:cs="Times New Roman"/>
          <w:color w:val="auto"/>
          <w:spacing w:val="0"/>
          <w:kern w:val="2"/>
          <w:sz w:val="32"/>
          <w:szCs w:val="32"/>
          <w:highlight w:val="none"/>
          <w:lang w:val="zh-CN" w:eastAsia="zh-CN" w:bidi="ar-SA"/>
        </w:rPr>
        <w:t>一般公共服务支出（类）</w:t>
      </w:r>
      <w:r>
        <w:rPr>
          <w:rFonts w:hint="eastAsia" w:ascii="Times New Roman" w:hAnsi="Times New Roman" w:eastAsia="方正仿宋简体" w:cs="Times New Roman"/>
          <w:color w:val="auto"/>
          <w:spacing w:val="0"/>
          <w:kern w:val="2"/>
          <w:sz w:val="32"/>
          <w:szCs w:val="32"/>
          <w:highlight w:val="none"/>
          <w:lang w:val="en-US" w:eastAsia="zh-CN" w:bidi="ar-SA"/>
        </w:rPr>
        <w:t>3052.85</w:t>
      </w:r>
      <w:r>
        <w:rPr>
          <w:rFonts w:hint="default" w:ascii="Times New Roman" w:hAnsi="Times New Roman" w:eastAsia="方正仿宋简体" w:cs="Times New Roman"/>
          <w:color w:val="auto"/>
          <w:spacing w:val="0"/>
          <w:kern w:val="2"/>
          <w:sz w:val="32"/>
          <w:szCs w:val="32"/>
          <w:highlight w:val="none"/>
          <w:lang w:val="zh-CN" w:eastAsia="zh-CN" w:bidi="ar-SA"/>
        </w:rPr>
        <w:t>万元，占</w:t>
      </w:r>
      <w:r>
        <w:rPr>
          <w:rFonts w:hint="eastAsia" w:ascii="Times New Roman" w:hAnsi="Times New Roman" w:eastAsia="方正仿宋简体" w:cs="Times New Roman"/>
          <w:color w:val="auto"/>
          <w:spacing w:val="0"/>
          <w:kern w:val="2"/>
          <w:sz w:val="32"/>
          <w:szCs w:val="32"/>
          <w:highlight w:val="none"/>
          <w:lang w:val="en-US" w:eastAsia="zh-CN" w:bidi="ar-SA"/>
        </w:rPr>
        <w:t>76.35</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eastAsia" w:ascii="Times New Roman" w:hAnsi="Times New Roman" w:eastAsia="方正仿宋简体" w:cs="Times New Roman"/>
          <w:color w:val="auto"/>
          <w:spacing w:val="0"/>
          <w:kern w:val="2"/>
          <w:sz w:val="32"/>
          <w:szCs w:val="32"/>
          <w:lang w:val="en-US" w:eastAsia="zh-CN" w:bidi="ar-SA"/>
        </w:rPr>
        <w:t>2</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社会保障和就业支出（类）</w:t>
      </w:r>
      <w:r>
        <w:rPr>
          <w:rFonts w:hint="eastAsia" w:ascii="Times New Roman" w:hAnsi="Times New Roman" w:eastAsia="方正仿宋简体" w:cs="Times New Roman"/>
          <w:color w:val="auto"/>
          <w:spacing w:val="0"/>
          <w:kern w:val="2"/>
          <w:sz w:val="32"/>
          <w:szCs w:val="32"/>
          <w:highlight w:val="none"/>
          <w:lang w:val="en-US" w:eastAsia="zh-CN" w:bidi="ar-SA"/>
        </w:rPr>
        <w:t>506.99</w:t>
      </w:r>
      <w:r>
        <w:rPr>
          <w:rFonts w:hint="default" w:ascii="Times New Roman" w:hAnsi="Times New Roman" w:eastAsia="方正仿宋简体" w:cs="Times New Roman"/>
          <w:color w:val="auto"/>
          <w:spacing w:val="0"/>
          <w:kern w:val="2"/>
          <w:sz w:val="32"/>
          <w:szCs w:val="32"/>
          <w:highlight w:val="none"/>
          <w:lang w:val="zh-CN" w:eastAsia="zh-CN" w:bidi="ar-SA"/>
        </w:rPr>
        <w:t>万元，占</w:t>
      </w:r>
      <w:r>
        <w:rPr>
          <w:rFonts w:hint="eastAsia" w:ascii="Times New Roman" w:hAnsi="Times New Roman" w:eastAsia="方正仿宋简体" w:cs="Times New Roman"/>
          <w:color w:val="auto"/>
          <w:spacing w:val="0"/>
          <w:kern w:val="2"/>
          <w:sz w:val="32"/>
          <w:szCs w:val="32"/>
          <w:highlight w:val="none"/>
          <w:lang w:val="en-US" w:eastAsia="zh-CN" w:bidi="ar-SA"/>
        </w:rPr>
        <w:t>12.68</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eastAsia" w:ascii="Times New Roman" w:hAnsi="Times New Roman" w:eastAsia="方正仿宋简体" w:cs="Times New Roman"/>
          <w:color w:val="auto"/>
          <w:spacing w:val="0"/>
          <w:kern w:val="2"/>
          <w:sz w:val="32"/>
          <w:szCs w:val="32"/>
          <w:lang w:val="en-US" w:eastAsia="zh-CN" w:bidi="ar-SA"/>
        </w:rPr>
        <w:t>3</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卫生健康支出（类）</w:t>
      </w:r>
      <w:r>
        <w:rPr>
          <w:rFonts w:hint="eastAsia" w:ascii="Times New Roman" w:hAnsi="Times New Roman" w:eastAsia="方正仿宋简体" w:cs="Times New Roman"/>
          <w:color w:val="auto"/>
          <w:spacing w:val="0"/>
          <w:kern w:val="2"/>
          <w:sz w:val="32"/>
          <w:szCs w:val="32"/>
          <w:highlight w:val="none"/>
          <w:lang w:val="en-US" w:eastAsia="zh-CN" w:bidi="ar-SA"/>
        </w:rPr>
        <w:t>241.01</w:t>
      </w:r>
      <w:r>
        <w:rPr>
          <w:rFonts w:hint="default" w:ascii="Times New Roman" w:hAnsi="Times New Roman" w:eastAsia="方正仿宋简体" w:cs="Times New Roman"/>
          <w:color w:val="auto"/>
          <w:spacing w:val="0"/>
          <w:kern w:val="2"/>
          <w:sz w:val="32"/>
          <w:szCs w:val="32"/>
          <w:highlight w:val="none"/>
          <w:lang w:val="zh-CN" w:eastAsia="zh-CN" w:bidi="ar-SA"/>
        </w:rPr>
        <w:t>万元，占</w:t>
      </w:r>
      <w:r>
        <w:rPr>
          <w:rFonts w:hint="eastAsia" w:ascii="Times New Roman" w:hAnsi="Times New Roman" w:eastAsia="方正仿宋简体" w:cs="Times New Roman"/>
          <w:color w:val="auto"/>
          <w:spacing w:val="0"/>
          <w:kern w:val="2"/>
          <w:sz w:val="32"/>
          <w:szCs w:val="32"/>
          <w:highlight w:val="none"/>
          <w:lang w:val="en-US" w:eastAsia="zh-CN" w:bidi="ar-SA"/>
        </w:rPr>
        <w:t>6.03</w:t>
      </w:r>
      <w:r>
        <w:rPr>
          <w:rFonts w:hint="default" w:ascii="Times New Roman" w:hAnsi="Times New Roman" w:eastAsia="方正仿宋简体"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方正仿宋简体" w:cs="Times New Roman"/>
          <w:color w:val="auto"/>
          <w:spacing w:val="0"/>
          <w:kern w:val="2"/>
          <w:sz w:val="32"/>
          <w:szCs w:val="32"/>
          <w:highlight w:val="none"/>
          <w:lang w:val="zh-CN" w:eastAsia="zh-CN" w:bidi="ar-SA"/>
        </w:rPr>
      </w:pPr>
      <w:r>
        <w:rPr>
          <w:rFonts w:hint="eastAsia" w:ascii="Times New Roman" w:hAnsi="Times New Roman" w:eastAsia="方正仿宋简体" w:cs="Times New Roman"/>
          <w:color w:val="auto"/>
          <w:spacing w:val="0"/>
          <w:kern w:val="2"/>
          <w:sz w:val="32"/>
          <w:szCs w:val="32"/>
          <w:lang w:val="en-US" w:eastAsia="zh-CN" w:bidi="ar-SA"/>
        </w:rPr>
        <w:t>4</w:t>
      </w:r>
      <w:r>
        <w:rPr>
          <w:rFonts w:hint="default" w:ascii="Times New Roman" w:hAnsi="Times New Roman" w:eastAsia="方正仿宋简体" w:cs="Times New Roman"/>
          <w:color w:val="auto"/>
          <w:spacing w:val="0"/>
          <w:kern w:val="2"/>
          <w:sz w:val="32"/>
          <w:szCs w:val="32"/>
          <w:lang w:val="zh-CN" w:eastAsia="zh-CN" w:bidi="ar-SA"/>
        </w:rPr>
        <w:t>.</w:t>
      </w:r>
      <w:r>
        <w:rPr>
          <w:rFonts w:hint="default" w:ascii="Times New Roman" w:hAnsi="Times New Roman" w:eastAsia="方正仿宋简体" w:cs="Times New Roman"/>
          <w:color w:val="auto"/>
          <w:spacing w:val="0"/>
          <w:kern w:val="2"/>
          <w:sz w:val="32"/>
          <w:szCs w:val="32"/>
          <w:highlight w:val="none"/>
          <w:lang w:val="zh-CN" w:eastAsia="zh-CN" w:bidi="ar-SA"/>
        </w:rPr>
        <w:t>住房保障支出（类）</w:t>
      </w:r>
      <w:r>
        <w:rPr>
          <w:rFonts w:hint="eastAsia" w:ascii="Times New Roman" w:hAnsi="Times New Roman" w:eastAsia="方正仿宋简体" w:cs="Times New Roman"/>
          <w:color w:val="auto"/>
          <w:spacing w:val="0"/>
          <w:kern w:val="2"/>
          <w:sz w:val="32"/>
          <w:szCs w:val="32"/>
          <w:highlight w:val="none"/>
          <w:lang w:val="en-US" w:eastAsia="zh-CN" w:bidi="ar-SA"/>
        </w:rPr>
        <w:t>197.92</w:t>
      </w:r>
      <w:r>
        <w:rPr>
          <w:rFonts w:hint="default" w:ascii="Times New Roman" w:hAnsi="Times New Roman" w:eastAsia="方正仿宋简体" w:cs="Times New Roman"/>
          <w:color w:val="auto"/>
          <w:spacing w:val="0"/>
          <w:kern w:val="2"/>
          <w:sz w:val="32"/>
          <w:szCs w:val="32"/>
          <w:highlight w:val="none"/>
          <w:lang w:val="zh-CN" w:eastAsia="zh-CN" w:bidi="ar-SA"/>
        </w:rPr>
        <w:t>万元，占</w:t>
      </w:r>
      <w:r>
        <w:rPr>
          <w:rFonts w:hint="eastAsia" w:ascii="Times New Roman" w:hAnsi="Times New Roman" w:eastAsia="方正仿宋简体" w:cs="Times New Roman"/>
          <w:color w:val="auto"/>
          <w:spacing w:val="0"/>
          <w:kern w:val="2"/>
          <w:sz w:val="32"/>
          <w:szCs w:val="32"/>
          <w:highlight w:val="none"/>
          <w:lang w:val="en-US" w:eastAsia="zh-CN" w:bidi="ar-SA"/>
        </w:rPr>
        <w:t>4.95</w:t>
      </w:r>
      <w:r>
        <w:rPr>
          <w:rFonts w:hint="default" w:ascii="Times New Roman" w:hAnsi="Times New Roman" w:eastAsia="方正仿宋简体"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1.卫生健康支出（类）行政事业单位医疗（款）行政单位医疗（项）:支出决算数为</w:t>
      </w:r>
      <w:r>
        <w:rPr>
          <w:rFonts w:hint="eastAsia" w:ascii="Times New Roman" w:hAnsi="Times New Roman" w:eastAsia="方正仿宋简体" w:cs="Times New Roman"/>
          <w:color w:val="auto"/>
          <w:kern w:val="2"/>
          <w:sz w:val="32"/>
          <w:szCs w:val="32"/>
          <w:highlight w:val="none"/>
          <w:lang w:val="en-US" w:eastAsia="zh-CN" w:bidi="ar-SA"/>
        </w:rPr>
        <w:t>114.13</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7.05</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ascii="Times New Roman" w:hAnsi="Times New Roman" w:eastAsia="方正仿宋简体" w:cs="Times New Roman"/>
          <w:color w:val="auto"/>
          <w:kern w:val="2"/>
          <w:sz w:val="32"/>
          <w:szCs w:val="32"/>
          <w:highlight w:val="none"/>
          <w:lang w:val="en-US" w:eastAsia="zh-CN" w:bidi="ar-SA"/>
        </w:rPr>
        <w:t>6.5</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在职干部工资增长，导致行政单位医疗缴纳基数增高，行政单位医疗缴费增加。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2.卫生健康支出（类）行政事业单位医疗（款）事业单位医疗（项）:支出决算数为</w:t>
      </w:r>
      <w:r>
        <w:rPr>
          <w:rFonts w:hint="eastAsia" w:ascii="Times New Roman" w:hAnsi="Times New Roman" w:eastAsia="方正仿宋简体" w:cs="Times New Roman"/>
          <w:color w:val="auto"/>
          <w:kern w:val="2"/>
          <w:sz w:val="32"/>
          <w:szCs w:val="32"/>
          <w:highlight w:val="none"/>
          <w:lang w:val="en-US" w:eastAsia="zh-CN" w:bidi="ar-SA"/>
        </w:rPr>
        <w:t>11.44</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1.20</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ascii="Times New Roman" w:hAnsi="Times New Roman" w:eastAsia="方正仿宋简体" w:cs="Times New Roman"/>
          <w:color w:val="auto"/>
          <w:kern w:val="2"/>
          <w:sz w:val="32"/>
          <w:szCs w:val="32"/>
          <w:highlight w:val="none"/>
          <w:lang w:val="en-US" w:eastAsia="zh-CN" w:bidi="ar-SA"/>
        </w:rPr>
        <w:t>11.72</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在职干部工资增长，导致事业单位医疗缴纳基数增高，事业单位医疗缴费增加。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3.卫生健康支出（类）行政事业单位医疗（款）公务员医疗补助（项）:支出决算数为</w:t>
      </w:r>
      <w:r>
        <w:rPr>
          <w:rFonts w:hint="eastAsia" w:ascii="Times New Roman" w:hAnsi="Times New Roman" w:eastAsia="方正仿宋简体" w:cs="Times New Roman"/>
          <w:color w:val="auto"/>
          <w:kern w:val="2"/>
          <w:sz w:val="32"/>
          <w:szCs w:val="32"/>
          <w:highlight w:val="none"/>
          <w:lang w:val="en-US" w:eastAsia="zh-CN" w:bidi="ar-SA"/>
        </w:rPr>
        <w:t>115.45</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24.2</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ascii="Times New Roman" w:hAnsi="Times New Roman" w:eastAsia="方正仿宋简体" w:cs="Times New Roman"/>
          <w:color w:val="auto"/>
          <w:kern w:val="2"/>
          <w:sz w:val="32"/>
          <w:szCs w:val="32"/>
          <w:highlight w:val="none"/>
          <w:lang w:val="en-US" w:eastAsia="zh-CN" w:bidi="ar-SA"/>
        </w:rPr>
        <w:t>26.52</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在职干部工资增长，导致公务员医疗补助缴纳基数增高，公务员医疗医疗补助缴费增加。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4.住房保障支出（类）住房改革支出（款）住房公积金（项）:支出决算数为</w:t>
      </w:r>
      <w:r>
        <w:rPr>
          <w:rFonts w:hint="eastAsia" w:ascii="Times New Roman" w:hAnsi="Times New Roman" w:eastAsia="方正仿宋简体" w:cs="Times New Roman"/>
          <w:color w:val="auto"/>
          <w:kern w:val="2"/>
          <w:sz w:val="32"/>
          <w:szCs w:val="32"/>
          <w:highlight w:val="none"/>
          <w:lang w:val="en-US" w:eastAsia="zh-CN" w:bidi="ar-SA"/>
        </w:rPr>
        <w:t>197.92</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50.82</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ascii="Times New Roman" w:hAnsi="Times New Roman" w:eastAsia="方正仿宋简体" w:cs="Times New Roman"/>
          <w:color w:val="auto"/>
          <w:kern w:val="2"/>
          <w:sz w:val="32"/>
          <w:szCs w:val="32"/>
          <w:highlight w:val="none"/>
          <w:lang w:val="en-US" w:eastAsia="zh-CN" w:bidi="ar-SA"/>
        </w:rPr>
        <w:t>34.55</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在职干部工资增长，导致住房公积金缴纳基数增高，住房公积金缴费增加。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en-US" w:eastAsia="zh-CN" w:bidi="ar-SA"/>
        </w:rPr>
      </w:pPr>
      <w:r>
        <w:rPr>
          <w:rFonts w:hint="default" w:ascii="Times New Roman" w:hAnsi="Times New Roman" w:eastAsia="方正仿宋简体" w:cs="Times New Roman"/>
          <w:color w:val="auto"/>
          <w:kern w:val="2"/>
          <w:sz w:val="32"/>
          <w:szCs w:val="32"/>
          <w:highlight w:val="none"/>
          <w:lang w:val="en-US" w:eastAsia="zh-CN" w:bidi="ar-SA"/>
        </w:rPr>
        <w:t>5.社会保障和就业支出（类）行政事业单位养老支出（款）行政单位离退休（项）:支出决算数为124.93万元，比上年决算减少90.74万元，下降42.07%，主要原因是：一是按照医保要求，基本支出预算中不再安排退休人员医疗保险缴费预算；二是退休干部去世，导致行政单位离退休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6.一般公共服务支出（类）其他共产党事务支出（款）事业运行（项）:支出决算数为</w:t>
      </w:r>
      <w:r>
        <w:rPr>
          <w:rFonts w:hint="eastAsia" w:ascii="Times New Roman" w:hAnsi="Times New Roman" w:eastAsia="方正仿宋简体" w:cs="Times New Roman"/>
          <w:color w:val="auto"/>
          <w:kern w:val="2"/>
          <w:sz w:val="32"/>
          <w:szCs w:val="32"/>
          <w:highlight w:val="none"/>
          <w:lang w:val="en-US" w:eastAsia="zh-CN" w:bidi="ar-SA"/>
        </w:rPr>
        <w:t>179.59</w:t>
      </w:r>
      <w:r>
        <w:rPr>
          <w:rFonts w:hint="default" w:ascii="Times New Roman" w:hAnsi="Times New Roman" w:eastAsia="方正仿宋简体" w:cs="Times New Roman"/>
          <w:color w:val="auto"/>
          <w:kern w:val="2"/>
          <w:sz w:val="32"/>
          <w:szCs w:val="32"/>
          <w:highlight w:val="none"/>
          <w:lang w:val="en-US" w:eastAsia="zh-CN" w:bidi="ar-SA"/>
        </w:rPr>
        <w:t>万元，比上年决算</w:t>
      </w:r>
      <w:r>
        <w:rPr>
          <w:rFonts w:hint="eastAsia" w:ascii="Times New Roman" w:hAnsi="Times New Roman" w:eastAsia="方正仿宋简体" w:cs="Times New Roman"/>
          <w:color w:val="auto"/>
          <w:kern w:val="2"/>
          <w:sz w:val="32"/>
          <w:szCs w:val="32"/>
          <w:highlight w:val="none"/>
          <w:lang w:val="en-US" w:eastAsia="zh-CN" w:bidi="ar-SA"/>
        </w:rPr>
        <w:t>减少11.43</w:t>
      </w:r>
      <w:r>
        <w:rPr>
          <w:rFonts w:hint="default" w:ascii="Times New Roman" w:hAnsi="Times New Roman" w:eastAsia="方正仿宋简体" w:cs="Times New Roman"/>
          <w:color w:val="auto"/>
          <w:kern w:val="2"/>
          <w:sz w:val="32"/>
          <w:szCs w:val="32"/>
          <w:highlight w:val="none"/>
          <w:lang w:val="en-US" w:eastAsia="zh-CN" w:bidi="ar-SA"/>
        </w:rPr>
        <w:t>万元，</w:t>
      </w:r>
      <w:r>
        <w:rPr>
          <w:rFonts w:hint="eastAsia" w:ascii="Times New Roman" w:hAnsi="Times New Roman" w:eastAsia="方正仿宋简体" w:cs="Times New Roman"/>
          <w:color w:val="auto"/>
          <w:kern w:val="2"/>
          <w:sz w:val="32"/>
          <w:szCs w:val="32"/>
          <w:highlight w:val="none"/>
          <w:lang w:val="en-US" w:eastAsia="zh-CN" w:bidi="ar-SA"/>
        </w:rPr>
        <w:t>下降5.9</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%，主要原因是：1人退休，1人调出导致事业运行减少</w:t>
      </w:r>
      <w:r>
        <w:rPr>
          <w:rFonts w:hint="default" w:ascii="Times New Roman" w:hAnsi="Times New Roman" w:eastAsia="方正仿宋简体"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eastAsia="方正仿宋简体" w:cs="Times New Roman"/>
          <w:color w:val="auto"/>
          <w:spacing w:val="0"/>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7.一般公共服务支出（类）其他共产党事务支出（款）其他共产党事务支出（项）:支出决算数为</w:t>
      </w:r>
      <w:r>
        <w:rPr>
          <w:rFonts w:hint="eastAsia" w:ascii="Times New Roman" w:hAnsi="Times New Roman" w:eastAsia="方正仿宋简体" w:cs="Times New Roman"/>
          <w:color w:val="auto"/>
          <w:kern w:val="2"/>
          <w:sz w:val="32"/>
          <w:szCs w:val="32"/>
          <w:highlight w:val="none"/>
          <w:lang w:val="en-US" w:eastAsia="zh-CN" w:bidi="ar-SA"/>
        </w:rPr>
        <w:t>460.60</w:t>
      </w:r>
      <w:r>
        <w:rPr>
          <w:rFonts w:hint="default" w:ascii="Times New Roman" w:hAnsi="Times New Roman" w:eastAsia="方正仿宋简体" w:cs="Times New Roman"/>
          <w:color w:val="auto"/>
          <w:kern w:val="2"/>
          <w:sz w:val="32"/>
          <w:szCs w:val="32"/>
          <w:highlight w:val="none"/>
          <w:lang w:val="en-US" w:eastAsia="zh-CN" w:bidi="ar-SA"/>
        </w:rPr>
        <w:t>万元，比上年决算</w:t>
      </w:r>
      <w:r>
        <w:rPr>
          <w:rFonts w:hint="eastAsia" w:ascii="Times New Roman" w:hAnsi="Times New Roman" w:eastAsia="方正仿宋简体" w:cs="Times New Roman"/>
          <w:color w:val="auto"/>
          <w:kern w:val="2"/>
          <w:sz w:val="32"/>
          <w:szCs w:val="32"/>
          <w:highlight w:val="none"/>
          <w:lang w:val="en-US" w:eastAsia="zh-CN" w:bidi="ar-SA"/>
        </w:rPr>
        <w:t>增加50.04</w:t>
      </w:r>
      <w:r>
        <w:rPr>
          <w:rFonts w:hint="default" w:ascii="Times New Roman" w:hAnsi="Times New Roman" w:eastAsia="方正仿宋简体" w:cs="Times New Roman"/>
          <w:color w:val="auto"/>
          <w:kern w:val="2"/>
          <w:sz w:val="32"/>
          <w:szCs w:val="32"/>
          <w:highlight w:val="none"/>
          <w:lang w:val="en-US" w:eastAsia="zh-CN" w:bidi="ar-SA"/>
        </w:rPr>
        <w:t>万元，</w:t>
      </w:r>
      <w:r>
        <w:rPr>
          <w:rFonts w:hint="eastAsia" w:ascii="Times New Roman" w:hAnsi="Times New Roman" w:eastAsia="方正仿宋简体" w:cs="Times New Roman"/>
          <w:color w:val="auto"/>
          <w:kern w:val="2"/>
          <w:sz w:val="32"/>
          <w:szCs w:val="32"/>
          <w:highlight w:val="none"/>
          <w:lang w:val="en-US" w:eastAsia="zh-CN" w:bidi="ar-SA"/>
        </w:rPr>
        <w:t>增长12.19</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eastAsia" w:eastAsia="方正仿宋简体" w:cs="Times New Roman"/>
          <w:color w:val="auto"/>
          <w:spacing w:val="0"/>
          <w:sz w:val="32"/>
          <w:szCs w:val="32"/>
          <w:highlight w:val="none"/>
          <w:lang w:val="en-US" w:eastAsia="zh-CN"/>
        </w:rPr>
        <w:t>2022年受疫情影响，预算支出总体较低，2023年正常开展工作后，支出数较2022年大幅增长。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8.一般公共服务支出（类）其他共产党事务支出（款）行政运行（项）:支出决算数为</w:t>
      </w:r>
      <w:r>
        <w:rPr>
          <w:rFonts w:hint="eastAsia" w:ascii="Times New Roman" w:hAnsi="Times New Roman" w:eastAsia="方正仿宋简体" w:cs="Times New Roman"/>
          <w:color w:val="auto"/>
          <w:kern w:val="2"/>
          <w:sz w:val="32"/>
          <w:szCs w:val="32"/>
          <w:highlight w:val="none"/>
          <w:lang w:val="en-US" w:eastAsia="zh-CN" w:bidi="ar-SA"/>
        </w:rPr>
        <w:t>2412.64</w:t>
      </w:r>
      <w:r>
        <w:rPr>
          <w:rFonts w:hint="default" w:ascii="Times New Roman" w:hAnsi="Times New Roman" w:eastAsia="方正仿宋简体" w:cs="Times New Roman"/>
          <w:color w:val="auto"/>
          <w:kern w:val="2"/>
          <w:sz w:val="32"/>
          <w:szCs w:val="32"/>
          <w:highlight w:val="none"/>
          <w:lang w:val="en-US" w:eastAsia="zh-CN" w:bidi="ar-SA"/>
        </w:rPr>
        <w:t>万元，比上年决算减少</w:t>
      </w:r>
      <w:r>
        <w:rPr>
          <w:rFonts w:hint="eastAsia" w:ascii="Times New Roman" w:hAnsi="Times New Roman" w:eastAsia="方正仿宋简体" w:cs="Times New Roman"/>
          <w:color w:val="auto"/>
          <w:kern w:val="2"/>
          <w:sz w:val="32"/>
          <w:szCs w:val="32"/>
          <w:highlight w:val="none"/>
          <w:lang w:val="en-US" w:eastAsia="zh-CN" w:bidi="ar-SA"/>
        </w:rPr>
        <w:t>234.47</w:t>
      </w:r>
      <w:r>
        <w:rPr>
          <w:rFonts w:hint="default" w:ascii="Times New Roman" w:hAnsi="Times New Roman" w:eastAsia="方正仿宋简体" w:cs="Times New Roman"/>
          <w:color w:val="auto"/>
          <w:kern w:val="2"/>
          <w:sz w:val="32"/>
          <w:szCs w:val="32"/>
          <w:highlight w:val="none"/>
          <w:lang w:val="en-US" w:eastAsia="zh-CN" w:bidi="ar-SA"/>
        </w:rPr>
        <w:t>万元，下降</w:t>
      </w:r>
      <w:r>
        <w:rPr>
          <w:rFonts w:hint="eastAsia" w:ascii="Times New Roman" w:hAnsi="Times New Roman" w:eastAsia="方正仿宋简体" w:cs="Times New Roman"/>
          <w:color w:val="auto"/>
          <w:kern w:val="2"/>
          <w:sz w:val="32"/>
          <w:szCs w:val="32"/>
          <w:highlight w:val="none"/>
          <w:lang w:val="en-US" w:eastAsia="zh-CN" w:bidi="ar-SA"/>
        </w:rPr>
        <w:t>8.86</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厉行节约，非必要不支出。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eastAsia" w:ascii="Times New Roman" w:hAnsi="Times New Roman" w:eastAsia="方正仿宋简体" w:cs="Times New Roman"/>
          <w:color w:val="auto"/>
          <w:kern w:val="2"/>
          <w:sz w:val="32"/>
          <w:szCs w:val="32"/>
          <w:highlight w:val="none"/>
          <w:lang w:val="en-US" w:eastAsia="zh-CN" w:bidi="ar-SA"/>
        </w:rPr>
        <w:t>9</w:t>
      </w:r>
      <w:r>
        <w:rPr>
          <w:rFonts w:hint="default" w:ascii="Times New Roman" w:hAnsi="Times New Roman" w:eastAsia="方正仿宋简体" w:cs="Times New Roman"/>
          <w:color w:val="auto"/>
          <w:kern w:val="2"/>
          <w:sz w:val="32"/>
          <w:szCs w:val="32"/>
          <w:highlight w:val="none"/>
          <w:lang w:val="en-US" w:eastAsia="zh-CN" w:bidi="ar-SA"/>
        </w:rPr>
        <w:t>.社会保障和就业支出（类）行政事业单位养老支出（款）机关事业单位职业年金缴费支出（项）:支出决算数为</w:t>
      </w:r>
      <w:r>
        <w:rPr>
          <w:rFonts w:hint="eastAsia" w:ascii="Times New Roman" w:hAnsi="Times New Roman" w:eastAsia="方正仿宋简体" w:cs="Times New Roman"/>
          <w:color w:val="auto"/>
          <w:kern w:val="2"/>
          <w:sz w:val="32"/>
          <w:szCs w:val="32"/>
          <w:highlight w:val="none"/>
          <w:lang w:val="en-US" w:eastAsia="zh-CN" w:bidi="ar-SA"/>
        </w:rPr>
        <w:t>118.18</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101.96</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ascii="Times New Roman" w:hAnsi="Times New Roman" w:eastAsia="方正仿宋简体" w:cs="Times New Roman"/>
          <w:color w:val="auto"/>
          <w:kern w:val="2"/>
          <w:sz w:val="32"/>
          <w:szCs w:val="32"/>
          <w:highlight w:val="none"/>
          <w:lang w:val="en-US" w:eastAsia="zh-CN" w:bidi="ar-SA"/>
        </w:rPr>
        <w:t>628.61</w:t>
      </w:r>
      <w:r>
        <w:rPr>
          <w:rFonts w:hint="default" w:ascii="Times New Roman" w:hAnsi="Times New Roman" w:eastAsia="方正仿宋简体" w:cs="Times New Roman"/>
          <w:color w:val="auto"/>
          <w:kern w:val="2"/>
          <w:sz w:val="32"/>
          <w:szCs w:val="32"/>
          <w:highlight w:val="none"/>
          <w:lang w:val="en-US" w:eastAsia="zh-CN" w:bidi="ar-SA"/>
        </w:rPr>
        <w:t>%，主要原因是：一是人员增加和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在职干部工资增长，导致机关事业单位职业年金缴纳基数增高；二是调出</w:t>
      </w:r>
      <w:r>
        <w:rPr>
          <w:rFonts w:hint="eastAsia" w:eastAsia="方正仿宋简体" w:cs="Times New Roman"/>
          <w:color w:val="auto"/>
          <w:kern w:val="2"/>
          <w:sz w:val="32"/>
          <w:szCs w:val="32"/>
          <w:highlight w:val="none"/>
          <w:lang w:val="zh-CN" w:eastAsia="zh-CN" w:bidi="ar-SA"/>
        </w:rPr>
        <w:t>、退休</w:t>
      </w:r>
      <w:r>
        <w:rPr>
          <w:rFonts w:hint="default" w:ascii="Times New Roman" w:hAnsi="Times New Roman" w:eastAsia="方正仿宋简体" w:cs="Times New Roman"/>
          <w:color w:val="auto"/>
          <w:kern w:val="2"/>
          <w:sz w:val="32"/>
          <w:szCs w:val="32"/>
          <w:highlight w:val="none"/>
          <w:lang w:val="zh-CN" w:eastAsia="zh-CN" w:bidi="ar-SA"/>
        </w:rPr>
        <w:t>人员清算职业年金。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Times New Roman" w:hAnsi="Times New Roman" w:eastAsia="方正仿宋简体" w:cs="Times New Roman"/>
          <w:color w:val="auto"/>
          <w:kern w:val="2"/>
          <w:sz w:val="32"/>
          <w:szCs w:val="32"/>
          <w:highlight w:val="none"/>
          <w:lang w:val="en-US" w:eastAsia="zh-CN" w:bidi="ar-SA"/>
        </w:rPr>
        <w:t>0</w:t>
      </w:r>
      <w:r>
        <w:rPr>
          <w:rFonts w:hint="default" w:ascii="Times New Roman" w:hAnsi="Times New Roman" w:eastAsia="方正仿宋简体" w:cs="Times New Roman"/>
          <w:color w:val="auto"/>
          <w:kern w:val="2"/>
          <w:sz w:val="32"/>
          <w:szCs w:val="32"/>
          <w:highlight w:val="none"/>
          <w:lang w:val="en-US" w:eastAsia="zh-CN" w:bidi="ar-SA"/>
        </w:rPr>
        <w:t>.社会保障和就业支出（类）行政事业单位养老支出（款）机关事业单位基本养老保险缴费支出（项）:支出决算数为</w:t>
      </w:r>
      <w:r>
        <w:rPr>
          <w:rFonts w:hint="eastAsia" w:ascii="Times New Roman" w:hAnsi="Times New Roman" w:eastAsia="方正仿宋简体" w:cs="Times New Roman"/>
          <w:color w:val="auto"/>
          <w:kern w:val="2"/>
          <w:sz w:val="32"/>
          <w:szCs w:val="32"/>
          <w:highlight w:val="none"/>
          <w:lang w:val="en-US" w:eastAsia="zh-CN" w:bidi="ar-SA"/>
        </w:rPr>
        <w:t>263.88</w:t>
      </w:r>
      <w:r>
        <w:rPr>
          <w:rFonts w:hint="default" w:ascii="Times New Roman" w:hAnsi="Times New Roman" w:eastAsia="方正仿宋简体" w:cs="Times New Roman"/>
          <w:color w:val="auto"/>
          <w:kern w:val="2"/>
          <w:sz w:val="32"/>
          <w:szCs w:val="32"/>
          <w:highlight w:val="none"/>
          <w:lang w:val="en-US" w:eastAsia="zh-CN" w:bidi="ar-SA"/>
        </w:rPr>
        <w:t>万元，比上年决算增加</w:t>
      </w:r>
      <w:r>
        <w:rPr>
          <w:rFonts w:hint="eastAsia" w:ascii="Times New Roman" w:hAnsi="Times New Roman" w:eastAsia="方正仿宋简体" w:cs="Times New Roman"/>
          <w:color w:val="auto"/>
          <w:kern w:val="2"/>
          <w:sz w:val="32"/>
          <w:szCs w:val="32"/>
          <w:highlight w:val="none"/>
          <w:lang w:val="en-US" w:eastAsia="zh-CN" w:bidi="ar-SA"/>
        </w:rPr>
        <w:t>67.17</w:t>
      </w:r>
      <w:r>
        <w:rPr>
          <w:rFonts w:hint="default" w:ascii="Times New Roman" w:hAnsi="Times New Roman" w:eastAsia="方正仿宋简体" w:cs="Times New Roman"/>
          <w:color w:val="auto"/>
          <w:kern w:val="2"/>
          <w:sz w:val="32"/>
          <w:szCs w:val="32"/>
          <w:highlight w:val="none"/>
          <w:lang w:val="en-US" w:eastAsia="zh-CN" w:bidi="ar-SA"/>
        </w:rPr>
        <w:t>万元，增长</w:t>
      </w:r>
      <w:r>
        <w:rPr>
          <w:rFonts w:hint="eastAsia" w:eastAsia="方正仿宋简体" w:cs="Times New Roman"/>
          <w:color w:val="auto"/>
          <w:kern w:val="2"/>
          <w:sz w:val="32"/>
          <w:szCs w:val="32"/>
          <w:highlight w:val="none"/>
          <w:lang w:val="en-US" w:eastAsia="zh-CN" w:bidi="ar-SA"/>
        </w:rPr>
        <w:t>34.15</w:t>
      </w:r>
      <w:r>
        <w:rPr>
          <w:rFonts w:hint="default" w:ascii="Times New Roman" w:hAnsi="Times New Roman" w:eastAsia="方正仿宋简体" w:cs="Times New Roman"/>
          <w:color w:val="auto"/>
          <w:kern w:val="2"/>
          <w:sz w:val="32"/>
          <w:szCs w:val="32"/>
          <w:highlight w:val="none"/>
          <w:lang w:val="en-US" w:eastAsia="zh-CN" w:bidi="ar-SA"/>
        </w:rPr>
        <w:t>%，主要原因是：人员增加和</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在职干部工资增长，导致机关事业单位基本养老保险缴纳基数增高，机关事业单位基本养老保险缴费增加。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z w:val="32"/>
          <w:szCs w:val="32"/>
          <w:highlight w:val="none"/>
        </w:rPr>
        <w:t>一般公共预算财政拨款基本支出</w:t>
      </w:r>
      <w:r>
        <w:rPr>
          <w:rFonts w:hint="eastAsia" w:ascii="Times New Roman" w:hAnsi="Times New Roman" w:eastAsia="方正仿宋简体" w:cs="Times New Roman"/>
          <w:color w:val="auto"/>
          <w:sz w:val="32"/>
          <w:szCs w:val="32"/>
          <w:highlight w:val="none"/>
          <w:lang w:val="en-US" w:eastAsia="zh-CN"/>
        </w:rPr>
        <w:t>3538.16</w:t>
      </w:r>
      <w:r>
        <w:rPr>
          <w:rFonts w:hint="default" w:ascii="Times New Roman" w:hAnsi="Times New Roman" w:eastAsia="方正仿宋简体" w:cs="Times New Roman"/>
          <w:color w:val="auto"/>
          <w:sz w:val="32"/>
          <w:szCs w:val="32"/>
          <w:highlight w:val="none"/>
        </w:rPr>
        <w:t>万元，其中：人员经费</w:t>
      </w:r>
      <w:r>
        <w:rPr>
          <w:rFonts w:hint="eastAsia" w:ascii="Times New Roman" w:hAnsi="Times New Roman" w:eastAsia="方正仿宋简体" w:cs="Times New Roman"/>
          <w:color w:val="auto"/>
          <w:sz w:val="32"/>
          <w:szCs w:val="32"/>
          <w:highlight w:val="none"/>
          <w:lang w:val="en-US" w:eastAsia="zh-CN"/>
        </w:rPr>
        <w:t>3158.63</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抚恤金、生活补助、医疗费补助、奖励金、。</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red"/>
          <w:lang w:val="en-US" w:eastAsia="zh-CN"/>
        </w:rPr>
      </w:pPr>
      <w:r>
        <w:rPr>
          <w:rFonts w:hint="default" w:ascii="Times New Roman" w:hAnsi="Times New Roman" w:eastAsia="方正仿宋简体" w:cs="Times New Roman"/>
          <w:color w:val="auto"/>
          <w:sz w:val="32"/>
          <w:szCs w:val="32"/>
          <w:highlight w:val="none"/>
        </w:rPr>
        <w:t>公用经费</w:t>
      </w:r>
      <w:r>
        <w:rPr>
          <w:rFonts w:hint="eastAsia" w:ascii="Times New Roman" w:hAnsi="Times New Roman" w:eastAsia="方正仿宋简体" w:cs="Times New Roman"/>
          <w:color w:val="auto"/>
          <w:sz w:val="32"/>
          <w:szCs w:val="32"/>
          <w:highlight w:val="none"/>
          <w:lang w:val="en-US" w:eastAsia="zh-CN"/>
        </w:rPr>
        <w:t>379.54</w:t>
      </w:r>
      <w:r>
        <w:rPr>
          <w:rFonts w:hint="default" w:ascii="Times New Roman" w:hAnsi="Times New Roman" w:eastAsia="方正仿宋简体" w:cs="Times New Roman"/>
          <w:color w:val="auto"/>
          <w:sz w:val="32"/>
          <w:szCs w:val="32"/>
          <w:highlight w:val="none"/>
        </w:rPr>
        <w:t>万元，包括：</w:t>
      </w:r>
      <w:r>
        <w:rPr>
          <w:rFonts w:hint="default" w:ascii="Times New Roman" w:hAnsi="Times New Roman" w:eastAsia="方正仿宋简体" w:cs="Times New Roman"/>
          <w:color w:val="auto"/>
          <w:sz w:val="32"/>
          <w:szCs w:val="32"/>
          <w:highlight w:val="none"/>
          <w:lang w:val="en-US" w:eastAsia="zh-CN"/>
        </w:rPr>
        <w:t>办公费、印刷费、咨询费、水费、电费、邮电费、取暖费、物业管理费、差旅费、维修（护）费、会议费、培训费、劳务费、工会经费、福利费、公务用车运行维护费、其他交通费用</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财政拨款</w:t>
      </w:r>
      <w:r>
        <w:rPr>
          <w:rFonts w:hint="default" w:ascii="Times New Roman" w:hAnsi="Times New Roman" w:eastAsia="方正仿宋简体" w:cs="Times New Roman"/>
          <w:color w:val="auto"/>
          <w:sz w:val="32"/>
          <w:szCs w:val="32"/>
          <w:highlight w:val="none"/>
          <w:lang w:val="zh-CN" w:eastAsia="zh-CN"/>
        </w:rPr>
        <w:t>“三公”经费支出</w:t>
      </w:r>
      <w:r>
        <w:rPr>
          <w:rFonts w:hint="eastAsia" w:ascii="Times New Roman" w:hAnsi="Times New Roman" w:eastAsia="方正仿宋简体" w:cs="Times New Roman"/>
          <w:color w:val="auto"/>
          <w:sz w:val="32"/>
          <w:szCs w:val="32"/>
          <w:highlight w:val="none"/>
          <w:lang w:val="en-US" w:eastAsia="zh-CN"/>
        </w:rPr>
        <w:t>132.41</w:t>
      </w:r>
      <w:r>
        <w:rPr>
          <w:rFonts w:hint="default" w:ascii="Times New Roman" w:hAnsi="Times New Roman" w:eastAsia="方正仿宋简体" w:cs="Times New Roman"/>
          <w:color w:val="auto"/>
          <w:sz w:val="32"/>
          <w:szCs w:val="32"/>
          <w:highlight w:val="none"/>
          <w:lang w:val="zh-CN" w:eastAsia="zh-CN"/>
        </w:rPr>
        <w:t>万元，</w:t>
      </w:r>
      <w:r>
        <w:rPr>
          <w:rFonts w:hint="default" w:ascii="Times New Roman" w:hAnsi="Times New Roman" w:eastAsia="方正仿宋简体" w:cs="Times New Roman"/>
          <w:color w:val="auto"/>
          <w:sz w:val="32"/>
          <w:szCs w:val="32"/>
          <w:highlight w:val="none"/>
          <w:lang w:val="en-US" w:eastAsia="zh-CN"/>
        </w:rPr>
        <w:t>比上年</w:t>
      </w:r>
      <w:r>
        <w:rPr>
          <w:rFonts w:hint="default" w:ascii="Times New Roman" w:hAnsi="Times New Roman" w:eastAsia="方正仿宋简体" w:cs="Times New Roman"/>
          <w:color w:val="auto"/>
          <w:sz w:val="32"/>
          <w:szCs w:val="32"/>
          <w:highlight w:val="none"/>
          <w:lang w:val="zh-CN" w:eastAsia="zh-CN"/>
        </w:rPr>
        <w:t>增加</w:t>
      </w:r>
      <w:r>
        <w:rPr>
          <w:rFonts w:hint="eastAsia" w:ascii="Times New Roman" w:hAnsi="Times New Roman" w:eastAsia="方正仿宋简体" w:cs="Times New Roman"/>
          <w:color w:val="auto"/>
          <w:sz w:val="32"/>
          <w:szCs w:val="32"/>
          <w:highlight w:val="none"/>
          <w:lang w:val="en-US" w:eastAsia="zh-CN"/>
        </w:rPr>
        <w:t>31.75</w:t>
      </w:r>
      <w:r>
        <w:rPr>
          <w:rFonts w:hint="default" w:ascii="Times New Roman" w:hAnsi="Times New Roman" w:eastAsia="方正仿宋简体" w:cs="Times New Roman"/>
          <w:color w:val="auto"/>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val="en-US" w:eastAsia="zh-CN"/>
        </w:rPr>
        <w:t>增长</w:t>
      </w:r>
      <w:r>
        <w:rPr>
          <w:rFonts w:hint="eastAsia" w:ascii="Times New Roman" w:hAnsi="Times New Roman" w:eastAsia="方正仿宋简体" w:cs="Times New Roman"/>
          <w:color w:val="auto"/>
          <w:spacing w:val="0"/>
          <w:sz w:val="32"/>
          <w:szCs w:val="32"/>
          <w:highlight w:val="none"/>
          <w:lang w:val="en-US" w:eastAsia="zh-CN"/>
        </w:rPr>
        <w:t>31.5</w:t>
      </w:r>
      <w:r>
        <w:rPr>
          <w:rFonts w:hint="eastAsia" w:eastAsia="方正仿宋简体" w:cs="Times New Roman"/>
          <w:color w:val="auto"/>
          <w:spacing w:val="0"/>
          <w:sz w:val="32"/>
          <w:szCs w:val="32"/>
          <w:highlight w:val="none"/>
          <w:lang w:val="en-US" w:eastAsia="zh-CN"/>
        </w:rPr>
        <w:t>4</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2022年“三公”活动减少，2023年“三公”活动</w:t>
      </w:r>
      <w:r>
        <w:rPr>
          <w:rFonts w:hint="default" w:ascii="Times New Roman" w:hAnsi="Times New Roman" w:eastAsia="方正仿宋简体" w:cs="Times New Roman"/>
          <w:color w:val="auto"/>
          <w:sz w:val="32"/>
          <w:szCs w:val="32"/>
          <w:highlight w:val="none"/>
          <w:lang w:val="zh-CN" w:eastAsia="zh-CN"/>
        </w:rPr>
        <w:t>正常开展。其中：因公出国（境）费支出0.00万元，占0.00%，比上年增加0.00万元，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主要原因是：我单位无因公出国（境）费；公务用车购置及运行维护费支出</w:t>
      </w:r>
      <w:r>
        <w:rPr>
          <w:rFonts w:hint="eastAsia" w:ascii="Times New Roman" w:hAnsi="Times New Roman" w:eastAsia="方正仿宋简体" w:cs="Times New Roman"/>
          <w:color w:val="auto"/>
          <w:sz w:val="32"/>
          <w:szCs w:val="32"/>
          <w:highlight w:val="none"/>
          <w:lang w:val="en-US" w:eastAsia="zh-CN"/>
        </w:rPr>
        <w:t>126.79</w:t>
      </w:r>
      <w:r>
        <w:rPr>
          <w:rFonts w:hint="default" w:ascii="Times New Roman" w:hAnsi="Times New Roman" w:eastAsia="方正仿宋简体" w:cs="Times New Roman"/>
          <w:color w:val="auto"/>
          <w:sz w:val="32"/>
          <w:szCs w:val="32"/>
          <w:highlight w:val="none"/>
          <w:lang w:val="zh-CN" w:eastAsia="zh-CN"/>
        </w:rPr>
        <w:t>万元，占</w:t>
      </w:r>
      <w:r>
        <w:rPr>
          <w:rFonts w:hint="eastAsia" w:ascii="Times New Roman" w:hAnsi="Times New Roman" w:eastAsia="方正仿宋简体" w:cs="Times New Roman"/>
          <w:color w:val="auto"/>
          <w:sz w:val="32"/>
          <w:szCs w:val="32"/>
          <w:highlight w:val="none"/>
          <w:lang w:val="en-US" w:eastAsia="zh-CN"/>
        </w:rPr>
        <w:t>95.76</w:t>
      </w:r>
      <w:r>
        <w:rPr>
          <w:rFonts w:hint="default" w:ascii="Times New Roman" w:hAnsi="Times New Roman" w:eastAsia="方正仿宋简体" w:cs="Times New Roman"/>
          <w:color w:val="auto"/>
          <w:sz w:val="32"/>
          <w:szCs w:val="32"/>
          <w:highlight w:val="none"/>
          <w:lang w:val="zh-CN" w:eastAsia="zh-CN"/>
        </w:rPr>
        <w:t>%，比上年增加</w:t>
      </w:r>
      <w:r>
        <w:rPr>
          <w:rFonts w:hint="eastAsia" w:ascii="Times New Roman" w:hAnsi="Times New Roman" w:eastAsia="方正仿宋简体" w:cs="Times New Roman"/>
          <w:color w:val="auto"/>
          <w:sz w:val="32"/>
          <w:szCs w:val="32"/>
          <w:highlight w:val="none"/>
          <w:lang w:val="en-US" w:eastAsia="zh-CN"/>
        </w:rPr>
        <w:t>26.49</w:t>
      </w:r>
      <w:r>
        <w:rPr>
          <w:rFonts w:hint="default" w:ascii="Times New Roman" w:hAnsi="Times New Roman" w:eastAsia="方正仿宋简体" w:cs="Times New Roman"/>
          <w:color w:val="auto"/>
          <w:sz w:val="32"/>
          <w:szCs w:val="32"/>
          <w:highlight w:val="none"/>
          <w:lang w:val="zh-CN" w:eastAsia="zh-CN"/>
        </w:rPr>
        <w:t>万元，</w:t>
      </w:r>
      <w:r>
        <w:rPr>
          <w:rFonts w:hint="default" w:ascii="Times New Roman" w:hAnsi="Times New Roman" w:eastAsia="方正仿宋简体" w:cs="Times New Roman"/>
          <w:color w:val="auto"/>
          <w:spacing w:val="0"/>
          <w:sz w:val="32"/>
          <w:szCs w:val="32"/>
          <w:highlight w:val="none"/>
          <w:lang w:val="en-US" w:eastAsia="zh-CN"/>
        </w:rPr>
        <w:t>增长</w:t>
      </w:r>
      <w:r>
        <w:rPr>
          <w:rFonts w:hint="eastAsia" w:ascii="Times New Roman" w:hAnsi="Times New Roman" w:eastAsia="方正仿宋简体" w:cs="Times New Roman"/>
          <w:color w:val="auto"/>
          <w:spacing w:val="0"/>
          <w:sz w:val="32"/>
          <w:szCs w:val="32"/>
          <w:highlight w:val="none"/>
          <w:lang w:val="en-US" w:eastAsia="zh-CN"/>
        </w:rPr>
        <w:t>26.41</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2022年公务用车运行减少，2023年</w:t>
      </w:r>
      <w:r>
        <w:rPr>
          <w:rFonts w:hint="default" w:ascii="Times New Roman" w:hAnsi="Times New Roman" w:eastAsia="方正仿宋简体" w:cs="Times New Roman"/>
          <w:color w:val="auto"/>
          <w:sz w:val="32"/>
          <w:szCs w:val="32"/>
          <w:highlight w:val="none"/>
          <w:lang w:val="zh-CN" w:eastAsia="zh-CN"/>
        </w:rPr>
        <w:t>正常开展；公务接待费支出5.61万元，占</w:t>
      </w:r>
      <w:r>
        <w:rPr>
          <w:rFonts w:hint="eastAsia" w:eastAsia="方正仿宋简体" w:cs="Times New Roman"/>
          <w:color w:val="auto"/>
          <w:sz w:val="32"/>
          <w:szCs w:val="32"/>
          <w:highlight w:val="none"/>
          <w:lang w:val="en-US" w:eastAsia="zh-CN"/>
        </w:rPr>
        <w:t>4.24</w:t>
      </w:r>
      <w:r>
        <w:rPr>
          <w:rFonts w:hint="default" w:ascii="Times New Roman" w:hAnsi="Times New Roman" w:eastAsia="方正仿宋简体" w:cs="Times New Roman"/>
          <w:color w:val="auto"/>
          <w:sz w:val="32"/>
          <w:szCs w:val="32"/>
          <w:highlight w:val="none"/>
          <w:lang w:val="zh-CN" w:eastAsia="zh-CN"/>
        </w:rPr>
        <w:t>%，比上年增加5.25万元，</w:t>
      </w:r>
      <w:r>
        <w:rPr>
          <w:rFonts w:hint="default" w:ascii="Times New Roman" w:hAnsi="Times New Roman" w:eastAsia="方正仿宋简体" w:cs="Times New Roman"/>
          <w:color w:val="auto"/>
          <w:spacing w:val="0"/>
          <w:sz w:val="32"/>
          <w:szCs w:val="32"/>
          <w:highlight w:val="none"/>
          <w:lang w:val="en-US" w:eastAsia="zh-CN"/>
        </w:rPr>
        <w:t>增长145</w:t>
      </w:r>
      <w:r>
        <w:rPr>
          <w:rFonts w:hint="eastAsia" w:eastAsia="方正仿宋简体" w:cs="Times New Roman"/>
          <w:color w:val="auto"/>
          <w:spacing w:val="0"/>
          <w:sz w:val="32"/>
          <w:szCs w:val="32"/>
          <w:highlight w:val="none"/>
          <w:lang w:val="en-US" w:eastAsia="zh-CN"/>
        </w:rPr>
        <w:t>8.33</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2022年公务接待减少，2023年开展主题教育活动，中央政法委和其他省市政法委加强了赴疆调研活动，公务接待增幅较大</w:t>
      </w:r>
      <w:r>
        <w:rPr>
          <w:rFonts w:hint="default" w:ascii="Times New Roman" w:hAnsi="Times New Roman" w:eastAsia="方正仿宋简体"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公务用车购置及运行维护费</w:t>
      </w:r>
      <w:r>
        <w:rPr>
          <w:rFonts w:hint="eastAsia" w:ascii="Times New Roman" w:hAnsi="Times New Roman" w:eastAsia="方正仿宋简体" w:cs="Times New Roman"/>
          <w:color w:val="auto"/>
          <w:sz w:val="32"/>
          <w:szCs w:val="32"/>
          <w:highlight w:val="none"/>
          <w:lang w:val="en-US" w:eastAsia="zh-CN"/>
        </w:rPr>
        <w:t>126.79</w:t>
      </w:r>
      <w:r>
        <w:rPr>
          <w:rFonts w:hint="default" w:ascii="Times New Roman" w:hAnsi="Times New Roman" w:eastAsia="方正仿宋简体" w:cs="Times New Roman"/>
          <w:color w:val="auto"/>
          <w:sz w:val="32"/>
          <w:szCs w:val="32"/>
          <w:highlight w:val="none"/>
          <w:lang w:val="zh-CN" w:eastAsia="zh-CN"/>
        </w:rPr>
        <w:t>万元，其中：公务用车购置费17.48万元，公务用车运行维护费</w:t>
      </w:r>
      <w:r>
        <w:rPr>
          <w:rFonts w:hint="eastAsia" w:ascii="Times New Roman" w:hAnsi="Times New Roman" w:eastAsia="方正仿宋简体" w:cs="Times New Roman"/>
          <w:color w:val="auto"/>
          <w:sz w:val="32"/>
          <w:szCs w:val="32"/>
          <w:highlight w:val="none"/>
          <w:lang w:val="en-US" w:eastAsia="zh-CN"/>
        </w:rPr>
        <w:t>109.31</w:t>
      </w:r>
      <w:r>
        <w:rPr>
          <w:rFonts w:hint="default" w:ascii="Times New Roman" w:hAnsi="Times New Roman" w:eastAsia="方正仿宋简体" w:cs="Times New Roman"/>
          <w:color w:val="auto"/>
          <w:sz w:val="32"/>
          <w:szCs w:val="32"/>
          <w:highlight w:val="none"/>
          <w:lang w:val="zh-CN" w:eastAsia="zh-CN"/>
        </w:rPr>
        <w:t>万元。公务用车运行维护费开支内容包括公务用车油料费、维修（护）费、保险费等。公务用车购置数1辆，公务用车保有量31辆。国有资产占用情况</w:t>
      </w:r>
      <w:r>
        <w:rPr>
          <w:rFonts w:hint="default" w:ascii="Times New Roman" w:hAnsi="Times New Roman" w:eastAsia="方正仿宋简体" w:cs="Times New Roman"/>
          <w:color w:val="auto"/>
          <w:sz w:val="32"/>
          <w:szCs w:val="32"/>
          <w:highlight w:val="none"/>
          <w:lang w:val="en-US" w:eastAsia="zh-CN"/>
        </w:rPr>
        <w:t>中固定资产车辆</w:t>
      </w:r>
      <w:r>
        <w:rPr>
          <w:rFonts w:hint="default" w:ascii="Times New Roman" w:hAnsi="Times New Roman" w:eastAsia="方正仿宋简体" w:cs="Times New Roman"/>
          <w:color w:val="auto"/>
          <w:sz w:val="32"/>
          <w:szCs w:val="32"/>
          <w:highlight w:val="none"/>
          <w:lang w:val="zh-CN" w:eastAsia="zh-CN"/>
        </w:rPr>
        <w:t>31辆，</w:t>
      </w:r>
      <w:r>
        <w:rPr>
          <w:rFonts w:hint="default" w:ascii="Times New Roman" w:hAnsi="Times New Roman" w:eastAsia="方正仿宋简体" w:cs="Times New Roman"/>
          <w:color w:val="auto"/>
          <w:sz w:val="32"/>
          <w:szCs w:val="32"/>
          <w:highlight w:val="none"/>
          <w:lang w:val="en-US" w:eastAsia="zh-CN"/>
        </w:rPr>
        <w:t>与</w:t>
      </w:r>
      <w:r>
        <w:rPr>
          <w:rFonts w:hint="default" w:ascii="Times New Roman" w:hAnsi="Times New Roman" w:eastAsia="方正仿宋简体" w:cs="Times New Roman"/>
          <w:color w:val="auto"/>
          <w:sz w:val="32"/>
          <w:szCs w:val="32"/>
          <w:highlight w:val="none"/>
          <w:lang w:val="zh-CN" w:eastAsia="zh-CN"/>
        </w:rPr>
        <w:t>公务用车</w:t>
      </w:r>
      <w:r>
        <w:rPr>
          <w:rFonts w:hint="default" w:ascii="Times New Roman" w:hAnsi="Times New Roman" w:eastAsia="方正仿宋简体" w:cs="Times New Roman"/>
          <w:color w:val="auto"/>
          <w:sz w:val="32"/>
          <w:szCs w:val="32"/>
          <w:highlight w:val="none"/>
          <w:lang w:val="en-US" w:eastAsia="zh-CN"/>
        </w:rPr>
        <w:t>保有量差异</w:t>
      </w:r>
      <w:r>
        <w:rPr>
          <w:rFonts w:hint="default" w:ascii="Times New Roman" w:hAnsi="Times New Roman" w:eastAsia="方正仿宋简体" w:cs="Times New Roman"/>
          <w:color w:val="auto"/>
          <w:sz w:val="32"/>
          <w:szCs w:val="32"/>
          <w:highlight w:val="none"/>
          <w:lang w:val="zh-CN" w:eastAsia="zh-CN"/>
        </w:rPr>
        <w:t>原因是：国有资产占用情况中固定资产车辆与公务用车保有量一致。</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公务接待费5.61万元，开支内容包括工作餐费。单位全年安排的国内公务接待27批次，197人次。</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与</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预算相比</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财政拨款“三公”经费支出</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w:t>
      </w:r>
      <w:r>
        <w:rPr>
          <w:rFonts w:hint="eastAsia" w:ascii="Times New Roman" w:hAnsi="Times New Roman" w:eastAsia="方正仿宋简体" w:cs="Times New Roman"/>
          <w:color w:val="auto"/>
          <w:sz w:val="32"/>
          <w:szCs w:val="32"/>
          <w:highlight w:val="none"/>
          <w:lang w:val="en-US" w:eastAsia="zh-CN"/>
        </w:rPr>
        <w:t>132.41</w:t>
      </w:r>
      <w:r>
        <w:rPr>
          <w:rFonts w:hint="default" w:ascii="Times New Roman" w:hAnsi="Times New Roman" w:eastAsia="方正仿宋简体" w:cs="Times New Roman"/>
          <w:color w:val="auto"/>
          <w:sz w:val="32"/>
          <w:szCs w:val="32"/>
          <w:highlight w:val="none"/>
          <w:lang w:val="zh-CN" w:eastAsia="zh-CN"/>
        </w:rPr>
        <w:t>万元，决算数</w:t>
      </w:r>
      <w:r>
        <w:rPr>
          <w:rFonts w:hint="eastAsia" w:ascii="Times New Roman" w:hAnsi="Times New Roman" w:eastAsia="方正仿宋简体" w:cs="Times New Roman"/>
          <w:color w:val="auto"/>
          <w:sz w:val="32"/>
          <w:szCs w:val="32"/>
          <w:highlight w:val="none"/>
          <w:lang w:val="en-US" w:eastAsia="zh-CN"/>
        </w:rPr>
        <w:t>132.41</w:t>
      </w:r>
      <w:r>
        <w:rPr>
          <w:rFonts w:hint="default" w:ascii="Times New Roman" w:hAnsi="Times New Roman" w:eastAsia="方正仿宋简体" w:cs="Times New Roman"/>
          <w:color w:val="auto"/>
          <w:sz w:val="32"/>
          <w:szCs w:val="32"/>
          <w:highlight w:val="none"/>
          <w:lang w:val="zh-CN" w:eastAsia="zh-CN"/>
        </w:rPr>
        <w:t>万元，预决算差异率0.00%，主要原因是：严格“三公”经费管理，严禁超预算支出。其中：因公出国（境）费</w:t>
      </w:r>
      <w:r>
        <w:rPr>
          <w:rFonts w:hint="default" w:ascii="Times New Roman" w:hAnsi="Times New Roman" w:eastAsia="方正仿宋简体" w:cs="Times New Roman"/>
          <w:color w:val="auto"/>
          <w:sz w:val="32"/>
          <w:szCs w:val="32"/>
          <w:highlight w:val="none"/>
          <w:lang w:val="en-US" w:eastAsia="zh-CN"/>
        </w:rPr>
        <w:t>全年预算数</w:t>
      </w:r>
      <w:r>
        <w:rPr>
          <w:rFonts w:hint="default" w:ascii="Times New Roman" w:hAnsi="Times New Roman" w:eastAsia="方正仿宋简体" w:cs="Times New Roman"/>
          <w:color w:val="auto"/>
          <w:sz w:val="32"/>
          <w:szCs w:val="32"/>
          <w:highlight w:val="none"/>
          <w:lang w:val="zh-CN" w:eastAsia="zh-CN"/>
        </w:rPr>
        <w:t>0.00万元，决算数0.00万元，预决算差异率0.00%，主要原因是：我单位无因公出国（境）费；公务用车购置费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预算数17.48万元，决算数17.48万元，预决算差异率0.00%，主要原因是：严格“三公”经费管理，严禁超预算支出；公务用车运行费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预算数133.50万元，决算数133.50万元，预决算差异率0.00%，主要原因是：严格“三公”经费管理，严禁超预算支出；公务接待费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预算数5.61万元，决算数5.61万元，预决算差异率0.00%，主要原因是：严格“三公”经费管理，严禁超预算支出。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部门</w:t>
      </w:r>
      <w:r>
        <w:rPr>
          <w:rFonts w:hint="default" w:ascii="Times New Roman" w:hAnsi="Times New Roman" w:eastAsia="方正仿宋简体" w:cs="Times New Roman"/>
          <w:color w:val="auto"/>
          <w:sz w:val="32"/>
          <w:szCs w:val="32"/>
          <w:highlight w:val="none"/>
          <w:lang w:eastAsia="zh-CN"/>
        </w:rPr>
        <w:t>本年度无政府性基金预算财政拨款收入、支出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我</w:t>
      </w:r>
      <w:r>
        <w:rPr>
          <w:rFonts w:hint="default" w:ascii="Times New Roman" w:hAnsi="Times New Roman" w:eastAsia="方正仿宋简体" w:cs="Times New Roman"/>
          <w:color w:val="auto"/>
          <w:sz w:val="32"/>
          <w:szCs w:val="32"/>
          <w:highlight w:val="none"/>
          <w:lang w:val="en-US" w:eastAsia="zh-CN"/>
        </w:rPr>
        <w:t>部门</w:t>
      </w:r>
      <w:r>
        <w:rPr>
          <w:rFonts w:hint="default" w:ascii="Times New Roman" w:hAnsi="Times New Roman" w:eastAsia="方正仿宋简体" w:cs="Times New Roman"/>
          <w:color w:val="auto"/>
          <w:sz w:val="32"/>
          <w:szCs w:val="32"/>
          <w:highlight w:val="none"/>
          <w:lang w:eastAsia="zh-CN"/>
        </w:rPr>
        <w:t>本年度无国有资本经营预算财政拨款收入、支出</w:t>
      </w:r>
      <w:r>
        <w:rPr>
          <w:rFonts w:hint="default" w:ascii="Times New Roman" w:hAnsi="Times New Roman" w:eastAsia="方正仿宋简体" w:cs="Times New Roman"/>
          <w:color w:val="auto"/>
          <w:sz w:val="32"/>
          <w:szCs w:val="32"/>
          <w:highlight w:val="none"/>
          <w:lang w:val="en-US" w:eastAsia="zh-CN"/>
        </w:rPr>
        <w:t>及结转和结余</w:t>
      </w:r>
      <w:r>
        <w:rPr>
          <w:rFonts w:hint="default" w:ascii="Times New Roman" w:hAnsi="Times New Roman" w:eastAsia="方正仿宋简体" w:cs="Times New Roman"/>
          <w:color w:val="auto"/>
          <w:sz w:val="32"/>
          <w:szCs w:val="32"/>
          <w:highlight w:val="none"/>
          <w:lang w:eastAsia="zh-CN"/>
        </w:rPr>
        <w:t>，国有资本经营</w:t>
      </w:r>
      <w:r>
        <w:rPr>
          <w:rFonts w:hint="default" w:ascii="Times New Roman" w:hAnsi="Times New Roman" w:eastAsia="方正仿宋简体"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default" w:ascii="Times New Roman" w:hAnsi="Times New Roman" w:eastAsia="楷体" w:cs="Times New Roman"/>
          <w:color w:val="auto"/>
          <w:sz w:val="32"/>
          <w:szCs w:val="32"/>
          <w:highlight w:val="none"/>
        </w:rPr>
      </w:pPr>
      <w:bookmarkStart w:id="22" w:name="_Toc13105"/>
      <w:bookmarkStart w:id="23" w:name="_Toc14519"/>
      <w:r>
        <w:rPr>
          <w:rFonts w:hint="default" w:ascii="Times New Roman" w:hAnsi="Times New Roman" w:eastAsia="楷体" w:cs="Times New Roman"/>
          <w:color w:val="auto"/>
          <w:sz w:val="32"/>
          <w:szCs w:val="32"/>
          <w:highlight w:val="none"/>
          <w:lang w:eastAsia="zh-CN"/>
        </w:rPr>
        <w:t>（一）</w:t>
      </w:r>
      <w:r>
        <w:rPr>
          <w:rFonts w:hint="default" w:ascii="Times New Roman" w:hAnsi="Times New Roman" w:eastAsia="楷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bookmarkStart w:id="24" w:name="_Toc227"/>
      <w:bookmarkStart w:id="25" w:name="_Toc26704"/>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中共新疆维吾尔自治区委员会政法委员会</w:t>
      </w:r>
      <w:r>
        <w:rPr>
          <w:rFonts w:hint="eastAsia" w:eastAsia="方正仿宋简体" w:cs="Times New Roman"/>
          <w:color w:val="auto"/>
          <w:sz w:val="32"/>
          <w:szCs w:val="32"/>
          <w:highlight w:val="none"/>
          <w:lang w:val="en-US" w:eastAsia="zh-CN"/>
        </w:rPr>
        <w:t>部门（</w:t>
      </w:r>
      <w:r>
        <w:rPr>
          <w:rFonts w:hint="default" w:ascii="Times New Roman" w:hAnsi="Times New Roman" w:eastAsia="方正仿宋简体" w:cs="Times New Roman"/>
          <w:color w:val="auto"/>
          <w:sz w:val="32"/>
          <w:szCs w:val="32"/>
          <w:highlight w:val="none"/>
          <w:lang w:val="en-US" w:eastAsia="zh-CN"/>
        </w:rPr>
        <w:t>行政单位</w:t>
      </w:r>
      <w:r>
        <w:rPr>
          <w:rFonts w:hint="eastAsia" w:eastAsia="方正仿宋简体" w:cs="Times New Roman"/>
          <w:color w:val="auto"/>
          <w:sz w:val="32"/>
          <w:szCs w:val="32"/>
          <w:highlight w:val="none"/>
          <w:lang w:val="en-US" w:eastAsia="zh-CN"/>
        </w:rPr>
        <w:t>及</w:t>
      </w:r>
      <w:r>
        <w:rPr>
          <w:rFonts w:hint="default" w:ascii="Times New Roman" w:hAnsi="Times New Roman" w:eastAsia="方正仿宋简体" w:cs="Times New Roman"/>
          <w:color w:val="auto"/>
          <w:sz w:val="32"/>
          <w:szCs w:val="32"/>
          <w:highlight w:val="none"/>
          <w:lang w:val="en-US" w:eastAsia="zh-CN"/>
        </w:rPr>
        <w:t>参照公务员法管理事业单位</w:t>
      </w:r>
      <w:r>
        <w:rPr>
          <w:rFonts w:hint="eastAsia"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机关运行经费支出</w:t>
      </w:r>
      <w:r>
        <w:rPr>
          <w:rFonts w:hint="eastAsia" w:ascii="Times New Roman" w:hAnsi="Times New Roman" w:eastAsia="方正仿宋简体" w:cs="Times New Roman"/>
          <w:color w:val="auto"/>
          <w:sz w:val="32"/>
          <w:szCs w:val="32"/>
          <w:highlight w:val="none"/>
          <w:lang w:val="en-US" w:eastAsia="zh-CN"/>
        </w:rPr>
        <w:t>372.89</w:t>
      </w:r>
      <w:r>
        <w:rPr>
          <w:rFonts w:hint="default" w:ascii="Times New Roman" w:hAnsi="Times New Roman" w:eastAsia="方正仿宋简体" w:cs="Times New Roman"/>
          <w:color w:val="auto"/>
          <w:sz w:val="32"/>
          <w:szCs w:val="32"/>
          <w:highlight w:val="none"/>
          <w:lang w:val="en-US" w:eastAsia="zh-CN"/>
        </w:rPr>
        <w:t>万元，</w:t>
      </w:r>
      <w:r>
        <w:rPr>
          <w:rFonts w:hint="default" w:ascii="Times New Roman" w:hAnsi="Times New Roman" w:eastAsia="方正仿宋简体" w:cs="Times New Roman"/>
          <w:color w:val="auto"/>
          <w:sz w:val="32"/>
          <w:szCs w:val="32"/>
          <w:highlight w:val="none"/>
          <w:lang w:val="zh-CN" w:eastAsia="zh-CN"/>
        </w:rPr>
        <w:t>比上年增加</w:t>
      </w:r>
      <w:r>
        <w:rPr>
          <w:rFonts w:hint="eastAsia" w:ascii="Times New Roman" w:hAnsi="Times New Roman" w:eastAsia="方正仿宋简体" w:cs="Times New Roman"/>
          <w:color w:val="auto"/>
          <w:sz w:val="32"/>
          <w:szCs w:val="32"/>
          <w:highlight w:val="none"/>
          <w:lang w:val="en-US" w:eastAsia="zh-CN"/>
        </w:rPr>
        <w:t>80.87</w:t>
      </w:r>
      <w:r>
        <w:rPr>
          <w:rFonts w:hint="default" w:ascii="Times New Roman" w:hAnsi="Times New Roman" w:eastAsia="方正仿宋简体" w:cs="Times New Roman"/>
          <w:color w:val="auto"/>
          <w:sz w:val="32"/>
          <w:szCs w:val="32"/>
          <w:highlight w:val="none"/>
          <w:lang w:val="zh-CN" w:eastAsia="zh-CN"/>
        </w:rPr>
        <w:t>万元，增长</w:t>
      </w:r>
      <w:r>
        <w:rPr>
          <w:rFonts w:hint="eastAsia" w:ascii="Times New Roman" w:hAnsi="Times New Roman" w:eastAsia="方正仿宋简体" w:cs="Times New Roman"/>
          <w:color w:val="auto"/>
          <w:sz w:val="32"/>
          <w:szCs w:val="32"/>
          <w:highlight w:val="none"/>
          <w:lang w:val="en-US" w:eastAsia="zh-CN"/>
        </w:rPr>
        <w:t>29.</w:t>
      </w:r>
      <w:r>
        <w:rPr>
          <w:rFonts w:hint="eastAsia" w:eastAsia="方正仿宋简体" w:cs="Times New Roman"/>
          <w:color w:val="auto"/>
          <w:sz w:val="32"/>
          <w:szCs w:val="32"/>
          <w:highlight w:val="none"/>
          <w:lang w:val="en-US" w:eastAsia="zh-CN"/>
        </w:rPr>
        <w:t>69</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2022年行政需求降低，2023年恢复正常</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新疆平安网信息中心（事业单位）公用经费支出6.65万元，</w:t>
      </w:r>
      <w:r>
        <w:rPr>
          <w:rFonts w:hint="default" w:ascii="Times New Roman" w:hAnsi="Times New Roman" w:eastAsia="方正仿宋简体" w:cs="Times New Roman"/>
          <w:color w:val="auto"/>
          <w:sz w:val="32"/>
          <w:szCs w:val="32"/>
          <w:highlight w:val="none"/>
          <w:lang w:val="zh-CN" w:eastAsia="zh-CN"/>
        </w:rPr>
        <w:t>比上年增加0.95万元，增长16.</w:t>
      </w:r>
      <w:r>
        <w:rPr>
          <w:rFonts w:hint="eastAsia" w:eastAsia="方正仿宋简体" w:cs="Times New Roman"/>
          <w:color w:val="auto"/>
          <w:sz w:val="32"/>
          <w:szCs w:val="32"/>
          <w:highlight w:val="none"/>
          <w:lang w:val="en-US" w:eastAsia="zh-CN"/>
        </w:rPr>
        <w:t>67</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因采访业务需求增加，公务用车运行维护费增长</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 w:cs="Times New Roman"/>
          <w:color w:val="auto"/>
          <w:sz w:val="32"/>
          <w:szCs w:val="30"/>
          <w:highlight w:val="none"/>
          <w:lang w:val="zh-CN" w:eastAsia="zh-CN"/>
        </w:rPr>
      </w:pPr>
      <w:r>
        <w:rPr>
          <w:rFonts w:hint="default" w:ascii="Times New Roman" w:hAnsi="Times New Roman" w:eastAsia="楷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zh-CN"/>
        </w:rPr>
        <w:t>政府采购支出总额</w:t>
      </w:r>
      <w:r>
        <w:rPr>
          <w:rFonts w:hint="eastAsia" w:ascii="Times New Roman" w:hAnsi="Times New Roman" w:eastAsia="方正仿宋简体" w:cs="Times New Roman"/>
          <w:color w:val="auto"/>
          <w:sz w:val="32"/>
          <w:szCs w:val="32"/>
          <w:highlight w:val="none"/>
          <w:lang w:val="en-US" w:eastAsia="zh-CN"/>
        </w:rPr>
        <w:t>245.04</w:t>
      </w:r>
      <w:r>
        <w:rPr>
          <w:rFonts w:hint="default" w:ascii="Times New Roman" w:hAnsi="Times New Roman" w:eastAsia="方正仿宋简体" w:cs="Times New Roman"/>
          <w:color w:val="auto"/>
          <w:sz w:val="32"/>
          <w:szCs w:val="32"/>
          <w:highlight w:val="none"/>
          <w:lang w:val="zh-CN" w:eastAsia="zh-CN"/>
        </w:rPr>
        <w:t>万元</w:t>
      </w:r>
      <w:r>
        <w:rPr>
          <w:rFonts w:hint="default" w:ascii="Times New Roman" w:hAnsi="Times New Roman" w:eastAsia="方正仿宋简体" w:cs="Times New Roman"/>
          <w:color w:val="auto"/>
          <w:sz w:val="32"/>
          <w:szCs w:val="32"/>
          <w:highlight w:val="none"/>
          <w:lang w:val="zh-CN"/>
        </w:rPr>
        <w:t>，</w:t>
      </w:r>
      <w:r>
        <w:rPr>
          <w:rFonts w:hint="default" w:ascii="Times New Roman" w:hAnsi="Times New Roman" w:eastAsia="方正仿宋简体" w:cs="Times New Roman"/>
          <w:color w:val="auto"/>
          <w:sz w:val="32"/>
          <w:szCs w:val="32"/>
          <w:highlight w:val="none"/>
          <w:lang w:val="zh-CN" w:eastAsia="zh-CN"/>
        </w:rPr>
        <w:t>其中：政府采购货物支出</w:t>
      </w:r>
      <w:r>
        <w:rPr>
          <w:rFonts w:hint="eastAsia" w:ascii="Times New Roman" w:hAnsi="Times New Roman" w:eastAsia="方正仿宋简体" w:cs="Times New Roman"/>
          <w:color w:val="auto"/>
          <w:sz w:val="32"/>
          <w:szCs w:val="32"/>
          <w:highlight w:val="none"/>
          <w:lang w:val="en-US" w:eastAsia="zh-CN"/>
        </w:rPr>
        <w:t>140.01</w:t>
      </w:r>
      <w:r>
        <w:rPr>
          <w:rFonts w:hint="default" w:ascii="Times New Roman" w:hAnsi="Times New Roman" w:eastAsia="方正仿宋简体" w:cs="Times New Roman"/>
          <w:color w:val="auto"/>
          <w:sz w:val="32"/>
          <w:szCs w:val="32"/>
          <w:highlight w:val="none"/>
          <w:lang w:val="zh-CN" w:eastAsia="zh-CN"/>
        </w:rPr>
        <w:t>万元、政府采购工程支出0.00万元、政府采购服务支出</w:t>
      </w:r>
      <w:r>
        <w:rPr>
          <w:rFonts w:hint="eastAsia" w:ascii="Times New Roman" w:hAnsi="Times New Roman" w:eastAsia="方正仿宋简体" w:cs="Times New Roman"/>
          <w:color w:val="auto"/>
          <w:sz w:val="32"/>
          <w:szCs w:val="32"/>
          <w:highlight w:val="none"/>
          <w:lang w:val="en-US" w:eastAsia="zh-CN"/>
        </w:rPr>
        <w:t>105.03</w:t>
      </w:r>
      <w:r>
        <w:rPr>
          <w:rFonts w:hint="default" w:ascii="Times New Roman" w:hAnsi="Times New Roman" w:eastAsia="方正仿宋简体" w:cs="Times New Roman"/>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授予中小企业合同金额</w:t>
      </w:r>
      <w:r>
        <w:rPr>
          <w:rFonts w:hint="eastAsia" w:ascii="Times New Roman" w:hAnsi="Times New Roman" w:eastAsia="方正仿宋简体" w:cs="Times New Roman"/>
          <w:color w:val="auto"/>
          <w:sz w:val="32"/>
          <w:szCs w:val="32"/>
          <w:highlight w:val="none"/>
          <w:lang w:val="en-US" w:eastAsia="zh-CN"/>
        </w:rPr>
        <w:t>96.34</w:t>
      </w:r>
      <w:r>
        <w:rPr>
          <w:rFonts w:hint="default" w:ascii="Times New Roman" w:hAnsi="Times New Roman" w:eastAsia="方正仿宋简体" w:cs="Times New Roman"/>
          <w:color w:val="auto"/>
          <w:sz w:val="32"/>
          <w:szCs w:val="32"/>
          <w:highlight w:val="none"/>
          <w:lang w:val="zh-CN" w:eastAsia="zh-CN"/>
        </w:rPr>
        <w:t>万元，占政府采购支出总额的</w:t>
      </w:r>
      <w:r>
        <w:rPr>
          <w:rFonts w:hint="eastAsia" w:ascii="Times New Roman" w:hAnsi="Times New Roman" w:eastAsia="方正仿宋简体" w:cs="Times New Roman"/>
          <w:color w:val="auto"/>
          <w:sz w:val="32"/>
          <w:szCs w:val="32"/>
          <w:highlight w:val="none"/>
          <w:lang w:val="en-US" w:eastAsia="zh-CN"/>
        </w:rPr>
        <w:t>39.32</w:t>
      </w:r>
      <w:r>
        <w:rPr>
          <w:rFonts w:hint="default" w:ascii="Times New Roman" w:hAnsi="Times New Roman" w:eastAsia="方正仿宋简体" w:cs="Times New Roman"/>
          <w:color w:val="auto"/>
          <w:sz w:val="32"/>
          <w:szCs w:val="32"/>
          <w:highlight w:val="none"/>
          <w:lang w:val="zh-CN" w:eastAsia="zh-CN"/>
        </w:rPr>
        <w:t>%，其中：授予小微企业合同金额</w:t>
      </w:r>
      <w:r>
        <w:rPr>
          <w:rFonts w:hint="eastAsia" w:ascii="Times New Roman" w:hAnsi="Times New Roman" w:eastAsia="方正仿宋简体" w:cs="Times New Roman"/>
          <w:color w:val="auto"/>
          <w:sz w:val="32"/>
          <w:szCs w:val="32"/>
          <w:highlight w:val="none"/>
          <w:lang w:val="en-US" w:eastAsia="zh-CN"/>
        </w:rPr>
        <w:t>96.34</w:t>
      </w:r>
      <w:r>
        <w:rPr>
          <w:rFonts w:hint="default" w:ascii="Times New Roman" w:hAnsi="Times New Roman" w:eastAsia="方正仿宋简体" w:cs="Times New Roman"/>
          <w:color w:val="auto"/>
          <w:sz w:val="32"/>
          <w:szCs w:val="32"/>
          <w:highlight w:val="none"/>
          <w:lang w:val="zh-CN" w:eastAsia="zh-CN"/>
        </w:rPr>
        <w:t>万元，占政府采购支出总额的</w:t>
      </w:r>
      <w:r>
        <w:rPr>
          <w:rFonts w:hint="eastAsia" w:ascii="Times New Roman" w:hAnsi="Times New Roman" w:eastAsia="方正仿宋简体" w:cs="Times New Roman"/>
          <w:color w:val="auto"/>
          <w:sz w:val="32"/>
          <w:szCs w:val="32"/>
          <w:highlight w:val="none"/>
          <w:lang w:val="en-US" w:eastAsia="zh-CN"/>
        </w:rPr>
        <w:t>39.32</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 w:cs="Times New Roman"/>
          <w:color w:val="auto"/>
          <w:sz w:val="32"/>
          <w:szCs w:val="30"/>
          <w:highlight w:val="none"/>
          <w:lang w:val="zh-CN" w:eastAsia="zh-CN"/>
        </w:rPr>
      </w:pPr>
      <w:bookmarkStart w:id="26" w:name="_Toc8391"/>
      <w:bookmarkStart w:id="27" w:name="_Toc4591"/>
      <w:r>
        <w:rPr>
          <w:rFonts w:hint="default" w:ascii="Times New Roman" w:hAnsi="Times New Roman" w:eastAsia="楷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截至2023</w:t>
      </w:r>
      <w:r>
        <w:rPr>
          <w:rFonts w:hint="default" w:ascii="Times New Roman" w:hAnsi="Times New Roman" w:eastAsia="方正仿宋简体" w:cs="Times New Roman"/>
          <w:color w:val="auto"/>
          <w:sz w:val="32"/>
          <w:szCs w:val="32"/>
          <w:highlight w:val="none"/>
          <w:lang w:val="zh-CN" w:eastAsia="zh-CN"/>
        </w:rPr>
        <w:t>年</w:t>
      </w:r>
      <w:r>
        <w:rPr>
          <w:rFonts w:hint="default" w:ascii="Times New Roman" w:hAnsi="Times New Roman" w:eastAsia="方正仿宋简体" w:cs="Times New Roman"/>
          <w:color w:val="auto"/>
          <w:sz w:val="32"/>
          <w:szCs w:val="32"/>
          <w:highlight w:val="none"/>
          <w:lang w:val="en-US" w:eastAsia="zh-CN"/>
        </w:rPr>
        <w:t>12月31日</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固定资产原值</w:t>
      </w:r>
      <w:r>
        <w:rPr>
          <w:rFonts w:hint="default" w:ascii="Times New Roman" w:hAnsi="Times New Roman" w:eastAsia="方正仿宋简体" w:cs="Times New Roman"/>
          <w:color w:val="auto"/>
          <w:sz w:val="32"/>
          <w:szCs w:val="32"/>
          <w:highlight w:val="none"/>
          <w:lang w:val="zh-CN" w:eastAsia="zh-CN"/>
        </w:rPr>
        <w:t>48,555.38</w:t>
      </w:r>
      <w:r>
        <w:rPr>
          <w:rFonts w:hint="default" w:ascii="Times New Roman" w:hAnsi="Times New Roman" w:eastAsia="方正仿宋简体" w:cs="Times New Roman"/>
          <w:color w:val="auto"/>
          <w:sz w:val="32"/>
          <w:szCs w:val="32"/>
          <w:highlight w:val="none"/>
          <w:lang w:val="en-US" w:eastAsia="zh-CN"/>
        </w:rPr>
        <w:t>万元，房</w:t>
      </w:r>
      <w:r>
        <w:rPr>
          <w:rFonts w:hint="default" w:ascii="Times New Roman" w:hAnsi="Times New Roman" w:eastAsia="方正仿宋简体" w:cs="Times New Roman"/>
          <w:color w:val="auto"/>
          <w:sz w:val="32"/>
          <w:szCs w:val="32"/>
          <w:highlight w:val="none"/>
          <w:lang w:val="zh-CN" w:eastAsia="zh-CN"/>
        </w:rPr>
        <w:t>屋28,628.52平方米，价值14,738.80万元。车辆31辆，价值942.71万元，其中：副部（省）级及以上领导用车0辆、主要</w:t>
      </w:r>
      <w:r>
        <w:rPr>
          <w:rFonts w:hint="default" w:ascii="Times New Roman" w:hAnsi="Times New Roman" w:eastAsia="方正仿宋简体" w:cs="Times New Roman"/>
          <w:color w:val="auto"/>
          <w:sz w:val="32"/>
          <w:szCs w:val="32"/>
          <w:highlight w:val="none"/>
          <w:lang w:val="en-US" w:eastAsia="zh-CN"/>
        </w:rPr>
        <w:t>负责人</w:t>
      </w:r>
      <w:r>
        <w:rPr>
          <w:rFonts w:hint="default" w:ascii="Times New Roman" w:hAnsi="Times New Roman" w:eastAsia="方正仿宋简体"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方正仿宋简体" w:cs="Times New Roman"/>
          <w:color w:val="auto"/>
          <w:sz w:val="32"/>
          <w:szCs w:val="32"/>
          <w:highlight w:val="none"/>
          <w:lang w:val="en-US" w:eastAsia="zh-CN"/>
        </w:rPr>
        <w:t>服务</w:t>
      </w:r>
      <w:r>
        <w:rPr>
          <w:rFonts w:hint="default" w:ascii="Times New Roman" w:hAnsi="Times New Roman" w:eastAsia="方正仿宋简体" w:cs="Times New Roman"/>
          <w:color w:val="auto"/>
          <w:sz w:val="32"/>
          <w:szCs w:val="32"/>
          <w:highlight w:val="none"/>
          <w:lang w:val="zh-CN" w:eastAsia="zh-CN"/>
        </w:rPr>
        <w:t>用车0辆、其他用车31辆，其他用车主要是：一般公务用车；单价100万元（含）以上设备（不含车辆）36</w:t>
      </w:r>
      <w:r>
        <w:rPr>
          <w:rFonts w:hint="default" w:ascii="Times New Roman" w:hAnsi="Times New Roman" w:eastAsia="方正仿宋简体" w:cs="Times New Roman"/>
          <w:color w:val="auto"/>
          <w:sz w:val="32"/>
          <w:szCs w:val="32"/>
          <w:highlight w:val="none"/>
          <w:lang w:val="en-US" w:eastAsia="zh-CN"/>
        </w:rPr>
        <w:t>台（</w:t>
      </w:r>
      <w:r>
        <w:rPr>
          <w:rFonts w:hint="default" w:ascii="Times New Roman" w:hAnsi="Times New Roman" w:eastAsia="方正仿宋简体" w:cs="Times New Roman"/>
          <w:color w:val="auto"/>
          <w:sz w:val="32"/>
          <w:szCs w:val="32"/>
          <w:highlight w:val="none"/>
          <w:lang w:val="zh-CN" w:eastAsia="zh-CN"/>
        </w:rPr>
        <w:t>套）</w:t>
      </w:r>
      <w:r>
        <w:rPr>
          <w:rFonts w:hint="eastAsia"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kinsoku/>
        <w:wordWrap/>
        <w:overflowPunct/>
        <w:topLinePunct w:val="0"/>
        <w:bidi w:val="0"/>
        <w:adjustRightInd/>
        <w:snapToGrid/>
        <w:spacing w:line="60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eastAsia="zh-CN"/>
        </w:rPr>
        <w:t>根据预算绩效管理要求，我</w:t>
      </w:r>
      <w:r>
        <w:rPr>
          <w:rFonts w:hint="default" w:ascii="Times New Roman" w:hAnsi="Times New Roman" w:eastAsia="方正仿宋简体" w:cs="Times New Roman"/>
          <w:color w:val="auto"/>
          <w:sz w:val="32"/>
          <w:szCs w:val="32"/>
          <w:highlight w:val="none"/>
          <w:lang w:val="en-US" w:eastAsia="zh-CN"/>
        </w:rPr>
        <w:t>部门</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kern w:val="0"/>
          <w:sz w:val="32"/>
          <w:szCs w:val="32"/>
          <w:highlight w:val="none"/>
        </w:rPr>
        <w:t>预算绩效管理整体</w:t>
      </w:r>
      <w:r>
        <w:rPr>
          <w:rFonts w:hint="default" w:ascii="Times New Roman" w:hAnsi="Times New Roman" w:eastAsia="方正仿宋简体" w:cs="Times New Roman"/>
          <w:color w:val="auto"/>
          <w:kern w:val="0"/>
          <w:sz w:val="32"/>
          <w:szCs w:val="32"/>
          <w:highlight w:val="none"/>
          <w:lang w:val="en-US" w:eastAsia="zh-CN"/>
        </w:rPr>
        <w:t>支出</w:t>
      </w:r>
      <w:r>
        <w:rPr>
          <w:rFonts w:hint="default" w:ascii="Times New Roman" w:hAnsi="Times New Roman" w:eastAsia="方正仿宋简体" w:cs="Times New Roman"/>
          <w:color w:val="auto"/>
          <w:kern w:val="0"/>
          <w:sz w:val="32"/>
          <w:szCs w:val="32"/>
          <w:highlight w:val="none"/>
        </w:rPr>
        <w:t>绩效自评表</w:t>
      </w:r>
      <w:r>
        <w:rPr>
          <w:rFonts w:hint="eastAsia" w:eastAsia="方正仿宋简体" w:cs="Times New Roman"/>
          <w:color w:val="auto"/>
          <w:sz w:val="32"/>
          <w:szCs w:val="32"/>
          <w:highlight w:val="none"/>
          <w:lang w:val="en-US" w:eastAsia="zh-CN"/>
        </w:rPr>
        <w:t>1</w:t>
      </w:r>
      <w:r>
        <w:rPr>
          <w:rFonts w:hint="default" w:ascii="Times New Roman" w:hAnsi="Times New Roman" w:eastAsia="方正仿宋简体" w:cs="Times New Roman"/>
          <w:color w:val="auto"/>
          <w:kern w:val="0"/>
          <w:sz w:val="32"/>
          <w:szCs w:val="32"/>
          <w:highlight w:val="none"/>
          <w:lang w:val="en-US" w:eastAsia="zh-CN"/>
        </w:rPr>
        <w:t>个，全年</w:t>
      </w:r>
      <w:r>
        <w:rPr>
          <w:rFonts w:hint="default" w:ascii="Times New Roman" w:hAnsi="Times New Roman" w:eastAsia="方正仿宋简体" w:cs="Times New Roman"/>
          <w:color w:val="auto"/>
          <w:sz w:val="32"/>
          <w:szCs w:val="32"/>
          <w:highlight w:val="none"/>
          <w:lang w:val="en-US" w:eastAsia="zh-CN"/>
        </w:rPr>
        <w:t>预算总额</w:t>
      </w:r>
      <w:r>
        <w:rPr>
          <w:rFonts w:hint="eastAsia" w:eastAsia="方正仿宋简体" w:cs="Times New Roman"/>
          <w:color w:val="auto"/>
          <w:sz w:val="32"/>
          <w:szCs w:val="32"/>
          <w:highlight w:val="none"/>
          <w:lang w:val="en-US" w:eastAsia="zh-CN"/>
        </w:rPr>
        <w:t>涉及国家秘密不予公开</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实际执行总额</w:t>
      </w:r>
      <w:r>
        <w:rPr>
          <w:rFonts w:hint="eastAsia" w:eastAsia="方正仿宋简体" w:cs="Times New Roman"/>
          <w:color w:val="auto"/>
          <w:sz w:val="32"/>
          <w:szCs w:val="32"/>
          <w:highlight w:val="none"/>
          <w:lang w:val="en-US" w:eastAsia="zh-CN"/>
        </w:rPr>
        <w:t>涉及国家秘密</w:t>
      </w:r>
      <w:bookmarkStart w:id="48" w:name="_GoBack"/>
      <w:bookmarkEnd w:id="48"/>
      <w:r>
        <w:rPr>
          <w:rFonts w:hint="eastAsia" w:eastAsia="方正仿宋简体" w:cs="Times New Roman"/>
          <w:color w:val="auto"/>
          <w:sz w:val="32"/>
          <w:szCs w:val="32"/>
          <w:highlight w:val="none"/>
          <w:lang w:val="en-US" w:eastAsia="zh-CN"/>
        </w:rPr>
        <w:t>不予公开</w:t>
      </w:r>
      <w:r>
        <w:rPr>
          <w:rFonts w:hint="default" w:ascii="Times New Roman" w:hAnsi="Times New Roman" w:eastAsia="方正仿宋简体" w:cs="Times New Roman"/>
          <w:color w:val="auto"/>
          <w:kern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eastAsia="zh-CN"/>
        </w:rPr>
        <w:t>预算绩效评价项目</w:t>
      </w:r>
      <w:r>
        <w:rPr>
          <w:rFonts w:hint="eastAsia" w:ascii="Times New Roman" w:hAnsi="Times New Roman" w:eastAsia="方正仿宋简体" w:cs="Times New Roman"/>
          <w:color w:val="auto"/>
          <w:sz w:val="32"/>
          <w:szCs w:val="32"/>
          <w:highlight w:val="none"/>
          <w:lang w:val="en-US" w:eastAsia="zh-CN"/>
        </w:rPr>
        <w:t>3</w:t>
      </w:r>
      <w:r>
        <w:rPr>
          <w:rFonts w:hint="default" w:ascii="Times New Roman" w:hAnsi="Times New Roman" w:eastAsia="方正仿宋简体" w:cs="Times New Roman"/>
          <w:color w:val="auto"/>
          <w:sz w:val="32"/>
          <w:szCs w:val="32"/>
          <w:highlight w:val="none"/>
          <w:lang w:eastAsia="zh-CN"/>
        </w:rPr>
        <w:t>个，</w:t>
      </w:r>
      <w:r>
        <w:rPr>
          <w:rFonts w:hint="default" w:ascii="Times New Roman" w:hAnsi="Times New Roman" w:eastAsia="方正仿宋简体" w:cs="Times New Roman"/>
          <w:color w:val="auto"/>
          <w:sz w:val="32"/>
          <w:szCs w:val="32"/>
          <w:highlight w:val="none"/>
          <w:lang w:val="en-US" w:eastAsia="zh-CN"/>
        </w:rPr>
        <w:t>全年预算数</w:t>
      </w:r>
      <w:r>
        <w:rPr>
          <w:rFonts w:hint="eastAsia" w:ascii="Times New Roman" w:hAnsi="Times New Roman" w:eastAsia="方正仿宋简体" w:cs="Times New Roman"/>
          <w:color w:val="auto"/>
          <w:sz w:val="32"/>
          <w:szCs w:val="32"/>
          <w:highlight w:val="none"/>
          <w:lang w:val="en-US" w:eastAsia="zh-CN"/>
        </w:rPr>
        <w:t>490</w:t>
      </w:r>
      <w:r>
        <w:rPr>
          <w:rFonts w:hint="eastAsia" w:eastAsia="方正仿宋简体" w:cs="Times New Roman"/>
          <w:color w:val="auto"/>
          <w:sz w:val="32"/>
          <w:szCs w:val="32"/>
          <w:highlight w:val="none"/>
          <w:lang w:val="en-US" w:eastAsia="zh-CN"/>
        </w:rPr>
        <w:t>.00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全年执行数</w:t>
      </w:r>
      <w:r>
        <w:rPr>
          <w:rFonts w:hint="eastAsia" w:ascii="Times New Roman" w:hAnsi="Times New Roman" w:eastAsia="方正仿宋简体" w:cs="Times New Roman"/>
          <w:color w:val="auto"/>
          <w:sz w:val="32"/>
          <w:szCs w:val="32"/>
          <w:highlight w:val="none"/>
          <w:lang w:val="en-US" w:eastAsia="zh-CN"/>
        </w:rPr>
        <w:t>460.61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。预算绩效管理取得的成效：</w:t>
      </w:r>
      <w:r>
        <w:rPr>
          <w:rFonts w:hint="default" w:ascii="Times New Roman" w:hAnsi="Times New Roman" w:eastAsia="方正仿宋简体" w:cs="Times New Roman"/>
          <w:sz w:val="32"/>
          <w:szCs w:val="32"/>
        </w:rPr>
        <w:t>一是通过加强预算绩效管理各个环节的制度建设，进一步牢固树立</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花钱必问效，无效必问责</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的绩效管理理念，进一步明确绩效管理职责分工</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二是通过加强绩效管理内部控制工作，规范权利运行、降低资金效益风险</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三是通过加强绩效评价成果应用，压减项目支出，进一步促进各部门履职效果和资源配置正向关联</w:t>
      </w:r>
      <w:r>
        <w:rPr>
          <w:rFonts w:hint="default" w:ascii="Times New Roman" w:hAnsi="Times New Roman" w:eastAsia="方正仿宋简体" w:cs="Times New Roman"/>
          <w:sz w:val="32"/>
          <w:szCs w:val="32"/>
          <w:highlight w:val="none"/>
          <w:lang w:eastAsia="zh-CN"/>
        </w:rPr>
        <w:t>。发现的问题及原因：</w:t>
      </w:r>
      <w:r>
        <w:rPr>
          <w:rFonts w:hint="default" w:ascii="Times New Roman" w:hAnsi="Times New Roman" w:eastAsia="方正仿宋简体" w:cs="Times New Roman"/>
          <w:sz w:val="32"/>
          <w:szCs w:val="32"/>
        </w:rPr>
        <w:t>一是预算管理制度流程尚需优化；二是绩效理念有待进一步提高</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highlight w:val="none"/>
          <w:lang w:eastAsia="zh-CN"/>
        </w:rPr>
        <w:t>下一步改进措施：</w:t>
      </w:r>
      <w:r>
        <w:rPr>
          <w:rFonts w:hint="default" w:ascii="Times New Roman" w:hAnsi="Times New Roman" w:eastAsia="方正仿宋简体" w:cs="Times New Roman"/>
          <w:sz w:val="32"/>
          <w:szCs w:val="32"/>
        </w:rPr>
        <w:t>一是加强预算管理的业务学习，不断完善预算绩效管理内部控制制度，优化流程管理，梳理风险点，规范权力、职责运行；二是加强宣传培训，提升机关文化，进一步树立</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讲绩效、重绩效、用绩效</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的绩效管理理念</w:t>
      </w:r>
      <w:r>
        <w:rPr>
          <w:rFonts w:hint="default" w:ascii="Times New Roman" w:hAnsi="Times New Roman" w:eastAsia="方正仿宋简体" w:cs="Times New Roman"/>
          <w:sz w:val="32"/>
          <w:szCs w:val="32"/>
          <w:highlight w:val="none"/>
          <w:lang w:eastAsia="zh-CN"/>
        </w:rPr>
        <w:t>。具体</w:t>
      </w:r>
      <w:r>
        <w:rPr>
          <w:rFonts w:hint="default" w:ascii="Times New Roman" w:hAnsi="Times New Roman" w:eastAsia="方正仿宋简体" w:cs="Times New Roman"/>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tbl>
      <w:tblPr>
        <w:tblStyle w:val="10"/>
        <w:tblW w:w="8874" w:type="dxa"/>
        <w:tblInd w:w="0" w:type="dxa"/>
        <w:shd w:val="clear" w:color="auto" w:fill="auto"/>
        <w:tblLayout w:type="fixed"/>
        <w:tblCellMar>
          <w:top w:w="0" w:type="dxa"/>
          <w:left w:w="0" w:type="dxa"/>
          <w:bottom w:w="0" w:type="dxa"/>
          <w:right w:w="0" w:type="dxa"/>
        </w:tblCellMar>
      </w:tblPr>
      <w:tblGrid>
        <w:gridCol w:w="415"/>
        <w:gridCol w:w="416"/>
        <w:gridCol w:w="542"/>
        <w:gridCol w:w="775"/>
        <w:gridCol w:w="699"/>
        <w:gridCol w:w="548"/>
        <w:gridCol w:w="547"/>
        <w:gridCol w:w="594"/>
        <w:gridCol w:w="594"/>
        <w:gridCol w:w="663"/>
        <w:gridCol w:w="635"/>
        <w:gridCol w:w="576"/>
        <w:gridCol w:w="600"/>
        <w:gridCol w:w="1270"/>
      </w:tblGrid>
      <w:tr>
        <w:tblPrEx>
          <w:shd w:val="clear" w:color="auto" w:fill="auto"/>
          <w:tblLayout w:type="fixed"/>
          <w:tblCellMar>
            <w:top w:w="0" w:type="dxa"/>
            <w:left w:w="0" w:type="dxa"/>
            <w:bottom w:w="0" w:type="dxa"/>
            <w:right w:w="0" w:type="dxa"/>
          </w:tblCellMar>
        </w:tblPrEx>
        <w:trPr>
          <w:trHeight w:val="80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项目支出绩效自评表（参考模板）</w:t>
            </w:r>
          </w:p>
        </w:tc>
      </w:tr>
      <w:tr>
        <w:tblPrEx>
          <w:tblLayout w:type="fixed"/>
          <w:tblCellMar>
            <w:top w:w="0" w:type="dxa"/>
            <w:left w:w="0" w:type="dxa"/>
            <w:bottom w:w="0" w:type="dxa"/>
            <w:right w:w="0" w:type="dxa"/>
          </w:tblCellMar>
        </w:tblPrEx>
        <w:trPr>
          <w:trHeight w:val="44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（2023年度）</w:t>
            </w:r>
          </w:p>
        </w:tc>
      </w:tr>
      <w:tr>
        <w:tblPrEx>
          <w:tblLayout w:type="fixed"/>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项目名称</w:t>
            </w:r>
          </w:p>
        </w:tc>
        <w:tc>
          <w:tcPr>
            <w:tcW w:w="804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新疆平安网信息中心运行经费</w:t>
            </w:r>
          </w:p>
        </w:tc>
      </w:tr>
      <w:tr>
        <w:tblPrEx>
          <w:tblLayout w:type="fixed"/>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主管部门</w:t>
            </w:r>
          </w:p>
        </w:tc>
        <w:tc>
          <w:tcPr>
            <w:tcW w:w="311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中共新疆维吾尔自治区委员会政法委员会</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实施单位</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w:t>
            </w:r>
          </w:p>
        </w:tc>
      </w:tr>
      <w:tr>
        <w:tblPrEx>
          <w:tblLayout w:type="fixed"/>
          <w:tblCellMar>
            <w:top w:w="0" w:type="dxa"/>
            <w:left w:w="0" w:type="dxa"/>
            <w:bottom w:w="0" w:type="dxa"/>
            <w:right w:w="0" w:type="dxa"/>
          </w:tblCellMar>
        </w:tblPrEx>
        <w:trPr>
          <w:trHeight w:val="600" w:hRule="atLeast"/>
        </w:trPr>
        <w:tc>
          <w:tcPr>
            <w:tcW w:w="8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项目资金</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（万元）</w:t>
            </w: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资金来源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年初预算数</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全年预算数</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全年执行数</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分值权重</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执行率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年度资金总额</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其中：当年财政拨款</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其他资金</w:t>
            </w:r>
          </w:p>
        </w:tc>
        <w:tc>
          <w:tcPr>
            <w:tcW w:w="69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年度总体目标</w:t>
            </w: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加强全疆政法信息宣传，扎实开展意识形态领域反分裂斗争教育。强化新闻纪律学习，加大培训教育力度，确保政法舆论阵地安全；不断增强政法宣传的传播力、引导力、影响力、公信力；加强队伍建设，建立健全员工绩效考核激励机制，确保政法宣传队伍人才辈出。</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坚持以习近平新时代中国特色社会主义思想为指导，紧紧围绕《2023年全区政法宣传工作要点》，积极完成预期目标，持续深入抓好全疆政法综治宣传，讲好政法故事，助力新疆法治与平安建设。同时，把握时代发展变化脉搏，守正创新，强化宣传阵地建设，做好新疆政法工作宣传报道和舆论引导工作。</w:t>
            </w:r>
          </w:p>
        </w:tc>
      </w:tr>
      <w:tr>
        <w:tblPrEx>
          <w:tblLayout w:type="fixed"/>
          <w:tblCellMar>
            <w:top w:w="0" w:type="dxa"/>
            <w:left w:w="0" w:type="dxa"/>
            <w:bottom w:w="0" w:type="dxa"/>
            <w:right w:w="0" w:type="dxa"/>
          </w:tblCellMar>
        </w:tblPrEx>
        <w:trPr>
          <w:trHeight w:val="60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指标值设置依据</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上年完成值</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指标分值权重</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指标赋分规则</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佐证资料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指标实际完成值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完成率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指标得分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年度绩效指标完成情况</w:t>
            </w: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微信、微博关注度（万人）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≥25万人</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29.1万人</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29.5万人</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3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视频点击量过百万作品（部）</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5部</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20部</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74部</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加强对中心编辑和通讯员业务培训，积极推动全区政法新媒体联动，促使视频观看人数大幅增长。今后继续做好相关工作，结合实际做好指标值设定。</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编发稿件数量（条）</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≥20000条</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18614条</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20870条</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原创占全部发表稿件的比率（%）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采编稿件优秀作品增长率（%）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年度任务完成时限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网站运行支出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42万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24万元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33.67万元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5.8</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人员劳务支出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45万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33.66万元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41.64万元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6.51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其他业务支出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13万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16.57万元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7.79万元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3.6</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社会效益指标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公众号订阅人数及网站点击量增长率（%）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各地州读者满意度</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400" w:hRule="atLeast"/>
        </w:trPr>
        <w:tc>
          <w:tcPr>
            <w:tcW w:w="214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总分</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8"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96.22</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r>
    </w:tbl>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jc w:val="both"/>
        <w:textAlignment w:val="auto"/>
        <w:rPr>
          <w:rFonts w:hint="default" w:ascii="Times New Roman" w:hAnsi="Times New Roman" w:eastAsia="黑体" w:cs="Times New Roman"/>
          <w:bCs/>
          <w:color w:val="auto"/>
          <w:kern w:val="0"/>
          <w:sz w:val="32"/>
          <w:szCs w:val="32"/>
          <w:highlight w:val="none"/>
          <w:lang w:eastAsia="zh-CN"/>
        </w:rPr>
      </w:pPr>
    </w:p>
    <w:p>
      <w:pPr>
        <w:pStyle w:val="18"/>
        <w:keepNext w:val="0"/>
        <w:keepLines w:val="0"/>
        <w:pageBreakBefore w:val="0"/>
        <w:kinsoku/>
        <w:wordWrap/>
        <w:overflowPunct/>
        <w:topLinePunct w:val="0"/>
        <w:bidi w:val="0"/>
        <w:adjustRightInd/>
        <w:snapToGrid/>
        <w:spacing w:line="600" w:lineRule="exact"/>
        <w:ind w:left="0" w:leftChars="0" w:firstLine="0" w:firstLineChars="0"/>
        <w:textAlignment w:val="auto"/>
        <w:rPr>
          <w:rFonts w:hint="default" w:ascii="Times New Roman" w:hAnsi="Times New Roman" w:eastAsia="方正仿宋简体" w:cs="Times New Roman"/>
          <w:color w:val="auto"/>
          <w:sz w:val="32"/>
          <w:szCs w:val="32"/>
          <w:highlight w:val="none"/>
        </w:rPr>
      </w:pPr>
    </w:p>
    <w:tbl>
      <w:tblPr>
        <w:tblStyle w:val="10"/>
        <w:tblW w:w="8336" w:type="dxa"/>
        <w:tblInd w:w="0" w:type="dxa"/>
        <w:shd w:val="clear" w:color="auto" w:fill="auto"/>
        <w:tblLayout w:type="fixed"/>
        <w:tblCellMar>
          <w:top w:w="0" w:type="dxa"/>
          <w:left w:w="0" w:type="dxa"/>
          <w:bottom w:w="0" w:type="dxa"/>
          <w:right w:w="0" w:type="dxa"/>
        </w:tblCellMar>
      </w:tblPr>
      <w:tblGrid>
        <w:gridCol w:w="388"/>
        <w:gridCol w:w="389"/>
        <w:gridCol w:w="504"/>
        <w:gridCol w:w="724"/>
        <w:gridCol w:w="655"/>
        <w:gridCol w:w="509"/>
        <w:gridCol w:w="511"/>
        <w:gridCol w:w="553"/>
        <w:gridCol w:w="552"/>
        <w:gridCol w:w="616"/>
        <w:gridCol w:w="594"/>
        <w:gridCol w:w="570"/>
        <w:gridCol w:w="560"/>
        <w:gridCol w:w="1211"/>
      </w:tblGrid>
      <w:tr>
        <w:tblPrEx>
          <w:shd w:val="clear" w:color="auto" w:fill="auto"/>
          <w:tblLayout w:type="fixed"/>
          <w:tblCellMar>
            <w:top w:w="0" w:type="dxa"/>
            <w:left w:w="0" w:type="dxa"/>
            <w:bottom w:w="0" w:type="dxa"/>
            <w:right w:w="0" w:type="dxa"/>
          </w:tblCellMar>
        </w:tblPrEx>
        <w:trPr>
          <w:trHeight w:val="80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项目支出绩效自评表（法学会工作经费）</w:t>
            </w:r>
          </w:p>
        </w:tc>
      </w:tr>
      <w:tr>
        <w:tblPrEx>
          <w:tblLayout w:type="fixed"/>
          <w:tblCellMar>
            <w:top w:w="0" w:type="dxa"/>
            <w:left w:w="0" w:type="dxa"/>
            <w:bottom w:w="0" w:type="dxa"/>
            <w:right w:w="0" w:type="dxa"/>
          </w:tblCellMar>
        </w:tblPrEx>
        <w:trPr>
          <w:trHeight w:val="44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  2023  年度）</w:t>
            </w:r>
          </w:p>
        </w:tc>
      </w:tr>
      <w:tr>
        <w:tblPrEx>
          <w:tblLayout w:type="fixed"/>
          <w:tblCellMar>
            <w:top w:w="0" w:type="dxa"/>
            <w:left w:w="0" w:type="dxa"/>
            <w:bottom w:w="0" w:type="dxa"/>
            <w:right w:w="0" w:type="dxa"/>
          </w:tblCellMar>
        </w:tblPrEx>
        <w:trPr>
          <w:trHeight w:val="600" w:hRule="atLeast"/>
        </w:trPr>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项目名称</w:t>
            </w:r>
          </w:p>
        </w:tc>
        <w:tc>
          <w:tcPr>
            <w:tcW w:w="7559"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法学会工作经费</w:t>
            </w:r>
          </w:p>
        </w:tc>
      </w:tr>
      <w:tr>
        <w:tblPrEx>
          <w:tblLayout w:type="fixed"/>
          <w:tblCellMar>
            <w:top w:w="0" w:type="dxa"/>
            <w:left w:w="0" w:type="dxa"/>
            <w:bottom w:w="0" w:type="dxa"/>
            <w:right w:w="0" w:type="dxa"/>
          </w:tblCellMar>
        </w:tblPrEx>
        <w:trPr>
          <w:trHeight w:val="600" w:hRule="atLeast"/>
        </w:trPr>
        <w:tc>
          <w:tcPr>
            <w:tcW w:w="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主管部门</w:t>
            </w:r>
          </w:p>
        </w:tc>
        <w:tc>
          <w:tcPr>
            <w:tcW w:w="290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自治区党委政法委</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实施单位</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新疆维吾尔自治区法学会</w:t>
            </w:r>
          </w:p>
        </w:tc>
      </w:tr>
      <w:tr>
        <w:tblPrEx>
          <w:tblLayout w:type="fixed"/>
          <w:tblCellMar>
            <w:top w:w="0" w:type="dxa"/>
            <w:left w:w="0" w:type="dxa"/>
            <w:bottom w:w="0" w:type="dxa"/>
            <w:right w:w="0" w:type="dxa"/>
          </w:tblCellMar>
        </w:tblPrEx>
        <w:trPr>
          <w:trHeight w:val="600" w:hRule="atLeast"/>
        </w:trPr>
        <w:tc>
          <w:tcPr>
            <w:tcW w:w="7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项目资金</w:t>
            </w:r>
            <w:r>
              <w:rPr>
                <w:rFonts w:hint="default" w:ascii="Times New Roman" w:hAnsi="Times New Roman" w:eastAsia="宋体" w:cs="Times New Roman"/>
                <w:i w:val="0"/>
                <w:color w:val="000000"/>
                <w:kern w:val="0"/>
                <w:sz w:val="18"/>
                <w:szCs w:val="18"/>
                <w:u w:val="none"/>
                <w:lang w:val="en-US" w:eastAsia="zh-CN" w:bidi="ar"/>
              </w:rPr>
              <w:br w:type="textWrapping"/>
            </w:r>
            <w:r>
              <w:rPr>
                <w:rFonts w:hint="default" w:ascii="Times New Roman" w:hAnsi="Times New Roman" w:eastAsia="宋体" w:cs="Times New Roman"/>
                <w:i w:val="0"/>
                <w:color w:val="000000"/>
                <w:kern w:val="0"/>
                <w:sz w:val="18"/>
                <w:szCs w:val="18"/>
                <w:u w:val="none"/>
                <w:lang w:val="en-US" w:eastAsia="zh-CN" w:bidi="ar"/>
              </w:rPr>
              <w:t>（万元）</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资金来源</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年初预算数</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全年预算数</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全年执行数</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分值权重</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执行率</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年度资金总额</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93.25</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93.3%</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其中：当年财政拨款</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100.00 </w:t>
            </w:r>
          </w:p>
        </w:tc>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100.00 </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93.25</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7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28"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其他资金</w:t>
            </w:r>
          </w:p>
        </w:tc>
        <w:tc>
          <w:tcPr>
            <w:tcW w:w="6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020"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10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年度总体目标</w:t>
            </w:r>
          </w:p>
        </w:tc>
        <w:tc>
          <w:tcPr>
            <w:tcW w:w="439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总体目标</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439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  团结凝聚广大法学、法律工作者紧紧围绕全区中心工作，围绕社会稳定和长治久安总目标，积极投身法治新疆建设实践和平安新疆建设，加强对法学法律工作者的政治引领，深入开展法治理论研究、法治问题调研、法治宣传教育、法治人才培养、组织法律服务、履行对法学社团的管理。项目主要用于2023年开展的双百活动、法治文化基层行、法学研究课题、研究会开展活动、资助法学类专著出版等工作。</w:t>
            </w:r>
          </w:p>
        </w:tc>
        <w:tc>
          <w:tcPr>
            <w:tcW w:w="35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新疆法学会有效发挥法治宣传服务优势，引导法学法律工作者主动服务各族干部群众，开展形式多样的法治宣传与法律服务，大力宣传法治文化、弘扬法治精神，聚焦法治新疆平安新疆建设，在发挥桥梁纽带作用上彰显新担当。聚焦共建“一带一路”和人权保障，推进对外交流。服务高质量发展，加强学术研讨，打造具有坚定理想信念、强烈家国情怀、扎实法学根底、熟悉国情疆情的法治人才队伍。</w:t>
            </w:r>
          </w:p>
        </w:tc>
      </w:tr>
      <w:tr>
        <w:tblPrEx>
          <w:tblLayout w:type="fixed"/>
          <w:tblCellMar>
            <w:top w:w="0" w:type="dxa"/>
            <w:left w:w="0" w:type="dxa"/>
            <w:bottom w:w="0" w:type="dxa"/>
            <w:right w:w="0" w:type="dxa"/>
          </w:tblCellMar>
        </w:tblPrEx>
        <w:trPr>
          <w:trHeight w:val="600" w:hRule="atLeast"/>
        </w:trPr>
        <w:tc>
          <w:tcPr>
            <w:tcW w:w="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年度绩效指标完成情况</w:t>
            </w: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一级指标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二级指标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三级指标</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指标值</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指标值设置依据</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上年完成值</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指标分值权重</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指标赋分规则</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佐证资料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指标实际完成值</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完成率</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指标得分</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产出指标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数量指标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法学研究课题</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0"/>
                <w:rFonts w:hint="default" w:ascii="Times New Roman" w:hAnsi="Times New Roman" w:eastAsia="宋体" w:cs="Times New Roman"/>
                <w:sz w:val="24"/>
                <w:szCs w:val="24"/>
                <w:lang w:val="en-US" w:eastAsia="zh-CN" w:bidi="ar"/>
              </w:rPr>
              <w:t>≥10</w:t>
            </w:r>
            <w:r>
              <w:rPr>
                <w:rStyle w:val="21"/>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“双百”法学宣讲</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2"/>
                <w:rFonts w:hint="default" w:ascii="Times New Roman" w:hAnsi="Times New Roman" w:cs="Times New Roman"/>
                <w:lang w:val="en-US" w:eastAsia="zh-CN" w:bidi="ar"/>
              </w:rPr>
              <w:t>≥</w:t>
            </w:r>
            <w:r>
              <w:rPr>
                <w:rStyle w:val="23"/>
                <w:rFonts w:hint="default" w:ascii="Times New Roman" w:hAnsi="Times New Roman" w:eastAsia="宋体" w:cs="Times New Roman"/>
                <w:lang w:val="en-US" w:eastAsia="zh-CN" w:bidi="ar"/>
              </w:rPr>
              <w:t>15</w:t>
            </w:r>
            <w:r>
              <w:rPr>
                <w:rStyle w:val="21"/>
                <w:rFonts w:hint="default" w:ascii="Times New Roman" w:hAnsi="Times New Roman" w:cs="Times New Roman"/>
                <w:lang w:val="en-US" w:eastAsia="zh-CN" w:bidi="ar"/>
              </w:rPr>
              <w:t>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法治文化基层行</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0"/>
                <w:rFonts w:hint="default" w:ascii="Times New Roman" w:hAnsi="Times New Roman" w:eastAsia="宋体" w:cs="Times New Roman"/>
                <w:sz w:val="24"/>
                <w:szCs w:val="24"/>
                <w:lang w:val="en-US" w:eastAsia="zh-CN" w:bidi="ar"/>
              </w:rPr>
              <w:t>≥15</w:t>
            </w:r>
            <w:r>
              <w:rPr>
                <w:rStyle w:val="21"/>
                <w:rFonts w:hint="default" w:ascii="Times New Roman" w:hAnsi="Times New Roman" w:cs="Times New Roman"/>
                <w:lang w:val="en-US" w:eastAsia="zh-CN" w:bidi="ar"/>
              </w:rPr>
              <w:t>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开展研究会活动</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2"/>
                <w:rFonts w:hint="default" w:ascii="Times New Roman" w:hAnsi="Times New Roman" w:cs="Times New Roman"/>
                <w:lang w:val="en-US" w:eastAsia="zh-CN" w:bidi="ar"/>
              </w:rPr>
              <w:t>≥</w:t>
            </w:r>
            <w:r>
              <w:rPr>
                <w:rStyle w:val="23"/>
                <w:rFonts w:hint="default" w:ascii="Times New Roman" w:hAnsi="Times New Roman" w:eastAsia="宋体" w:cs="Times New Roman"/>
                <w:lang w:val="en-US" w:eastAsia="zh-CN" w:bidi="ar"/>
              </w:rPr>
              <w:t>6</w:t>
            </w:r>
            <w:r>
              <w:rPr>
                <w:rStyle w:val="21"/>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108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指导、服务基层法学会</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Style w:val="20"/>
                <w:rFonts w:hint="default" w:ascii="Times New Roman" w:hAnsi="Times New Roman" w:eastAsia="宋体" w:cs="Times New Roman"/>
                <w:sz w:val="24"/>
                <w:szCs w:val="24"/>
                <w:lang w:val="en-US" w:eastAsia="zh-CN" w:bidi="ar"/>
              </w:rPr>
              <w:t>≥14</w:t>
            </w:r>
            <w:r>
              <w:rPr>
                <w:rStyle w:val="21"/>
                <w:rFonts w:hint="default" w:ascii="Times New Roman" w:hAnsi="Times New Roman" w:cs="Times New Roman"/>
                <w:lang w:val="en-US" w:eastAsia="zh-CN" w:bidi="ar"/>
              </w:rPr>
              <w:t>个</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14个</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14个</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质量指标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课题成果应用率（%）</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时效指标</w:t>
            </w:r>
          </w:p>
        </w:tc>
        <w:tc>
          <w:tcPr>
            <w:tcW w:w="724"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年度任务完成时限</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12月10日</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12月10日</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12月10日</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8"/>
                <w:szCs w:val="18"/>
                <w:u w:val="none"/>
              </w:rPr>
            </w:pPr>
            <w:r>
              <w:rPr>
                <w:rFonts w:hint="default" w:ascii="Times New Roman" w:hAnsi="Times New Roman" w:eastAsia="宋体" w:cs="Times New Roman"/>
                <w:b/>
                <w:i w:val="0"/>
                <w:color w:val="000000"/>
                <w:kern w:val="0"/>
                <w:sz w:val="18"/>
                <w:szCs w:val="18"/>
                <w:u w:val="none"/>
                <w:lang w:val="en-US" w:eastAsia="zh-CN" w:bidi="ar"/>
              </w:rPr>
              <w:t>4</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8"/>
                <w:szCs w:val="18"/>
                <w:u w:val="none"/>
              </w:rPr>
            </w:pPr>
          </w:p>
        </w:tc>
      </w:tr>
      <w:tr>
        <w:tblPrEx>
          <w:tblLayout w:type="fixed"/>
          <w:tblCellMar>
            <w:top w:w="0" w:type="dxa"/>
            <w:left w:w="0" w:type="dxa"/>
            <w:bottom w:w="0" w:type="dxa"/>
            <w:right w:w="0" w:type="dxa"/>
          </w:tblCellMar>
        </w:tblPrEx>
        <w:trPr>
          <w:trHeight w:val="178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成本指标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经济成本指标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课题研究费用支出</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37.4万元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93.50%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课题研究周期长且需分批拨付，课题设置坚持成果为导向，课题研究从重数量改变为重质量。下一步继续坚持以成果为导向，突出课题设置的重点方向，重视课题转化应用，进一步优化课题管理方式，确保课题政治效益、法治效益、社会效益的最大化，推出重磅精品成果。</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法治基层行活动、双百活动、研究会建设</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8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其他业务支出</w:t>
            </w:r>
          </w:p>
        </w:tc>
        <w:tc>
          <w:tcPr>
            <w:tcW w:w="6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41万元</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预算支出标准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41万元</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按照完成比例赋分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36.85万元</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89.88%</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政府采购类物品在预算基础上有部分结余，公务接待费用根据实际情况支出后有结余。</w:t>
            </w: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效益指标</w:t>
            </w:r>
          </w:p>
        </w:tc>
        <w:tc>
          <w:tcPr>
            <w:tcW w:w="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社会效益指标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法学宣讲对干部职工的法律意识</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按评判等级赋分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增强</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法治研究成果对自治区法治工作决策起到良好作用</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按评判等级赋分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良好</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3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满意度指标</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法治宣讲对象满意度</w:t>
            </w:r>
          </w:p>
        </w:tc>
        <w:tc>
          <w:tcPr>
            <w:tcW w:w="655"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计划标准</w:t>
            </w: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满意度赋分</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说明材料</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r>
      <w:tr>
        <w:tblPrEx>
          <w:tblLayout w:type="fixed"/>
          <w:tblCellMar>
            <w:top w:w="0" w:type="dxa"/>
            <w:left w:w="0" w:type="dxa"/>
            <w:bottom w:w="0" w:type="dxa"/>
            <w:right w:w="0" w:type="dxa"/>
          </w:tblCellMar>
        </w:tblPrEx>
        <w:trPr>
          <w:trHeight w:val="400" w:hRule="atLeast"/>
        </w:trPr>
        <w:tc>
          <w:tcPr>
            <w:tcW w:w="2005"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总分</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0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8"/>
                <w:szCs w:val="18"/>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8"/>
                <w:szCs w:val="18"/>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98.2</w:t>
            </w:r>
          </w:p>
        </w:tc>
        <w:tc>
          <w:tcPr>
            <w:tcW w:w="12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8"/>
                <w:szCs w:val="18"/>
                <w:u w:val="none"/>
              </w:rPr>
            </w:pPr>
          </w:p>
        </w:tc>
      </w:tr>
    </w:tbl>
    <w:p>
      <w:pPr>
        <w:pStyle w:val="18"/>
        <w:ind w:left="0" w:leftChars="0" w:firstLine="0" w:firstLineChars="0"/>
        <w:rPr>
          <w:rFonts w:hint="default" w:ascii="Times New Roman" w:hAnsi="Times New Roman" w:eastAsia="方正仿宋简体" w:cs="Times New Roman"/>
          <w:color w:val="auto"/>
          <w:sz w:val="32"/>
          <w:szCs w:val="32"/>
          <w:highlight w:val="none"/>
        </w:rPr>
      </w:pPr>
    </w:p>
    <w:p>
      <w:pPr>
        <w:keepNext w:val="0"/>
        <w:keepLines w:val="0"/>
        <w:widowControl/>
        <w:suppressLineNumbers w:val="0"/>
        <w:jc w:val="left"/>
        <w:rPr>
          <w:rFonts w:hint="default" w:ascii="Times New Roman" w:hAnsi="Times New Roman" w:eastAsia="方正仿宋简体" w:cs="Times New Roman"/>
          <w:color w:val="auto"/>
          <w:sz w:val="32"/>
          <w:szCs w:val="32"/>
          <w:highlight w:val="none"/>
        </w:rPr>
      </w:pPr>
    </w:p>
    <w:p>
      <w:pPr>
        <w:pStyle w:val="19"/>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p>
      <w:pPr>
        <w:pStyle w:val="18"/>
        <w:rPr>
          <w:rFonts w:hint="default" w:ascii="Times New Roman" w:hAnsi="Times New Roman" w:eastAsia="方正仿宋简体" w:cs="Times New Roman"/>
          <w:color w:val="auto"/>
          <w:sz w:val="32"/>
          <w:szCs w:val="32"/>
          <w:highlight w:val="none"/>
        </w:rPr>
      </w:pPr>
    </w:p>
    <w:tbl>
      <w:tblPr>
        <w:tblStyle w:val="10"/>
        <w:tblW w:w="8336" w:type="dxa"/>
        <w:tblInd w:w="0" w:type="dxa"/>
        <w:shd w:val="clear" w:color="auto" w:fill="auto"/>
        <w:tblLayout w:type="fixed"/>
        <w:tblCellMar>
          <w:top w:w="0" w:type="dxa"/>
          <w:left w:w="0" w:type="dxa"/>
          <w:bottom w:w="0" w:type="dxa"/>
          <w:right w:w="0" w:type="dxa"/>
        </w:tblCellMar>
      </w:tblPr>
      <w:tblGrid>
        <w:gridCol w:w="390"/>
        <w:gridCol w:w="391"/>
        <w:gridCol w:w="507"/>
        <w:gridCol w:w="726"/>
        <w:gridCol w:w="656"/>
        <w:gridCol w:w="512"/>
        <w:gridCol w:w="513"/>
        <w:gridCol w:w="556"/>
        <w:gridCol w:w="556"/>
        <w:gridCol w:w="621"/>
        <w:gridCol w:w="595"/>
        <w:gridCol w:w="555"/>
        <w:gridCol w:w="561"/>
        <w:gridCol w:w="1197"/>
      </w:tblGrid>
      <w:tr>
        <w:tblPrEx>
          <w:shd w:val="clear" w:color="auto" w:fill="auto"/>
          <w:tblLayout w:type="fixed"/>
          <w:tblCellMar>
            <w:top w:w="0" w:type="dxa"/>
            <w:left w:w="0" w:type="dxa"/>
            <w:bottom w:w="0" w:type="dxa"/>
            <w:right w:w="0" w:type="dxa"/>
          </w:tblCellMar>
        </w:tblPrEx>
        <w:trPr>
          <w:trHeight w:val="80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项目支出绩效自评表（法治基金工作经费）</w:t>
            </w:r>
          </w:p>
        </w:tc>
      </w:tr>
      <w:tr>
        <w:tblPrEx>
          <w:tblLayout w:type="fixed"/>
          <w:tblCellMar>
            <w:top w:w="0" w:type="dxa"/>
            <w:left w:w="0" w:type="dxa"/>
            <w:bottom w:w="0" w:type="dxa"/>
            <w:right w:w="0" w:type="dxa"/>
          </w:tblCellMar>
        </w:tblPrEx>
        <w:trPr>
          <w:trHeight w:val="440" w:hRule="atLeast"/>
        </w:trPr>
        <w:tc>
          <w:tcPr>
            <w:tcW w:w="8336"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（2023年度）</w:t>
            </w:r>
          </w:p>
        </w:tc>
      </w:tr>
      <w:tr>
        <w:tblPrEx>
          <w:tblLayout w:type="fixed"/>
          <w:tblCellMar>
            <w:top w:w="0" w:type="dxa"/>
            <w:left w:w="0" w:type="dxa"/>
            <w:bottom w:w="0" w:type="dxa"/>
            <w:right w:w="0" w:type="dxa"/>
          </w:tblCellMar>
        </w:tblPrEx>
        <w:trPr>
          <w:trHeight w:val="600" w:hRule="atLeast"/>
        </w:trPr>
        <w:tc>
          <w:tcPr>
            <w:tcW w:w="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项目名称</w:t>
            </w:r>
          </w:p>
        </w:tc>
        <w:tc>
          <w:tcPr>
            <w:tcW w:w="755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法治基金工作经费</w:t>
            </w:r>
          </w:p>
        </w:tc>
      </w:tr>
      <w:tr>
        <w:tblPrEx>
          <w:tblLayout w:type="fixed"/>
          <w:tblCellMar>
            <w:top w:w="0" w:type="dxa"/>
            <w:left w:w="0" w:type="dxa"/>
            <w:bottom w:w="0" w:type="dxa"/>
            <w:right w:w="0" w:type="dxa"/>
          </w:tblCellMar>
        </w:tblPrEx>
        <w:trPr>
          <w:trHeight w:val="600" w:hRule="atLeast"/>
        </w:trPr>
        <w:tc>
          <w:tcPr>
            <w:tcW w:w="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主管部门</w:t>
            </w:r>
          </w:p>
        </w:tc>
        <w:tc>
          <w:tcPr>
            <w:tcW w:w="291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自治区党委政法委</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实施单位</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新疆维吾尔自治区法学会</w:t>
            </w:r>
          </w:p>
        </w:tc>
      </w:tr>
      <w:tr>
        <w:tblPrEx>
          <w:tblLayout w:type="fixed"/>
          <w:tblCellMar>
            <w:top w:w="0" w:type="dxa"/>
            <w:left w:w="0" w:type="dxa"/>
            <w:bottom w:w="0" w:type="dxa"/>
            <w:right w:w="0" w:type="dxa"/>
          </w:tblCellMar>
        </w:tblPrEx>
        <w:trPr>
          <w:trHeight w:val="600" w:hRule="atLeast"/>
        </w:trPr>
        <w:tc>
          <w:tcPr>
            <w:tcW w:w="7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项目资金</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（万元）</w:t>
            </w: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资金来源</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年初预算数</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全年预算数</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全年执行数</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分值权重</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执行率</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年度资金总额</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290</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290</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284.26</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98.0%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9.8</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其中：当年财政拨款</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290.00 </w:t>
            </w:r>
          </w:p>
        </w:tc>
        <w:tc>
          <w:tcPr>
            <w:tcW w:w="10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290.00 </w:t>
            </w:r>
          </w:p>
        </w:tc>
        <w:tc>
          <w:tcPr>
            <w:tcW w:w="1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284.26</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7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233"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其他资金</w:t>
            </w:r>
          </w:p>
        </w:tc>
        <w:tc>
          <w:tcPr>
            <w:tcW w:w="6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025"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112"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0</w:t>
            </w:r>
          </w:p>
        </w:tc>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年度总体目标</w:t>
            </w:r>
          </w:p>
        </w:tc>
        <w:tc>
          <w:tcPr>
            <w:tcW w:w="441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41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围绕社会稳定和长治久安总目标，积极投身法治新疆、平安新疆建设实践，引领各学科研究会和高校科研机构对法治改革热点、难点问题专项研究；引领法学专家对社会突发事件进行法治点评和舆论引导；深入开展法治理论研究、法治问题调研、法治宣传教育、法治人才培养、组织法律援助服务。</w:t>
            </w:r>
          </w:p>
        </w:tc>
        <w:tc>
          <w:tcPr>
            <w:tcW w:w="352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团结引导广大法学法律工作者积极投身平安新疆、法治新疆建设。突出法治实践需求，深化法学研究。根据中国法学会论坛委托课题安排，坚持成果导向和实践导向，先后组织重点课题研究。设立法治保障研究基地，打造新型智库，推动法学研究向实践成果转化。</w:t>
            </w:r>
          </w:p>
        </w:tc>
      </w:tr>
      <w:tr>
        <w:tblPrEx>
          <w:tblLayout w:type="fixed"/>
          <w:tblCellMar>
            <w:top w:w="0" w:type="dxa"/>
            <w:left w:w="0" w:type="dxa"/>
            <w:bottom w:w="0" w:type="dxa"/>
            <w:right w:w="0" w:type="dxa"/>
          </w:tblCellMar>
        </w:tblPrEx>
        <w:trPr>
          <w:trHeight w:val="600"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指标值设置依据</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上年完成值</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指标分值权重</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指标赋分规则</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佐证资料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指标实际完成值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完成率</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指标得分</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年度绩效指标完成情况</w:t>
            </w: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法学研究课题</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4"/>
                <w:rFonts w:hint="default" w:ascii="Times New Roman" w:hAnsi="Times New Roman" w:eastAsia="宋体" w:cs="Times New Roman"/>
                <w:sz w:val="15"/>
                <w:szCs w:val="15"/>
                <w:lang w:val="en-US" w:eastAsia="zh-CN" w:bidi="ar"/>
              </w:rPr>
              <w:t>≥10</w:t>
            </w:r>
            <w:r>
              <w:rPr>
                <w:rStyle w:val="25"/>
                <w:rFonts w:hint="default" w:ascii="Times New Roman" w:hAnsi="Times New Roman" w:cs="Times New Roman"/>
                <w:sz w:val="15"/>
                <w:szCs w:val="15"/>
                <w:lang w:val="en-US" w:eastAsia="zh-CN" w:bidi="ar"/>
              </w:rPr>
              <w:t>个</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10个</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10个</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指导、服务基层法学会</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4"/>
                <w:rFonts w:hint="default" w:ascii="Times New Roman" w:hAnsi="Times New Roman" w:eastAsia="宋体" w:cs="Times New Roman"/>
                <w:sz w:val="15"/>
                <w:szCs w:val="15"/>
                <w:lang w:val="en-US" w:eastAsia="zh-CN" w:bidi="ar"/>
              </w:rPr>
              <w:t>≥14</w:t>
            </w:r>
            <w:r>
              <w:rPr>
                <w:rStyle w:val="25"/>
                <w:rFonts w:hint="default" w:ascii="Times New Roman" w:hAnsi="Times New Roman" w:cs="Times New Roman"/>
                <w:sz w:val="15"/>
                <w:szCs w:val="15"/>
                <w:lang w:val="en-US" w:eastAsia="zh-CN" w:bidi="ar"/>
              </w:rPr>
              <w:t>个</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14个</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14个</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法律人才培养项目</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4"/>
                <w:rFonts w:hint="default" w:ascii="Times New Roman" w:hAnsi="Times New Roman" w:eastAsia="宋体" w:cs="Times New Roman"/>
                <w:sz w:val="15"/>
                <w:szCs w:val="15"/>
                <w:lang w:val="en-US" w:eastAsia="zh-CN" w:bidi="ar"/>
              </w:rPr>
              <w:t>≥4</w:t>
            </w:r>
            <w:r>
              <w:rPr>
                <w:rStyle w:val="25"/>
                <w:rFonts w:hint="default" w:ascii="Times New Roman" w:hAnsi="Times New Roman" w:cs="Times New Roman"/>
                <w:sz w:val="15"/>
                <w:szCs w:val="15"/>
                <w:lang w:val="en-US" w:eastAsia="zh-CN" w:bidi="ar"/>
              </w:rPr>
              <w:t>项</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4项</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108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法律援助项目</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4"/>
                <w:rFonts w:hint="default" w:ascii="Times New Roman" w:hAnsi="Times New Roman" w:eastAsia="宋体" w:cs="Times New Roman"/>
                <w:sz w:val="15"/>
                <w:szCs w:val="15"/>
                <w:lang w:val="en-US" w:eastAsia="zh-CN" w:bidi="ar"/>
              </w:rPr>
              <w:t>≥5</w:t>
            </w:r>
            <w:r>
              <w:rPr>
                <w:rStyle w:val="25"/>
                <w:rFonts w:hint="default" w:ascii="Times New Roman" w:hAnsi="Times New Roman" w:cs="Times New Roman"/>
                <w:sz w:val="15"/>
                <w:szCs w:val="15"/>
                <w:lang w:val="en-US" w:eastAsia="zh-CN" w:bidi="ar"/>
              </w:rPr>
              <w:t>项</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5项</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5项</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84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项目结项率</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课题成果应用率（%）</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年度任务完成时限</w:t>
            </w:r>
          </w:p>
        </w:tc>
        <w:tc>
          <w:tcPr>
            <w:tcW w:w="65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12月10日</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15"/>
                <w:szCs w:val="15"/>
                <w:u w:val="none"/>
              </w:rPr>
            </w:pPr>
            <w:r>
              <w:rPr>
                <w:rFonts w:hint="default" w:ascii="Times New Roman" w:hAnsi="Times New Roman" w:eastAsia="宋体" w:cs="Times New Roman"/>
                <w:b/>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课题研究费用支出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100</w:t>
            </w:r>
            <w:r>
              <w:rPr>
                <w:rStyle w:val="27"/>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100</w:t>
            </w:r>
            <w:r>
              <w:rPr>
                <w:rStyle w:val="27"/>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86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法律人才培养和服务法治实践项目支出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w:t>
            </w:r>
            <w:r>
              <w:rPr>
                <w:rStyle w:val="27"/>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w:t>
            </w:r>
            <w:r>
              <w:rPr>
                <w:rStyle w:val="27"/>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7.028万元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70.30%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2.8</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法治人才培训原计划可在疆外进行，根据实际改到疆内（伊犁师范大学），实际培训费有所降低。</w:t>
            </w: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普法活动支出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70</w:t>
            </w:r>
            <w:r>
              <w:rPr>
                <w:rStyle w:val="27"/>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70</w:t>
            </w:r>
            <w:r>
              <w:rPr>
                <w:rStyle w:val="27"/>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70万元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法治建设支出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103</w:t>
            </w:r>
            <w:r>
              <w:rPr>
                <w:rStyle w:val="27"/>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103</w:t>
            </w:r>
            <w:r>
              <w:rPr>
                <w:rStyle w:val="27"/>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103万元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96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其他业务支出</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7</w:t>
            </w:r>
            <w:r>
              <w:rPr>
                <w:rStyle w:val="27"/>
                <w:rFonts w:hint="default" w:ascii="Times New Roman" w:hAnsi="Times New Roman" w:cs="Times New Roman"/>
                <w:sz w:val="15"/>
                <w:szCs w:val="15"/>
                <w:lang w:val="en-US" w:eastAsia="zh-CN" w:bidi="ar"/>
              </w:rPr>
              <w:t>万元</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13"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6"/>
                <w:rFonts w:hint="default" w:ascii="Times New Roman" w:hAnsi="Times New Roman" w:eastAsia="宋体" w:cs="Times New Roman"/>
                <w:sz w:val="15"/>
                <w:szCs w:val="15"/>
                <w:lang w:val="en-US" w:eastAsia="zh-CN" w:bidi="ar"/>
              </w:rPr>
              <w:t>7</w:t>
            </w:r>
            <w:r>
              <w:rPr>
                <w:rStyle w:val="27"/>
                <w:rFonts w:hint="default" w:ascii="Times New Roman" w:hAnsi="Times New Roman" w:cs="Times New Roman"/>
                <w:sz w:val="15"/>
                <w:szCs w:val="15"/>
                <w:lang w:val="en-US" w:eastAsia="zh-CN" w:bidi="ar"/>
              </w:rPr>
              <w:t>万元</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4.232万元</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60.46%</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2.4</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法治基金其他支出费用于支持法学会业务工作所产生的办公费，无法购买政府采购类物品，且大部分由法学会工作经费保障。</w:t>
            </w: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社会效益指标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法治研究成果对自治区法治工作决策起到良好作用</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按评判等级赋分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良好</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法律受援对象满意度</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≥99%</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99%</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3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法治宣讲对象满意度</w:t>
            </w:r>
          </w:p>
        </w:tc>
        <w:tc>
          <w:tcPr>
            <w:tcW w:w="656" w:type="dxa"/>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Style w:val="28"/>
                <w:rFonts w:hint="default" w:ascii="Times New Roman" w:hAnsi="Times New Roman" w:cs="Times New Roman"/>
                <w:sz w:val="15"/>
                <w:szCs w:val="15"/>
                <w:lang w:val="en-US" w:eastAsia="zh-CN" w:bidi="ar"/>
              </w:rPr>
              <w:t>≥</w:t>
            </w:r>
            <w:r>
              <w:rPr>
                <w:rStyle w:val="29"/>
                <w:rFonts w:hint="default" w:ascii="Times New Roman" w:hAnsi="Times New Roman" w:eastAsia="宋体" w:cs="Times New Roman"/>
                <w:sz w:val="15"/>
                <w:szCs w:val="15"/>
                <w:lang w:val="en-US" w:eastAsia="zh-CN" w:bidi="ar"/>
              </w:rPr>
              <w:t>90%</w:t>
            </w:r>
          </w:p>
        </w:tc>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400" w:hRule="atLeast"/>
        </w:trPr>
        <w:tc>
          <w:tcPr>
            <w:tcW w:w="2014"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总分</w:t>
            </w:r>
          </w:p>
        </w:tc>
        <w:tc>
          <w:tcPr>
            <w:tcW w:w="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12"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5"/>
                <w:szCs w:val="15"/>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97</w:t>
            </w:r>
          </w:p>
        </w:tc>
        <w:tc>
          <w:tcPr>
            <w:tcW w:w="11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r>
    </w:tbl>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本部门无其他需说明事项</w:t>
      </w:r>
      <w:r>
        <w:rPr>
          <w:rFonts w:hint="eastAsia" w:ascii="Times New Roman" w:hAnsi="Times New Roman" w:eastAsia="方正仿宋简体" w:cs="Times New Roman"/>
          <w:color w:val="auto"/>
          <w:kern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24143"/>
      <w:bookmarkStart w:id="31" w:name="_Toc3250"/>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60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czgL8cBAAB+AwAADgAAAAAAAAABACAAAAAeAQAAZHJzL2Uyb0RvYy54&#10;bWxQSwUGAAAAAAYABgBZAQAAVwU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5NjdhM2Y1MmFlYjg0Y2YyYTA2YzNmMmI5ODExMTI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1736D"/>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B4269"/>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101A2"/>
    <w:rsid w:val="1BFB2A1F"/>
    <w:rsid w:val="1C015D4A"/>
    <w:rsid w:val="1C290ED5"/>
    <w:rsid w:val="1C317E4F"/>
    <w:rsid w:val="1C472464"/>
    <w:rsid w:val="1D22799A"/>
    <w:rsid w:val="1D5C1A72"/>
    <w:rsid w:val="1DAF458D"/>
    <w:rsid w:val="1E086ACE"/>
    <w:rsid w:val="1E62130A"/>
    <w:rsid w:val="1E97358B"/>
    <w:rsid w:val="1EAA4A5F"/>
    <w:rsid w:val="1EE869A7"/>
    <w:rsid w:val="1F705D48"/>
    <w:rsid w:val="1FA15E62"/>
    <w:rsid w:val="1FED69B6"/>
    <w:rsid w:val="2064678E"/>
    <w:rsid w:val="20DC1AB9"/>
    <w:rsid w:val="20DD6197"/>
    <w:rsid w:val="212631E0"/>
    <w:rsid w:val="21582E23"/>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13E15BB"/>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2A4EEC"/>
    <w:rsid w:val="36965B9D"/>
    <w:rsid w:val="36C549FD"/>
    <w:rsid w:val="37A755DD"/>
    <w:rsid w:val="37F94FA0"/>
    <w:rsid w:val="380D3381"/>
    <w:rsid w:val="38115B1F"/>
    <w:rsid w:val="385E3AC3"/>
    <w:rsid w:val="387D6B9E"/>
    <w:rsid w:val="38AD7A29"/>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BD6127"/>
    <w:rsid w:val="47D90D14"/>
    <w:rsid w:val="47DE1152"/>
    <w:rsid w:val="48387FB0"/>
    <w:rsid w:val="483A6114"/>
    <w:rsid w:val="488727DB"/>
    <w:rsid w:val="48B82268"/>
    <w:rsid w:val="48C354B3"/>
    <w:rsid w:val="493D58B5"/>
    <w:rsid w:val="494A7A04"/>
    <w:rsid w:val="4A0A26D2"/>
    <w:rsid w:val="4A2019A5"/>
    <w:rsid w:val="4A241A0B"/>
    <w:rsid w:val="4A5C2BD7"/>
    <w:rsid w:val="4A7B2875"/>
    <w:rsid w:val="4A934476"/>
    <w:rsid w:val="4AAA220A"/>
    <w:rsid w:val="4AE12E67"/>
    <w:rsid w:val="4B4C0111"/>
    <w:rsid w:val="4B8553A9"/>
    <w:rsid w:val="4BDB3730"/>
    <w:rsid w:val="4C200F7A"/>
    <w:rsid w:val="4C3F5BD0"/>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E156E2"/>
    <w:rsid w:val="51025EB1"/>
    <w:rsid w:val="51141503"/>
    <w:rsid w:val="513C450E"/>
    <w:rsid w:val="518D0ED5"/>
    <w:rsid w:val="525C687F"/>
    <w:rsid w:val="52A3740A"/>
    <w:rsid w:val="52F647F7"/>
    <w:rsid w:val="52F92565"/>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84E7CA6"/>
    <w:rsid w:val="78574801"/>
    <w:rsid w:val="7873527F"/>
    <w:rsid w:val="790A6425"/>
    <w:rsid w:val="790E2D96"/>
    <w:rsid w:val="791B54B2"/>
    <w:rsid w:val="793C0F89"/>
    <w:rsid w:val="795A0A34"/>
    <w:rsid w:val="797339C3"/>
    <w:rsid w:val="79D57D57"/>
    <w:rsid w:val="79F00650"/>
    <w:rsid w:val="7A6242BF"/>
    <w:rsid w:val="7A794513"/>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Plain Text"/>
    <w:basedOn w:val="1"/>
    <w:qFormat/>
    <w:uiPriority w:val="0"/>
    <w:rPr>
      <w:rFonts w:ascii="宋体" w:hAnsi="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论文正文"/>
    <w:basedOn w:val="4"/>
    <w:qFormat/>
    <w:uiPriority w:val="0"/>
    <w:pPr>
      <w:spacing w:line="360" w:lineRule="atLeast"/>
      <w:ind w:firstLine="0" w:firstLineChars="0"/>
    </w:pPr>
    <w:rPr>
      <w:rFonts w:ascii="Calibri" w:hAnsi="Calibri" w:eastAsia="宋体" w:cs="Times New Roman"/>
      <w:szCs w:val="22"/>
    </w:rPr>
  </w:style>
  <w:style w:type="paragraph" w:customStyle="1" w:styleId="17">
    <w:name w:val="Table Paragraph"/>
    <w:basedOn w:val="1"/>
    <w:qFormat/>
    <w:uiPriority w:val="1"/>
  </w:style>
  <w:style w:type="paragraph" w:customStyle="1" w:styleId="18">
    <w:name w:val="样式2"/>
    <w:basedOn w:val="1"/>
    <w:qFormat/>
    <w:uiPriority w:val="0"/>
    <w:pPr>
      <w:ind w:firstLine="200" w:firstLineChars="200"/>
    </w:pPr>
    <w:rPr>
      <w:rFonts w:eastAsia="仿宋_GB2312"/>
      <w:sz w:val="32"/>
    </w:rPr>
  </w:style>
  <w:style w:type="paragraph" w:customStyle="1" w:styleId="19">
    <w:name w:val="样式1"/>
    <w:basedOn w:val="1"/>
    <w:next w:val="18"/>
    <w:qFormat/>
    <w:uiPriority w:val="0"/>
  </w:style>
  <w:style w:type="character" w:customStyle="1" w:styleId="20">
    <w:name w:val="font112"/>
    <w:basedOn w:val="11"/>
    <w:qFormat/>
    <w:uiPriority w:val="0"/>
    <w:rPr>
      <w:rFonts w:hint="default" w:ascii="Times New Roman" w:hAnsi="Times New Roman" w:cs="Times New Roman"/>
      <w:color w:val="000000"/>
      <w:sz w:val="18"/>
      <w:szCs w:val="18"/>
      <w:u w:val="none"/>
    </w:rPr>
  </w:style>
  <w:style w:type="character" w:customStyle="1" w:styleId="21">
    <w:name w:val="font51"/>
    <w:basedOn w:val="11"/>
    <w:qFormat/>
    <w:uiPriority w:val="0"/>
    <w:rPr>
      <w:rFonts w:hint="eastAsia" w:ascii="宋体" w:hAnsi="宋体" w:eastAsia="宋体" w:cs="宋体"/>
      <w:color w:val="000000"/>
      <w:sz w:val="18"/>
      <w:szCs w:val="18"/>
      <w:u w:val="none"/>
    </w:rPr>
  </w:style>
  <w:style w:type="character" w:customStyle="1" w:styleId="22">
    <w:name w:val="font11"/>
    <w:basedOn w:val="11"/>
    <w:qFormat/>
    <w:uiPriority w:val="0"/>
    <w:rPr>
      <w:rFonts w:hint="eastAsia" w:ascii="宋体" w:hAnsi="宋体" w:eastAsia="宋体" w:cs="宋体"/>
      <w:color w:val="000000"/>
      <w:sz w:val="18"/>
      <w:szCs w:val="18"/>
      <w:u w:val="none"/>
    </w:rPr>
  </w:style>
  <w:style w:type="character" w:customStyle="1" w:styleId="23">
    <w:name w:val="font91"/>
    <w:basedOn w:val="11"/>
    <w:qFormat/>
    <w:uiPriority w:val="0"/>
    <w:rPr>
      <w:rFonts w:hint="default" w:ascii="Times New Roman" w:hAnsi="Times New Roman" w:cs="Times New Roman"/>
      <w:color w:val="000000"/>
      <w:sz w:val="18"/>
      <w:szCs w:val="18"/>
      <w:u w:val="none"/>
    </w:rPr>
  </w:style>
  <w:style w:type="character" w:customStyle="1" w:styleId="24">
    <w:name w:val="font121"/>
    <w:basedOn w:val="11"/>
    <w:qFormat/>
    <w:uiPriority w:val="0"/>
    <w:rPr>
      <w:rFonts w:hint="default" w:ascii="Times New Roman" w:hAnsi="Times New Roman" w:cs="Times New Roman"/>
      <w:color w:val="000000"/>
      <w:sz w:val="18"/>
      <w:szCs w:val="18"/>
      <w:u w:val="none"/>
    </w:rPr>
  </w:style>
  <w:style w:type="character" w:customStyle="1" w:styleId="25">
    <w:name w:val="font61"/>
    <w:basedOn w:val="11"/>
    <w:qFormat/>
    <w:uiPriority w:val="0"/>
    <w:rPr>
      <w:rFonts w:hint="eastAsia" w:ascii="宋体" w:hAnsi="宋体" w:eastAsia="宋体" w:cs="宋体"/>
      <w:color w:val="000000"/>
      <w:sz w:val="18"/>
      <w:szCs w:val="18"/>
      <w:u w:val="none"/>
    </w:rPr>
  </w:style>
  <w:style w:type="character" w:customStyle="1" w:styleId="26">
    <w:name w:val="font131"/>
    <w:basedOn w:val="11"/>
    <w:qFormat/>
    <w:uiPriority w:val="0"/>
    <w:rPr>
      <w:rFonts w:hint="default" w:ascii="Times New Roman" w:hAnsi="Times New Roman" w:cs="Times New Roman"/>
      <w:color w:val="000000"/>
      <w:sz w:val="18"/>
      <w:szCs w:val="18"/>
      <w:u w:val="none"/>
    </w:rPr>
  </w:style>
  <w:style w:type="character" w:customStyle="1" w:styleId="27">
    <w:name w:val="font41"/>
    <w:basedOn w:val="11"/>
    <w:qFormat/>
    <w:uiPriority w:val="0"/>
    <w:rPr>
      <w:rFonts w:hint="eastAsia" w:ascii="宋体" w:hAnsi="宋体" w:eastAsia="宋体" w:cs="宋体"/>
      <w:color w:val="000000"/>
      <w:sz w:val="18"/>
      <w:szCs w:val="18"/>
      <w:u w:val="none"/>
    </w:rPr>
  </w:style>
  <w:style w:type="character" w:customStyle="1" w:styleId="28">
    <w:name w:val="font31"/>
    <w:basedOn w:val="11"/>
    <w:qFormat/>
    <w:uiPriority w:val="0"/>
    <w:rPr>
      <w:rFonts w:hint="eastAsia" w:ascii="宋体" w:hAnsi="宋体" w:eastAsia="宋体" w:cs="宋体"/>
      <w:color w:val="000000"/>
      <w:sz w:val="18"/>
      <w:szCs w:val="18"/>
      <w:u w:val="none"/>
    </w:rPr>
  </w:style>
  <w:style w:type="character" w:customStyle="1" w:styleId="29">
    <w:name w:val="font01"/>
    <w:basedOn w:val="1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6612</Words>
  <Characters>22330</Characters>
  <Lines>0</Lines>
  <Paragraphs>0</Paragraphs>
  <TotalTime>185</TotalTime>
  <ScaleCrop>false</ScaleCrop>
  <LinksUpToDate>false</LinksUpToDate>
  <CharactersWithSpaces>22605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2024-08-28T05:03:00Z</cp:lastPrinted>
  <dcterms:modified xsi:type="dcterms:W3CDTF">2024-08-29T08:35:01Z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