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b/>
          <w:bCs/>
          <w:sz w:val="36"/>
          <w:szCs w:val="36"/>
        </w:rPr>
      </w:pPr>
    </w:p>
    <w:p>
      <w:pPr>
        <w:jc w:val="center"/>
        <w:rPr>
          <w:rFonts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rPr>
        <w:t>自治区财政厅2022年政府信息公开工作年度报告</w:t>
      </w:r>
    </w:p>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政府信息公开条例》和《中华人民共和国政府信息公开工作年度报告格式》（国办公开办函〔2021〕30号）、《2022年政务公开工作要点》（新政办发〔2022〕127号）要求，编制本报告。本报告由总体情况、主动公开政府信息情况、收到和处理政府信息公开申请情况、政府信息公开行政复议行政诉讼情况、存在的主要问题及改进情况、其他需要报告的事项等六部分组成。报告中所列数据统计期限为2022年1月1日到12月31日。</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一、总体情况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w:t>
      </w:r>
      <w:r>
        <w:rPr>
          <w:rFonts w:hint="eastAsia" w:ascii="仿宋_GB2312" w:hAnsi="仿宋_GB2312" w:eastAsia="仿宋_GB2312" w:cs="仿宋_GB2312"/>
          <w:color w:val="000000"/>
          <w:kern w:val="0"/>
          <w:sz w:val="32"/>
          <w:szCs w:val="32"/>
        </w:rPr>
        <w:t>自治区财政厅坚持以习近平新时代中国特色社会主义思想为指导，</w:t>
      </w:r>
      <w:r>
        <w:rPr>
          <w:rFonts w:hint="eastAsia" w:ascii="仿宋_GB2312" w:hAnsi="仿宋_GB2312" w:eastAsia="仿宋_GB2312" w:cs="仿宋_GB2312"/>
          <w:sz w:val="32"/>
          <w:szCs w:val="32"/>
        </w:rPr>
        <w:t>全面贯彻党的十九大和十九届历次全会、党的二十大精神，认真贯彻第三次中央新疆工作座谈会精神，贯彻落实全国、自治区政务公开领导小组会议精神，以“公开为常态，不公开为例外”，进一步完善政府信息公开制度，规范政府信息公开专栏建设，充分运用门户网站、微信公众号、新闻媒体等，及时主动向社会公布财政政策和财政数据，全面推进财政预决算、财政收支、政府债务、减税降费、政府采购等重点领域信息公开，认真办理依申请公开事项，积极做好政策解读、回应关切等工作，不断拓展财政信息公开的广度和深度，有效提升财政信息公开的时效性和影响力。2022年，自治区财政厅网站发布信息2788条，主动公开类政策文件均上网公开。</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（一）加强主动公开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政府信息公开条例》，明确财政厅主动公开政府信息的主体和内容，全面推进政务信息主动公开，着力抓好政策发布解读回应，切实加强政务公开平台建设，持续完善政府信息公开配套制度，紧紧围绕“六稳”“六保”重点工作任务，对涉及重大财政工作，预决算信息、民生领域及社会关切的信息，做到应公开尽公开，为落实“疫情要防住、经济要稳住、发展要安全”提供了有力支撑。</w:t>
      </w:r>
    </w:p>
    <w:p>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1.推进财政预决算信息公开。</w:t>
      </w:r>
      <w:r>
        <w:rPr>
          <w:rFonts w:hint="eastAsia" w:ascii="仿宋_GB2312" w:hAnsi="仿宋_GB2312" w:eastAsia="仿宋_GB2312" w:cs="仿宋_GB2312"/>
          <w:sz w:val="32"/>
          <w:szCs w:val="32"/>
        </w:rPr>
        <w:t>持续把深化预决算公开作为完善预算制度、全面推进政务公开的重要举措，作为回应社会关切、接受社会监督的具体形式，制定预决算公开方案、规程及制度性规范，督促各地和单位依法公开预决算，持续推动预决算公开信息看得到、读得懂、能监督。</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在公开范围上实现“全覆盖”。除涉密信息外，实现所有使用财政资金的自治区级部门全部公开本部门预算。指导和督促各级财政部门、各部门负责本地区、本部门预决算公开工作，全面展示了财政资金使用方向和使用成效。</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在公开内容上更加完整、规范。在公开各部门职能、预算单位构成、部门收支情况、政府采购预算、机关运行经费等内容的基础上，扩展公开了各部门所有项目支出预算、政府购买服务信息等内容。</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在明细程度上更加深入。地方政府和部门预决算公开涵盖一般公共预算、政府性基金预算、国有资本经营预算、社会保险基金预算。一般公共预算支出细化公开到支出功能分类项级科目，基本支出细化到经济分类款级科目，“三公”经费按因公出国(境)、公务用车购置运行、公务接待公开；专项转移支付分地区、分项目公开，进一步以公开促进预决算管理工作的提升。自治区本级98个部门单位，除涉密内容外，共发布200余条信息，公开了2022年部门预算、“三公”经费预算和2021年部门决算，并对有关名词进行解释，方便公众读懂预决算。</w:t>
      </w:r>
    </w:p>
    <w:p>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2.深化地方政府债务、绩效管理、减税降费等信息公开。</w:t>
      </w:r>
      <w:r>
        <w:rPr>
          <w:rFonts w:hint="eastAsia" w:ascii="仿宋_GB2312" w:hAnsi="仿宋_GB2312" w:eastAsia="仿宋_GB2312" w:cs="仿宋_GB2312"/>
          <w:sz w:val="32"/>
          <w:szCs w:val="32"/>
        </w:rPr>
        <w:t>运用地方政府债券信息公开平台，依法合规及时向社会公开自治区地方政府债务限额、余额、发行、品种、期限、利率、偿还计划、偿债资金来源等信息，切实增强地方政府债务信息透明度，满足投资者信息需求。围绕全面实施预算绩效管理，积极公开事前绩效评估、绩效目标的设置和审核、绩效运行监督、绩效评价、评价结果的运用等情况，建成全方位、全过程、全覆盖的预算绩效管理体系，推动了政府绩效管理信息公开的制度化规范化。利用财政厅门户网站、微信公众号、自治区人民政府新闻发布会等平台及时公布和解读国家、自治区已出台的各项减税降费政策特别是大规模增值税留抵退税政策，帮助基层执行机关和纳税人缴费人第一时间全面准确了解政策，做到应知尽知、应享尽享。</w:t>
      </w:r>
    </w:p>
    <w:p>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3.扎实做好政策法规主动公开。</w:t>
      </w:r>
      <w:r>
        <w:rPr>
          <w:rFonts w:hint="eastAsia" w:ascii="仿宋_GB2312" w:hAnsi="仿宋_GB2312" w:eastAsia="仿宋_GB2312" w:cs="仿宋_GB2312"/>
          <w:sz w:val="32"/>
          <w:szCs w:val="32"/>
        </w:rPr>
        <w:t>我厅2022年共制定20件规范性文件，均已主动公开，围绕政府工作报告提出的政府重点工作、规范性文件、涉及民生等重要文件的解读工作，依托12345、厅长信箱、微信公众号、新疆政务等平台，及时接收、办理相关工单和任务。</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（二）认真做好依申请公开工作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进一步强化程序规范和实体规范，在答复申请时，严格按照《中华人民共和国政府信息公开条例》规定出具告知书，规范格式和内容，确保用词准确、严谨、规范，维护政府部门的形象，进一步强化依申请办理程序化、规范化、标准化。在网民依申请公开申请处理过程中,财政厅严格遵循条例规定时限,主动联系申请人,落实申请内容的情况,自收到申请之日起15个工作日内予以答复；努力把服务做到位，让申请人满意。2022年财政厅共收到网民依申请公开申请信息37条，处理回复申请37条，答复率100%。依法保障公民、法人和其他组织获得财政部门相关政府信息的权利。做到了细致全面解答群众关注问题，提升了财政部门的公信力。</w:t>
      </w:r>
    </w:p>
    <w:p>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（三）坚持政治站位和正面舆论导向</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财政厅严格依照中央和自治区党委、人民政府相关规定和要求，始终坚持宣传工作重点围绕人民群众所思所盼所想，不断巩固和壮大主流思想舆论，弘扬社会主旋律，传播社会正能量，始终坚持正确的社会舆论导向。通过门户网站和微信公众号等新媒体，大力宣传党的政策，转发中央和财政部最新新闻、财经政策等；公开财政厅印发的惠民利民政策并解读，同时对相关政策的执行情况予以公示；坚持公开政府部门服务信息，让老百姓少跑腿、好办事。财政厅信息发布严格执行信息发布审查制度，确保上网信息不涉密、不违规。在宣传质量和水平上下功夫，不断推进自治区财政厅宣传工作健康发展。</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（四）加强平台建设和政府信息管理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政府信息公开条例》对政府信息公开做出的相关规定和要求，财政厅明确政府信息发布审核流程，严格按照“三审三校”原则，加强政府信息公开内容审核，落实信息公开责任。进一步优化厅门户网站运维管理，调整优化栏目设计，将“放管服”改革要求落到实处，充分展示财政工作的亮点和创新点，提高财政工作透明度，满足社会公众信息需求。完善政府信息公开保密审查制度，增强规范意识，对拟公开的政府信息依法依规严格做好保密审查，防止泄露国家秘密、工作秘密和敏感信息，防范数据汇聚引发泄密风险。严格落实网络意识形态责任制，确保财政厅门户网站与政务新媒体安全平稳运行。</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（五）加强督促检查</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改进门户网站和政务新媒体建设。做好厅门户网站和微信公众号的协同联动，发挥新媒体的分众化传播优势，主动推送财政权威信息和便民服务信息，增强传播效果。研究规范门户网站和微信公众号管理措施，把好政治关、文字关、舆情关，完善稿件发布审核机制，规范标注拟稿人、审核人、发布人及转载信息来源。</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加强政务公开工作组织协调。要求厅各处室、单位把政务公开作为依法行政、依法理财的重要工作，处室、单位主要负责人亲自抓，明确专人具体落实，做好职责范围内的政务公开工作。厅办公室通过定期总结工作开展情况，分析工作中存在的问题，采取积极有效措施，确保工作顺利推进。</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严格落实主体责任。在发布重大政策的同时做好解读工作，主动解疑释惑，积极引导舆论，有效管理预期。充分评估政策本身可能带来的各种影响，以及时机和形势可能产生的附加作用，避免发生误解误读。加强政务舆情监测和风险研判，前瞻性做好引导工作，更好回应人民群众和市场主体关切，为经济社会发展营造良好氛围。</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二、主动公开政府信息情况</w:t>
      </w:r>
    </w:p>
    <w:tbl>
      <w:tblPr>
        <w:tblStyle w:val="3"/>
        <w:tblW w:w="846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2895"/>
        <w:gridCol w:w="15"/>
        <w:gridCol w:w="1986"/>
        <w:gridCol w:w="1832"/>
        <w:gridCol w:w="173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8" w:hRule="atLeast"/>
          <w:jc w:val="center"/>
        </w:trPr>
        <w:tc>
          <w:tcPr>
            <w:tcW w:w="8461" w:type="dxa"/>
            <w:gridSpan w:val="5"/>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tcPr>
          <w:p>
            <w:pPr>
              <w:pStyle w:val="2"/>
              <w:widowControl/>
              <w:spacing w:beforeAutospacing="0" w:afterAutospacing="0" w:line="30" w:lineRule="atLeast"/>
              <w:jc w:val="center"/>
              <w:rPr>
                <w:rFonts w:ascii="仿宋" w:hAnsi="仿宋" w:eastAsia="仿宋" w:cs="宋体"/>
                <w:color w:val="000000"/>
                <w:sz w:val="32"/>
                <w:szCs w:val="32"/>
              </w:rPr>
            </w:pPr>
            <w:r>
              <w:rPr>
                <w:rFonts w:hint="eastAsia" w:ascii="宋体" w:hAnsi="宋体" w:eastAsia="宋体" w:cs="宋体"/>
                <w:color w:val="000000"/>
              </w:rPr>
              <w:t>第二十条第（一）项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6" w:hRule="atLeast"/>
          <w:jc w:val="center"/>
        </w:trPr>
        <w:tc>
          <w:tcPr>
            <w:tcW w:w="2895"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r>
              <w:rPr>
                <w:rFonts w:hint="eastAsia" w:ascii="宋体" w:hAnsi="宋体" w:eastAsia="宋体" w:cs="宋体"/>
                <w:color w:val="000000"/>
              </w:rPr>
              <w:t>信息内容</w:t>
            </w:r>
          </w:p>
        </w:tc>
        <w:tc>
          <w:tcPr>
            <w:tcW w:w="2001" w:type="dxa"/>
            <w:gridSpan w:val="2"/>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r>
              <w:rPr>
                <w:rFonts w:hint="eastAsia" w:ascii="宋体" w:hAnsi="宋体" w:eastAsia="宋体" w:cs="宋体"/>
                <w:color w:val="000000"/>
              </w:rPr>
              <w:t>本年制发件数</w:t>
            </w:r>
          </w:p>
        </w:tc>
        <w:tc>
          <w:tcPr>
            <w:tcW w:w="18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r>
              <w:rPr>
                <w:rFonts w:hint="eastAsia" w:ascii="宋体" w:hAnsi="宋体" w:eastAsia="宋体" w:cs="宋体"/>
                <w:color w:val="000000"/>
              </w:rPr>
              <w:t>本年废止件数</w:t>
            </w:r>
          </w:p>
        </w:tc>
        <w:tc>
          <w:tcPr>
            <w:tcW w:w="1733"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r>
              <w:rPr>
                <w:rFonts w:hint="eastAsia" w:ascii="宋体" w:hAnsi="宋体" w:eastAsia="宋体" w:cs="宋体"/>
                <w:color w:val="000000"/>
              </w:rPr>
              <w:t>现行有效件数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9" w:hRule="atLeast"/>
          <w:jc w:val="center"/>
        </w:trPr>
        <w:tc>
          <w:tcPr>
            <w:tcW w:w="2895"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r>
              <w:rPr>
                <w:rFonts w:hint="eastAsia" w:ascii="宋体" w:hAnsi="宋体" w:eastAsia="宋体" w:cs="宋体"/>
                <w:color w:val="000000"/>
              </w:rPr>
              <w:t>规章</w:t>
            </w:r>
          </w:p>
        </w:tc>
        <w:tc>
          <w:tcPr>
            <w:tcW w:w="2001" w:type="dxa"/>
            <w:gridSpan w:val="2"/>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r>
              <w:rPr>
                <w:rFonts w:hint="eastAsia" w:ascii="宋体" w:hAnsi="宋体" w:eastAsia="宋体" w:cs="宋体"/>
                <w:color w:val="000000"/>
              </w:rPr>
              <w:t>0</w:t>
            </w:r>
          </w:p>
        </w:tc>
        <w:tc>
          <w:tcPr>
            <w:tcW w:w="18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r>
              <w:rPr>
                <w:rFonts w:hint="eastAsia" w:ascii="宋体" w:hAnsi="宋体" w:eastAsia="宋体" w:cs="宋体"/>
                <w:color w:val="000000"/>
              </w:rPr>
              <w:t>0</w:t>
            </w:r>
          </w:p>
        </w:tc>
        <w:tc>
          <w:tcPr>
            <w:tcW w:w="1733"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2"/>
              <w:widowControl/>
              <w:spacing w:beforeAutospacing="0" w:afterAutospacing="0" w:line="30" w:lineRule="atLeast"/>
              <w:jc w:val="center"/>
              <w:rPr>
                <w:rFonts w:hint="eastAsia" w:ascii="宋体" w:hAnsi="宋体" w:eastAsia="宋体" w:cs="宋体"/>
                <w:color w:val="000000"/>
                <w:lang w:eastAsia="zh-CN"/>
              </w:rPr>
            </w:pPr>
            <w:r>
              <w:rPr>
                <w:rFonts w:hint="eastAsia" w:ascii="宋体" w:hAnsi="宋体" w:eastAsia="宋体" w:cs="宋体"/>
                <w:color w:val="000000"/>
                <w:lang w:val="en-US" w:eastAsia="zh-CN"/>
              </w:rPr>
              <w:t>0</w:t>
            </w:r>
            <w:bookmarkStart w:id="0" w:name="_GoBack"/>
            <w:bookmarkEnd w:id="0"/>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7" w:hRule="atLeast"/>
          <w:jc w:val="center"/>
        </w:trPr>
        <w:tc>
          <w:tcPr>
            <w:tcW w:w="2895"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r>
              <w:rPr>
                <w:rFonts w:hint="eastAsia" w:ascii="宋体" w:hAnsi="宋体" w:eastAsia="宋体" w:cs="宋体"/>
                <w:color w:val="000000"/>
              </w:rPr>
              <w:t>规范性文件</w:t>
            </w:r>
          </w:p>
        </w:tc>
        <w:tc>
          <w:tcPr>
            <w:tcW w:w="2001" w:type="dxa"/>
            <w:gridSpan w:val="2"/>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r>
              <w:rPr>
                <w:rFonts w:hint="eastAsia" w:ascii="宋体" w:hAnsi="宋体" w:eastAsia="宋体" w:cs="宋体"/>
                <w:color w:val="000000"/>
              </w:rPr>
              <w:t>20</w:t>
            </w:r>
          </w:p>
        </w:tc>
        <w:tc>
          <w:tcPr>
            <w:tcW w:w="18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r>
              <w:rPr>
                <w:rFonts w:hint="eastAsia" w:ascii="宋体" w:hAnsi="宋体" w:eastAsia="宋体" w:cs="宋体"/>
                <w:color w:val="000000"/>
              </w:rPr>
              <w:t>0</w:t>
            </w:r>
          </w:p>
        </w:tc>
        <w:tc>
          <w:tcPr>
            <w:tcW w:w="1733"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r>
              <w:rPr>
                <w:rFonts w:hint="eastAsia" w:ascii="宋体" w:hAnsi="宋体" w:eastAsia="宋体" w:cs="宋体"/>
                <w:color w:val="000000"/>
              </w:rPr>
              <w:t>114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9" w:hRule="atLeast"/>
          <w:jc w:val="center"/>
        </w:trPr>
        <w:tc>
          <w:tcPr>
            <w:tcW w:w="8461" w:type="dxa"/>
            <w:gridSpan w:val="5"/>
            <w:tcBorders>
              <w:top w:val="nil"/>
              <w:left w:val="single" w:color="auto" w:sz="8" w:space="0"/>
              <w:bottom w:val="single" w:color="auto" w:sz="8" w:space="0"/>
              <w:right w:val="single" w:color="auto" w:sz="8" w:space="0"/>
            </w:tcBorders>
            <w:shd w:val="clear" w:color="auto" w:fill="auto"/>
            <w:noWrap/>
            <w:tcMar>
              <w:left w:w="108" w:type="dxa"/>
              <w:right w:w="108" w:type="dxa"/>
            </w:tcMar>
          </w:tcPr>
          <w:p>
            <w:pPr>
              <w:pStyle w:val="2"/>
              <w:widowControl/>
              <w:spacing w:beforeAutospacing="0" w:afterAutospacing="0" w:line="30" w:lineRule="atLeast"/>
              <w:jc w:val="center"/>
              <w:rPr>
                <w:rFonts w:ascii="宋体" w:hAnsi="宋体" w:eastAsia="宋体" w:cs="宋体"/>
                <w:color w:val="000000"/>
              </w:rPr>
            </w:pPr>
            <w:r>
              <w:rPr>
                <w:rFonts w:hint="eastAsia" w:ascii="宋体" w:hAnsi="宋体" w:eastAsia="宋体" w:cs="宋体"/>
                <w:color w:val="000000"/>
              </w:rPr>
              <w:t>第二十条第（五）项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2" w:hRule="atLeast"/>
          <w:jc w:val="center"/>
        </w:trPr>
        <w:tc>
          <w:tcPr>
            <w:tcW w:w="2895"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r>
              <w:rPr>
                <w:rFonts w:hint="eastAsia" w:ascii="宋体" w:hAnsi="宋体" w:eastAsia="宋体" w:cs="宋体"/>
                <w:color w:val="000000"/>
              </w:rPr>
              <w:t>信息内容</w:t>
            </w:r>
          </w:p>
        </w:tc>
        <w:tc>
          <w:tcPr>
            <w:tcW w:w="5566" w:type="dxa"/>
            <w:gridSpan w:val="4"/>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r>
              <w:rPr>
                <w:rFonts w:hint="eastAsia" w:ascii="宋体" w:hAnsi="宋体" w:eastAsia="宋体" w:cs="宋体"/>
                <w:color w:val="000000"/>
              </w:rPr>
              <w:t>本年处理决定数量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7" w:hRule="atLeast"/>
          <w:jc w:val="center"/>
        </w:trPr>
        <w:tc>
          <w:tcPr>
            <w:tcW w:w="2910" w:type="dxa"/>
            <w:gridSpan w:val="2"/>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r>
              <w:rPr>
                <w:rFonts w:hint="eastAsia" w:ascii="宋体" w:hAnsi="宋体" w:eastAsia="宋体" w:cs="宋体"/>
                <w:color w:val="000000"/>
              </w:rPr>
              <w:t>行政许可</w:t>
            </w:r>
          </w:p>
        </w:tc>
        <w:tc>
          <w:tcPr>
            <w:tcW w:w="5551" w:type="dxa"/>
            <w:gridSpan w:val="3"/>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r>
              <w:rPr>
                <w:rFonts w:hint="eastAsia" w:ascii="宋体" w:hAnsi="宋体" w:eastAsia="宋体" w:cs="宋体"/>
                <w:color w:val="000000"/>
              </w:rPr>
              <w:t>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8" w:hRule="atLeast"/>
          <w:jc w:val="center"/>
        </w:trPr>
        <w:tc>
          <w:tcPr>
            <w:tcW w:w="8461" w:type="dxa"/>
            <w:gridSpan w:val="5"/>
            <w:tcBorders>
              <w:top w:val="nil"/>
              <w:left w:val="single" w:color="auto" w:sz="8" w:space="0"/>
              <w:bottom w:val="single" w:color="auto" w:sz="8" w:space="0"/>
              <w:right w:val="single" w:color="auto" w:sz="8" w:space="0"/>
            </w:tcBorders>
            <w:shd w:val="clear" w:color="auto" w:fill="auto"/>
            <w:noWrap/>
            <w:tcMar>
              <w:left w:w="108" w:type="dxa"/>
              <w:right w:w="108" w:type="dxa"/>
            </w:tcMar>
          </w:tcPr>
          <w:p>
            <w:pPr>
              <w:pStyle w:val="2"/>
              <w:widowControl/>
              <w:spacing w:beforeAutospacing="0" w:afterAutospacing="0" w:line="30" w:lineRule="atLeast"/>
              <w:jc w:val="center"/>
              <w:rPr>
                <w:rFonts w:ascii="宋体" w:hAnsi="宋体" w:eastAsia="宋体" w:cs="宋体"/>
                <w:color w:val="000000"/>
              </w:rPr>
            </w:pPr>
            <w:r>
              <w:rPr>
                <w:rFonts w:hint="eastAsia" w:ascii="宋体" w:hAnsi="宋体" w:eastAsia="宋体" w:cs="宋体"/>
                <w:color w:val="000000"/>
              </w:rPr>
              <w:t>第二十条第（六）项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4" w:hRule="atLeast"/>
          <w:jc w:val="center"/>
        </w:trPr>
        <w:tc>
          <w:tcPr>
            <w:tcW w:w="2895"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r>
              <w:rPr>
                <w:rFonts w:hint="eastAsia" w:ascii="宋体" w:hAnsi="宋体" w:eastAsia="宋体" w:cs="宋体"/>
                <w:color w:val="000000"/>
              </w:rPr>
              <w:t>信息内容</w:t>
            </w:r>
          </w:p>
        </w:tc>
        <w:tc>
          <w:tcPr>
            <w:tcW w:w="5566" w:type="dxa"/>
            <w:gridSpan w:val="4"/>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r>
              <w:rPr>
                <w:rFonts w:hint="eastAsia" w:ascii="宋体" w:hAnsi="宋体" w:eastAsia="宋体" w:cs="宋体"/>
                <w:color w:val="000000"/>
              </w:rPr>
              <w:t>本年处理决定数量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4" w:hRule="atLeast"/>
          <w:jc w:val="center"/>
        </w:trPr>
        <w:tc>
          <w:tcPr>
            <w:tcW w:w="2895"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r>
              <w:rPr>
                <w:rFonts w:hint="eastAsia" w:ascii="宋体" w:hAnsi="宋体" w:eastAsia="宋体" w:cs="宋体"/>
                <w:color w:val="000000"/>
              </w:rPr>
              <w:t>行政处罚</w:t>
            </w:r>
          </w:p>
        </w:tc>
        <w:tc>
          <w:tcPr>
            <w:tcW w:w="5566" w:type="dxa"/>
            <w:gridSpan w:val="4"/>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r>
              <w:rPr>
                <w:rFonts w:hint="eastAsia" w:ascii="宋体" w:hAnsi="宋体" w:eastAsia="宋体" w:cs="宋体"/>
                <w:color w:val="00000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7" w:hRule="atLeast"/>
          <w:jc w:val="center"/>
        </w:trPr>
        <w:tc>
          <w:tcPr>
            <w:tcW w:w="2895"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r>
              <w:rPr>
                <w:rFonts w:hint="eastAsia" w:ascii="宋体" w:hAnsi="宋体" w:eastAsia="宋体" w:cs="宋体"/>
                <w:color w:val="000000"/>
              </w:rPr>
              <w:t>行政强制</w:t>
            </w:r>
          </w:p>
        </w:tc>
        <w:tc>
          <w:tcPr>
            <w:tcW w:w="5566" w:type="dxa"/>
            <w:gridSpan w:val="4"/>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r>
              <w:rPr>
                <w:rFonts w:hint="eastAsia" w:ascii="宋体" w:hAnsi="宋体" w:eastAsia="宋体" w:cs="宋体"/>
                <w:color w:val="00000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8461" w:type="dxa"/>
            <w:gridSpan w:val="5"/>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r>
              <w:rPr>
                <w:rFonts w:hint="eastAsia" w:ascii="宋体" w:hAnsi="宋体" w:eastAsia="宋体" w:cs="宋体"/>
                <w:color w:val="000000"/>
              </w:rPr>
              <w:t>第二十条第（八）项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4" w:hRule="atLeast"/>
          <w:jc w:val="center"/>
        </w:trPr>
        <w:tc>
          <w:tcPr>
            <w:tcW w:w="2895"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r>
              <w:rPr>
                <w:rFonts w:hint="eastAsia" w:ascii="宋体" w:hAnsi="宋体" w:eastAsia="宋体" w:cs="宋体"/>
                <w:color w:val="000000"/>
              </w:rPr>
              <w:t>信息内容</w:t>
            </w:r>
          </w:p>
        </w:tc>
        <w:tc>
          <w:tcPr>
            <w:tcW w:w="5566" w:type="dxa"/>
            <w:gridSpan w:val="4"/>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r>
              <w:rPr>
                <w:rFonts w:hint="eastAsia" w:ascii="宋体" w:hAnsi="宋体" w:eastAsia="宋体" w:cs="宋体"/>
                <w:color w:val="000000"/>
              </w:rPr>
              <w:t>本年收费金额（单位：万元）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6" w:hRule="atLeast"/>
          <w:jc w:val="center"/>
        </w:trPr>
        <w:tc>
          <w:tcPr>
            <w:tcW w:w="2895"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r>
              <w:rPr>
                <w:rFonts w:hint="eastAsia" w:ascii="宋体" w:hAnsi="宋体" w:eastAsia="宋体" w:cs="宋体"/>
                <w:color w:val="000000"/>
              </w:rPr>
              <w:t>行政事业性收费</w:t>
            </w:r>
          </w:p>
        </w:tc>
        <w:tc>
          <w:tcPr>
            <w:tcW w:w="5566" w:type="dxa"/>
            <w:gridSpan w:val="4"/>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r>
              <w:rPr>
                <w:rFonts w:hint="eastAsia" w:ascii="宋体" w:hAnsi="宋体" w:eastAsia="宋体" w:cs="宋体"/>
                <w:color w:val="000000"/>
              </w:rPr>
              <w:t>215.5</w:t>
            </w:r>
          </w:p>
        </w:tc>
      </w:tr>
    </w:tbl>
    <w:p>
      <w:pPr>
        <w:pStyle w:val="2"/>
        <w:widowControl/>
        <w:spacing w:beforeAutospacing="0" w:afterAutospacing="0" w:line="560" w:lineRule="exact"/>
        <w:ind w:firstLine="560" w:firstLineChars="20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注：全区2022年行政事业性收费657141.42万元，其中：中央分成1311.43万元，全区留存655829.99万元。</w:t>
      </w:r>
    </w:p>
    <w:p>
      <w:pPr>
        <w:pStyle w:val="2"/>
        <w:widowControl/>
        <w:spacing w:before="420" w:beforeAutospacing="0" w:afterAutospacing="0" w:line="560" w:lineRule="exact"/>
        <w:ind w:firstLine="643" w:firstLineChars="200"/>
        <w:jc w:val="both"/>
        <w:rPr>
          <w:rFonts w:ascii="黑体" w:hAnsi="黑体" w:eastAsia="黑体" w:cs="黑体"/>
          <w:b/>
          <w:bCs/>
          <w:color w:val="000000"/>
          <w:sz w:val="32"/>
          <w:szCs w:val="32"/>
        </w:rPr>
      </w:pPr>
      <w:r>
        <w:rPr>
          <w:rFonts w:hint="eastAsia" w:ascii="黑体" w:hAnsi="黑体" w:eastAsia="黑体" w:cs="黑体"/>
          <w:b/>
          <w:bCs/>
          <w:color w:val="000000"/>
          <w:sz w:val="32"/>
          <w:szCs w:val="32"/>
        </w:rPr>
        <w:t>三、收到和处理政府信息公开申请情况</w:t>
      </w:r>
    </w:p>
    <w:tbl>
      <w:tblPr>
        <w:tblStyle w:val="3"/>
        <w:tblW w:w="901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76"/>
        <w:gridCol w:w="1056"/>
        <w:gridCol w:w="2739"/>
        <w:gridCol w:w="480"/>
        <w:gridCol w:w="742"/>
        <w:gridCol w:w="728"/>
        <w:gridCol w:w="735"/>
        <w:gridCol w:w="750"/>
        <w:gridCol w:w="435"/>
        <w:gridCol w:w="5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9" w:hRule="atLeast"/>
          <w:jc w:val="center"/>
        </w:trPr>
        <w:tc>
          <w:tcPr>
            <w:tcW w:w="4571"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（本列数据的勾稽关系为：第一项加第二项之和，等于第三项加第四项之和）</w:t>
            </w:r>
          </w:p>
        </w:tc>
        <w:tc>
          <w:tcPr>
            <w:tcW w:w="4440"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sz w:val="21"/>
                <w:szCs w:val="21"/>
              </w:rPr>
            </w:pPr>
            <w:r>
              <w:rPr>
                <w:rFonts w:hint="eastAsia" w:ascii="宋体" w:hAnsi="宋体" w:eastAsia="宋体" w:cs="宋体"/>
                <w:color w:val="000000"/>
                <w:sz w:val="21"/>
                <w:szCs w:val="21"/>
              </w:rP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4571"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hAnsi="宋体" w:eastAsia="宋体" w:cs="宋体"/>
                <w:color w:val="000000"/>
                <w:kern w:val="0"/>
                <w:szCs w:val="21"/>
              </w:rPr>
            </w:pPr>
          </w:p>
        </w:tc>
        <w:tc>
          <w:tcPr>
            <w:tcW w:w="48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自然人</w:t>
            </w:r>
          </w:p>
        </w:tc>
        <w:tc>
          <w:tcPr>
            <w:tcW w:w="3390"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法人或其他组织</w:t>
            </w:r>
          </w:p>
        </w:tc>
        <w:tc>
          <w:tcPr>
            <w:tcW w:w="57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29" w:hRule="atLeast"/>
          <w:jc w:val="center"/>
        </w:trPr>
        <w:tc>
          <w:tcPr>
            <w:tcW w:w="4571"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hAnsi="宋体" w:eastAsia="宋体" w:cs="宋体"/>
                <w:color w:val="000000"/>
                <w:kern w:val="0"/>
                <w:szCs w:val="21"/>
              </w:rPr>
            </w:pPr>
          </w:p>
        </w:tc>
        <w:tc>
          <w:tcPr>
            <w:tcW w:w="4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宋体" w:hAnsi="宋体" w:eastAsia="宋体" w:cs="宋体"/>
                <w:color w:val="000000"/>
                <w:kern w:val="0"/>
                <w:szCs w:val="21"/>
              </w:rPr>
            </w:pPr>
          </w:p>
        </w:tc>
        <w:tc>
          <w:tcPr>
            <w:tcW w:w="7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商业企业</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科研机构</w:t>
            </w:r>
          </w:p>
        </w:tc>
        <w:tc>
          <w:tcPr>
            <w:tcW w:w="7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社会公益组织</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法律服务机构</w:t>
            </w:r>
          </w:p>
        </w:tc>
        <w:tc>
          <w:tcPr>
            <w:tcW w:w="4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其他</w:t>
            </w:r>
          </w:p>
        </w:tc>
        <w:tc>
          <w:tcPr>
            <w:tcW w:w="57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宋体" w:hAnsi="宋体" w:eastAsia="宋体" w:cs="宋体"/>
                <w:color w:val="000000"/>
                <w:kern w:val="0"/>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9" w:hRule="atLeast"/>
          <w:jc w:val="center"/>
        </w:trPr>
        <w:tc>
          <w:tcPr>
            <w:tcW w:w="4571"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一、本年新收政府信息公开申请数量</w:t>
            </w:r>
          </w:p>
        </w:tc>
        <w:tc>
          <w:tcPr>
            <w:tcW w:w="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37</w:t>
            </w:r>
          </w:p>
        </w:tc>
        <w:tc>
          <w:tcPr>
            <w:tcW w:w="7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4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37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9" w:hRule="atLeast"/>
          <w:jc w:val="center"/>
        </w:trPr>
        <w:tc>
          <w:tcPr>
            <w:tcW w:w="4571"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二、上年结转政府信息公开申请数量</w:t>
            </w:r>
          </w:p>
        </w:tc>
        <w:tc>
          <w:tcPr>
            <w:tcW w:w="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4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77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三、本年度办理结果</w:t>
            </w:r>
          </w:p>
        </w:tc>
        <w:tc>
          <w:tcPr>
            <w:tcW w:w="379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（一）予以公开</w:t>
            </w:r>
          </w:p>
        </w:tc>
        <w:tc>
          <w:tcPr>
            <w:tcW w:w="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37</w:t>
            </w:r>
          </w:p>
        </w:tc>
        <w:tc>
          <w:tcPr>
            <w:tcW w:w="7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4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37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5"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hAnsi="宋体" w:eastAsia="宋体" w:cs="宋体"/>
                <w:color w:val="000000"/>
                <w:kern w:val="0"/>
                <w:szCs w:val="21"/>
              </w:rPr>
            </w:pPr>
          </w:p>
        </w:tc>
        <w:tc>
          <w:tcPr>
            <w:tcW w:w="379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（二）部分公开（区分处理的，只计这一情形，不计其他情形）</w:t>
            </w:r>
          </w:p>
        </w:tc>
        <w:tc>
          <w:tcPr>
            <w:tcW w:w="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4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hAnsi="宋体" w:eastAsia="宋体" w:cs="宋体"/>
                <w:color w:val="000000"/>
                <w:kern w:val="0"/>
                <w:szCs w:val="21"/>
              </w:rPr>
            </w:pPr>
          </w:p>
        </w:tc>
        <w:tc>
          <w:tcPr>
            <w:tcW w:w="1056" w:type="dxa"/>
            <w:vMerge w:val="restart"/>
            <w:tcBorders>
              <w:top w:val="nil"/>
              <w:left w:val="nil"/>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（三）不予公开</w:t>
            </w:r>
          </w:p>
          <w:p>
            <w:pPr>
              <w:pStyle w:val="2"/>
              <w:widowControl/>
              <w:spacing w:beforeAutospacing="0" w:afterAutospacing="0" w:line="30" w:lineRule="atLeast"/>
              <w:jc w:val="both"/>
              <w:rPr>
                <w:rFonts w:ascii="宋体" w:hAnsi="宋体" w:eastAsia="宋体" w:cs="宋体"/>
                <w:color w:val="000000"/>
                <w:sz w:val="21"/>
                <w:szCs w:val="21"/>
              </w:rPr>
            </w:pPr>
          </w:p>
        </w:tc>
        <w:tc>
          <w:tcPr>
            <w:tcW w:w="27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1.属于国家秘密</w:t>
            </w:r>
          </w:p>
        </w:tc>
        <w:tc>
          <w:tcPr>
            <w:tcW w:w="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4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5"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hAnsi="宋体" w:eastAsia="宋体" w:cs="宋体"/>
                <w:color w:val="000000"/>
                <w:kern w:val="0"/>
                <w:szCs w:val="21"/>
              </w:rPr>
            </w:pPr>
          </w:p>
        </w:tc>
        <w:tc>
          <w:tcPr>
            <w:tcW w:w="1056" w:type="dxa"/>
            <w:vMerge w:val="continue"/>
            <w:tcBorders>
              <w:left w:val="nil"/>
              <w:right w:val="single" w:color="auto" w:sz="8" w:space="0"/>
            </w:tcBorders>
            <w:shd w:val="clear" w:color="auto" w:fill="auto"/>
            <w:tcMar>
              <w:left w:w="108" w:type="dxa"/>
              <w:right w:w="108" w:type="dxa"/>
            </w:tcMar>
            <w:vAlign w:val="center"/>
          </w:tcPr>
          <w:p>
            <w:pPr>
              <w:rPr>
                <w:rFonts w:ascii="宋体" w:hAnsi="宋体" w:eastAsia="宋体" w:cs="宋体"/>
                <w:color w:val="000000"/>
                <w:kern w:val="0"/>
                <w:szCs w:val="21"/>
              </w:rPr>
            </w:pPr>
          </w:p>
        </w:tc>
        <w:tc>
          <w:tcPr>
            <w:tcW w:w="27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2.其他法律行政法规禁止公开</w:t>
            </w:r>
          </w:p>
        </w:tc>
        <w:tc>
          <w:tcPr>
            <w:tcW w:w="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4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1"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hAnsi="宋体" w:eastAsia="宋体" w:cs="宋体"/>
                <w:color w:val="000000"/>
                <w:kern w:val="0"/>
                <w:szCs w:val="21"/>
              </w:rPr>
            </w:pPr>
          </w:p>
        </w:tc>
        <w:tc>
          <w:tcPr>
            <w:tcW w:w="1056" w:type="dxa"/>
            <w:vMerge w:val="continue"/>
            <w:tcBorders>
              <w:left w:val="nil"/>
              <w:right w:val="single" w:color="auto" w:sz="8" w:space="0"/>
            </w:tcBorders>
            <w:shd w:val="clear" w:color="auto" w:fill="auto"/>
            <w:tcMar>
              <w:left w:w="108" w:type="dxa"/>
              <w:right w:w="108" w:type="dxa"/>
            </w:tcMar>
            <w:vAlign w:val="center"/>
          </w:tcPr>
          <w:p>
            <w:pPr>
              <w:rPr>
                <w:rFonts w:ascii="宋体" w:hAnsi="宋体" w:eastAsia="宋体" w:cs="宋体"/>
                <w:color w:val="000000"/>
                <w:kern w:val="0"/>
                <w:szCs w:val="21"/>
              </w:rPr>
            </w:pPr>
          </w:p>
        </w:tc>
        <w:tc>
          <w:tcPr>
            <w:tcW w:w="27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3.危及“三安全一稳定”</w:t>
            </w:r>
          </w:p>
        </w:tc>
        <w:tc>
          <w:tcPr>
            <w:tcW w:w="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4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hAnsi="宋体" w:eastAsia="宋体" w:cs="宋体"/>
                <w:color w:val="000000"/>
                <w:kern w:val="0"/>
                <w:szCs w:val="21"/>
              </w:rPr>
            </w:pPr>
          </w:p>
        </w:tc>
        <w:tc>
          <w:tcPr>
            <w:tcW w:w="1056" w:type="dxa"/>
            <w:vMerge w:val="continue"/>
            <w:tcBorders>
              <w:left w:val="nil"/>
              <w:right w:val="single" w:color="auto" w:sz="8" w:space="0"/>
            </w:tcBorders>
            <w:shd w:val="clear" w:color="auto" w:fill="auto"/>
            <w:tcMar>
              <w:left w:w="108" w:type="dxa"/>
              <w:right w:w="108" w:type="dxa"/>
            </w:tcMar>
            <w:vAlign w:val="center"/>
          </w:tcPr>
          <w:p>
            <w:pPr>
              <w:rPr>
                <w:rFonts w:ascii="宋体" w:hAnsi="宋体" w:eastAsia="宋体" w:cs="宋体"/>
                <w:color w:val="000000"/>
                <w:kern w:val="0"/>
                <w:szCs w:val="21"/>
              </w:rPr>
            </w:pPr>
          </w:p>
        </w:tc>
        <w:tc>
          <w:tcPr>
            <w:tcW w:w="27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4.保护第三方合法权益</w:t>
            </w:r>
          </w:p>
        </w:tc>
        <w:tc>
          <w:tcPr>
            <w:tcW w:w="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4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1"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hAnsi="宋体" w:eastAsia="宋体" w:cs="宋体"/>
                <w:color w:val="000000"/>
                <w:kern w:val="0"/>
                <w:szCs w:val="21"/>
              </w:rPr>
            </w:pPr>
          </w:p>
        </w:tc>
        <w:tc>
          <w:tcPr>
            <w:tcW w:w="1056" w:type="dxa"/>
            <w:vMerge w:val="continue"/>
            <w:tcBorders>
              <w:left w:val="nil"/>
              <w:right w:val="single" w:color="auto" w:sz="8" w:space="0"/>
            </w:tcBorders>
            <w:shd w:val="clear" w:color="auto" w:fill="auto"/>
            <w:tcMar>
              <w:left w:w="108" w:type="dxa"/>
              <w:right w:w="108" w:type="dxa"/>
            </w:tcMar>
            <w:vAlign w:val="center"/>
          </w:tcPr>
          <w:p>
            <w:pPr>
              <w:rPr>
                <w:rFonts w:ascii="宋体" w:hAnsi="宋体" w:eastAsia="宋体" w:cs="宋体"/>
                <w:color w:val="000000"/>
                <w:kern w:val="0"/>
                <w:szCs w:val="21"/>
              </w:rPr>
            </w:pPr>
          </w:p>
        </w:tc>
        <w:tc>
          <w:tcPr>
            <w:tcW w:w="27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5.属于三类内部事务信息</w:t>
            </w:r>
          </w:p>
        </w:tc>
        <w:tc>
          <w:tcPr>
            <w:tcW w:w="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4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7"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hAnsi="宋体" w:eastAsia="宋体" w:cs="宋体"/>
                <w:color w:val="000000"/>
                <w:kern w:val="0"/>
                <w:szCs w:val="21"/>
              </w:rPr>
            </w:pPr>
          </w:p>
        </w:tc>
        <w:tc>
          <w:tcPr>
            <w:tcW w:w="1056" w:type="dxa"/>
            <w:vMerge w:val="continue"/>
            <w:tcBorders>
              <w:left w:val="nil"/>
              <w:right w:val="single" w:color="auto" w:sz="8" w:space="0"/>
            </w:tcBorders>
            <w:shd w:val="clear" w:color="auto" w:fill="auto"/>
            <w:vAlign w:val="center"/>
          </w:tcPr>
          <w:p>
            <w:pPr>
              <w:pStyle w:val="2"/>
              <w:widowControl/>
              <w:spacing w:beforeAutospacing="0" w:afterAutospacing="0" w:line="30" w:lineRule="atLeast"/>
              <w:jc w:val="both"/>
              <w:rPr>
                <w:rFonts w:ascii="宋体" w:hAnsi="宋体" w:eastAsia="宋体" w:cs="宋体"/>
                <w:color w:val="000000"/>
                <w:sz w:val="21"/>
                <w:szCs w:val="21"/>
              </w:rPr>
            </w:pPr>
          </w:p>
        </w:tc>
        <w:tc>
          <w:tcPr>
            <w:tcW w:w="27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6.属于四类过程性信息</w:t>
            </w:r>
          </w:p>
        </w:tc>
        <w:tc>
          <w:tcPr>
            <w:tcW w:w="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4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8"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hAnsi="宋体" w:eastAsia="宋体" w:cs="宋体"/>
                <w:color w:val="000000"/>
                <w:kern w:val="0"/>
                <w:szCs w:val="21"/>
              </w:rPr>
            </w:pPr>
          </w:p>
        </w:tc>
        <w:tc>
          <w:tcPr>
            <w:tcW w:w="1056" w:type="dxa"/>
            <w:vMerge w:val="continue"/>
            <w:tcBorders>
              <w:left w:val="nil"/>
              <w:right w:val="single" w:color="auto" w:sz="8" w:space="0"/>
            </w:tcBorders>
            <w:shd w:val="clear" w:color="auto" w:fill="auto"/>
            <w:vAlign w:val="center"/>
          </w:tcPr>
          <w:p>
            <w:pPr>
              <w:pStyle w:val="2"/>
              <w:widowControl/>
              <w:spacing w:beforeAutospacing="0" w:afterAutospacing="0" w:line="30" w:lineRule="atLeast"/>
              <w:jc w:val="both"/>
              <w:rPr>
                <w:rFonts w:ascii="宋体" w:hAnsi="宋体" w:eastAsia="宋体" w:cs="宋体"/>
                <w:color w:val="000000"/>
                <w:sz w:val="21"/>
                <w:szCs w:val="21"/>
              </w:rPr>
            </w:pPr>
          </w:p>
        </w:tc>
        <w:tc>
          <w:tcPr>
            <w:tcW w:w="27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7.属于行政执法案卷</w:t>
            </w:r>
          </w:p>
        </w:tc>
        <w:tc>
          <w:tcPr>
            <w:tcW w:w="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4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8"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hAnsi="宋体" w:eastAsia="宋体" w:cs="宋体"/>
                <w:color w:val="000000"/>
                <w:kern w:val="0"/>
                <w:szCs w:val="21"/>
              </w:rPr>
            </w:pPr>
          </w:p>
        </w:tc>
        <w:tc>
          <w:tcPr>
            <w:tcW w:w="1056" w:type="dxa"/>
            <w:vMerge w:val="continue"/>
            <w:tcBorders>
              <w:left w:val="nil"/>
              <w:bottom w:val="single" w:color="auto" w:sz="8" w:space="0"/>
              <w:right w:val="single" w:color="auto" w:sz="8" w:space="0"/>
            </w:tcBorders>
            <w:shd w:val="clear" w:color="auto" w:fill="auto"/>
            <w:vAlign w:val="center"/>
          </w:tcPr>
          <w:p>
            <w:pPr>
              <w:rPr>
                <w:rFonts w:ascii="宋体" w:hAnsi="宋体" w:eastAsia="宋体" w:cs="宋体"/>
                <w:color w:val="000000"/>
                <w:kern w:val="0"/>
                <w:szCs w:val="21"/>
              </w:rPr>
            </w:pPr>
          </w:p>
        </w:tc>
        <w:tc>
          <w:tcPr>
            <w:tcW w:w="27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8.属于行政查询事项</w:t>
            </w:r>
          </w:p>
        </w:tc>
        <w:tc>
          <w:tcPr>
            <w:tcW w:w="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4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hAnsi="宋体" w:eastAsia="宋体" w:cs="宋体"/>
                <w:color w:val="000000"/>
                <w:kern w:val="0"/>
                <w:szCs w:val="21"/>
              </w:rPr>
            </w:pPr>
          </w:p>
        </w:tc>
        <w:tc>
          <w:tcPr>
            <w:tcW w:w="105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（四）无法提供</w:t>
            </w:r>
          </w:p>
        </w:tc>
        <w:tc>
          <w:tcPr>
            <w:tcW w:w="27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1.本机关不掌握相关政府信息</w:t>
            </w:r>
          </w:p>
        </w:tc>
        <w:tc>
          <w:tcPr>
            <w:tcW w:w="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4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hAnsi="宋体" w:eastAsia="宋体" w:cs="宋体"/>
                <w:color w:val="000000"/>
                <w:kern w:val="0"/>
                <w:szCs w:val="21"/>
              </w:rPr>
            </w:pPr>
          </w:p>
        </w:tc>
        <w:tc>
          <w:tcPr>
            <w:tcW w:w="105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宋体" w:hAnsi="宋体" w:eastAsia="宋体" w:cs="宋体"/>
                <w:color w:val="000000"/>
                <w:kern w:val="0"/>
                <w:szCs w:val="21"/>
              </w:rPr>
            </w:pPr>
          </w:p>
        </w:tc>
        <w:tc>
          <w:tcPr>
            <w:tcW w:w="27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2.没有现成信息需要另行制作</w:t>
            </w:r>
          </w:p>
        </w:tc>
        <w:tc>
          <w:tcPr>
            <w:tcW w:w="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4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0"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hAnsi="宋体" w:eastAsia="宋体" w:cs="宋体"/>
                <w:color w:val="000000"/>
                <w:kern w:val="0"/>
                <w:szCs w:val="21"/>
              </w:rPr>
            </w:pPr>
          </w:p>
        </w:tc>
        <w:tc>
          <w:tcPr>
            <w:tcW w:w="105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宋体" w:hAnsi="宋体" w:eastAsia="宋体" w:cs="宋体"/>
                <w:color w:val="000000"/>
                <w:kern w:val="0"/>
                <w:szCs w:val="21"/>
              </w:rPr>
            </w:pPr>
          </w:p>
        </w:tc>
        <w:tc>
          <w:tcPr>
            <w:tcW w:w="27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3.补正后申请内容仍不明确</w:t>
            </w:r>
          </w:p>
        </w:tc>
        <w:tc>
          <w:tcPr>
            <w:tcW w:w="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4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4"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hAnsi="宋体" w:eastAsia="宋体" w:cs="宋体"/>
                <w:color w:val="000000"/>
                <w:kern w:val="0"/>
                <w:szCs w:val="21"/>
              </w:rPr>
            </w:pPr>
          </w:p>
        </w:tc>
        <w:tc>
          <w:tcPr>
            <w:tcW w:w="105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（五）不予处理</w:t>
            </w:r>
          </w:p>
        </w:tc>
        <w:tc>
          <w:tcPr>
            <w:tcW w:w="27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1.信访举报投诉类申请</w:t>
            </w:r>
          </w:p>
        </w:tc>
        <w:tc>
          <w:tcPr>
            <w:tcW w:w="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4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7"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hAnsi="宋体" w:eastAsia="宋体" w:cs="宋体"/>
                <w:color w:val="000000"/>
                <w:kern w:val="0"/>
                <w:szCs w:val="21"/>
              </w:rPr>
            </w:pPr>
          </w:p>
        </w:tc>
        <w:tc>
          <w:tcPr>
            <w:tcW w:w="105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宋体" w:hAnsi="宋体" w:eastAsia="宋体" w:cs="宋体"/>
                <w:color w:val="000000"/>
                <w:kern w:val="0"/>
                <w:szCs w:val="21"/>
              </w:rPr>
            </w:pPr>
          </w:p>
        </w:tc>
        <w:tc>
          <w:tcPr>
            <w:tcW w:w="27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2.重复申请</w:t>
            </w:r>
          </w:p>
        </w:tc>
        <w:tc>
          <w:tcPr>
            <w:tcW w:w="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4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hAnsi="宋体" w:eastAsia="宋体" w:cs="宋体"/>
                <w:color w:val="000000"/>
                <w:kern w:val="0"/>
                <w:szCs w:val="21"/>
              </w:rPr>
            </w:pPr>
          </w:p>
        </w:tc>
        <w:tc>
          <w:tcPr>
            <w:tcW w:w="105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宋体" w:hAnsi="宋体" w:eastAsia="宋体" w:cs="宋体"/>
                <w:color w:val="000000"/>
                <w:kern w:val="0"/>
                <w:szCs w:val="21"/>
              </w:rPr>
            </w:pPr>
          </w:p>
        </w:tc>
        <w:tc>
          <w:tcPr>
            <w:tcW w:w="27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3.要求提供公开出版物</w:t>
            </w:r>
          </w:p>
        </w:tc>
        <w:tc>
          <w:tcPr>
            <w:tcW w:w="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4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6"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hAnsi="宋体" w:eastAsia="宋体" w:cs="宋体"/>
                <w:color w:val="000000"/>
                <w:kern w:val="0"/>
                <w:szCs w:val="21"/>
              </w:rPr>
            </w:pPr>
          </w:p>
        </w:tc>
        <w:tc>
          <w:tcPr>
            <w:tcW w:w="105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宋体" w:hAnsi="宋体" w:eastAsia="宋体" w:cs="宋体"/>
                <w:color w:val="000000"/>
                <w:kern w:val="0"/>
                <w:szCs w:val="21"/>
              </w:rPr>
            </w:pPr>
          </w:p>
        </w:tc>
        <w:tc>
          <w:tcPr>
            <w:tcW w:w="27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4.无正当理由大量反复申请</w:t>
            </w:r>
          </w:p>
        </w:tc>
        <w:tc>
          <w:tcPr>
            <w:tcW w:w="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4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hAnsi="宋体" w:eastAsia="宋体" w:cs="宋体"/>
                <w:color w:val="000000"/>
                <w:kern w:val="0"/>
                <w:szCs w:val="21"/>
              </w:rPr>
            </w:pPr>
          </w:p>
        </w:tc>
        <w:tc>
          <w:tcPr>
            <w:tcW w:w="105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宋体" w:hAnsi="宋体" w:eastAsia="宋体" w:cs="宋体"/>
                <w:color w:val="000000"/>
                <w:kern w:val="0"/>
                <w:szCs w:val="21"/>
              </w:rPr>
            </w:pPr>
          </w:p>
        </w:tc>
        <w:tc>
          <w:tcPr>
            <w:tcW w:w="27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5.要求行政机关确认或重新出具已获取信息</w:t>
            </w:r>
          </w:p>
        </w:tc>
        <w:tc>
          <w:tcPr>
            <w:tcW w:w="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4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hAnsi="宋体" w:eastAsia="宋体" w:cs="宋体"/>
                <w:color w:val="000000"/>
                <w:kern w:val="0"/>
                <w:szCs w:val="21"/>
              </w:rPr>
            </w:pPr>
          </w:p>
        </w:tc>
        <w:tc>
          <w:tcPr>
            <w:tcW w:w="379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（六）其他处理</w:t>
            </w:r>
          </w:p>
        </w:tc>
        <w:tc>
          <w:tcPr>
            <w:tcW w:w="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4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6"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hAnsi="宋体" w:eastAsia="宋体" w:cs="宋体"/>
                <w:color w:val="000000"/>
                <w:kern w:val="0"/>
                <w:szCs w:val="21"/>
              </w:rPr>
            </w:pPr>
          </w:p>
        </w:tc>
        <w:tc>
          <w:tcPr>
            <w:tcW w:w="379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（七）总计</w:t>
            </w:r>
          </w:p>
        </w:tc>
        <w:tc>
          <w:tcPr>
            <w:tcW w:w="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4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6" w:hRule="atLeast"/>
          <w:jc w:val="center"/>
        </w:trPr>
        <w:tc>
          <w:tcPr>
            <w:tcW w:w="4571"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四、结转下年度继续办理</w:t>
            </w:r>
          </w:p>
        </w:tc>
        <w:tc>
          <w:tcPr>
            <w:tcW w:w="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4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sz w:val="21"/>
                <w:szCs w:val="21"/>
              </w:rPr>
            </w:pPr>
            <w:r>
              <w:rPr>
                <w:rFonts w:hint="eastAsia" w:ascii="宋体" w:hAnsi="宋体" w:eastAsia="宋体" w:cs="宋体"/>
                <w:color w:val="000000"/>
                <w:sz w:val="21"/>
                <w:szCs w:val="21"/>
              </w:rPr>
              <w:t>0</w:t>
            </w:r>
          </w:p>
        </w:tc>
      </w:tr>
    </w:tbl>
    <w:p>
      <w:pPr>
        <w:pStyle w:val="2"/>
        <w:widowControl/>
        <w:spacing w:before="420" w:beforeAutospacing="0" w:afterAutospacing="0" w:line="30" w:lineRule="atLeast"/>
        <w:ind w:firstLine="420"/>
        <w:jc w:val="both"/>
        <w:rPr>
          <w:rFonts w:ascii="黑体" w:hAnsi="黑体" w:eastAsia="黑体" w:cs="黑体"/>
          <w:b/>
          <w:bCs/>
          <w:color w:val="000000"/>
          <w:sz w:val="28"/>
          <w:szCs w:val="28"/>
        </w:rPr>
      </w:pPr>
      <w:r>
        <w:rPr>
          <w:rFonts w:hint="eastAsia" w:ascii="黑体" w:hAnsi="黑体" w:eastAsia="黑体" w:cs="黑体"/>
          <w:b/>
          <w:bCs/>
          <w:color w:val="000000"/>
          <w:sz w:val="32"/>
          <w:szCs w:val="32"/>
        </w:rPr>
        <w:t>四、政府信息公开行政复议、行政诉讼情况</w:t>
      </w:r>
    </w:p>
    <w:tbl>
      <w:tblPr>
        <w:tblStyle w:val="3"/>
        <w:tblW w:w="865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568"/>
        <w:gridCol w:w="741"/>
        <w:gridCol w:w="709"/>
        <w:gridCol w:w="499"/>
        <w:gridCol w:w="456"/>
        <w:gridCol w:w="788"/>
        <w:gridCol w:w="678"/>
        <w:gridCol w:w="714"/>
        <w:gridCol w:w="765"/>
        <w:gridCol w:w="456"/>
        <w:gridCol w:w="456"/>
        <w:gridCol w:w="456"/>
        <w:gridCol w:w="456"/>
        <w:gridCol w:w="456"/>
        <w:gridCol w:w="45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3" w:hRule="atLeast"/>
          <w:jc w:val="center"/>
        </w:trPr>
        <w:tc>
          <w:tcPr>
            <w:tcW w:w="297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r>
              <w:rPr>
                <w:rFonts w:hint="eastAsia" w:ascii="宋体" w:hAnsi="宋体" w:eastAsia="宋体" w:cs="宋体"/>
                <w:color w:val="000000"/>
              </w:rPr>
              <w:t>行政复议</w:t>
            </w:r>
          </w:p>
        </w:tc>
        <w:tc>
          <w:tcPr>
            <w:tcW w:w="5682"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r>
              <w:rPr>
                <w:rFonts w:hint="eastAsia" w:ascii="宋体" w:hAnsi="宋体" w:eastAsia="宋体" w:cs="宋体"/>
                <w:color w:val="000000"/>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2" w:hRule="atLeast"/>
          <w:jc w:val="center"/>
        </w:trPr>
        <w:tc>
          <w:tcPr>
            <w:tcW w:w="568"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rPr>
            </w:pPr>
            <w:r>
              <w:rPr>
                <w:rFonts w:hint="eastAsia" w:ascii="宋体" w:hAnsi="宋体" w:eastAsia="宋体" w:cs="宋体"/>
                <w:color w:val="000000"/>
              </w:rPr>
              <w:t>结果维持</w:t>
            </w:r>
          </w:p>
        </w:tc>
        <w:tc>
          <w:tcPr>
            <w:tcW w:w="741"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rPr>
            </w:pPr>
            <w:r>
              <w:rPr>
                <w:rFonts w:hint="eastAsia" w:ascii="宋体" w:hAnsi="宋体" w:eastAsia="宋体" w:cs="宋体"/>
                <w:color w:val="000000"/>
              </w:rPr>
              <w:t>结果纠正</w:t>
            </w:r>
          </w:p>
        </w:tc>
        <w:tc>
          <w:tcPr>
            <w:tcW w:w="709"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rPr>
            </w:pPr>
            <w:r>
              <w:rPr>
                <w:rFonts w:hint="eastAsia" w:ascii="宋体" w:hAnsi="宋体" w:eastAsia="宋体" w:cs="宋体"/>
                <w:color w:val="000000"/>
              </w:rPr>
              <w:t>其他结果</w:t>
            </w:r>
          </w:p>
        </w:tc>
        <w:tc>
          <w:tcPr>
            <w:tcW w:w="499"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rPr>
            </w:pPr>
            <w:r>
              <w:rPr>
                <w:rFonts w:hint="eastAsia" w:ascii="宋体" w:hAnsi="宋体" w:eastAsia="宋体" w:cs="宋体"/>
                <w:color w:val="000000"/>
              </w:rPr>
              <w:t>尚未审结</w:t>
            </w:r>
          </w:p>
        </w:tc>
        <w:tc>
          <w:tcPr>
            <w:tcW w:w="45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rPr>
            </w:pPr>
            <w:r>
              <w:rPr>
                <w:rFonts w:hint="eastAsia" w:ascii="宋体" w:hAnsi="宋体" w:eastAsia="宋体" w:cs="宋体"/>
                <w:color w:val="000000"/>
              </w:rPr>
              <w:t>总计</w:t>
            </w:r>
          </w:p>
        </w:tc>
        <w:tc>
          <w:tcPr>
            <w:tcW w:w="3401"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rPr>
            </w:pPr>
            <w:r>
              <w:rPr>
                <w:rFonts w:hint="eastAsia" w:ascii="宋体" w:hAnsi="宋体" w:eastAsia="宋体" w:cs="宋体"/>
                <w:color w:val="000000"/>
              </w:rPr>
              <w:t>未经复议直接起诉</w:t>
            </w:r>
          </w:p>
        </w:tc>
        <w:tc>
          <w:tcPr>
            <w:tcW w:w="2281"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rPr>
            </w:pPr>
            <w:r>
              <w:rPr>
                <w:rFonts w:hint="eastAsia" w:ascii="宋体" w:hAnsi="宋体" w:eastAsia="宋体" w:cs="宋体"/>
                <w:color w:val="000000"/>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6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hAnsi="宋体" w:eastAsia="宋体" w:cs="宋体"/>
                <w:color w:val="000000"/>
                <w:kern w:val="0"/>
                <w:sz w:val="24"/>
              </w:rPr>
            </w:pPr>
          </w:p>
        </w:tc>
        <w:tc>
          <w:tcPr>
            <w:tcW w:w="74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宋体" w:hAnsi="宋体" w:eastAsia="宋体" w:cs="宋体"/>
                <w:color w:val="000000"/>
                <w:kern w:val="0"/>
                <w:sz w:val="24"/>
              </w:rPr>
            </w:pPr>
          </w:p>
        </w:tc>
        <w:tc>
          <w:tcPr>
            <w:tcW w:w="70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宋体" w:hAnsi="宋体" w:eastAsia="宋体" w:cs="宋体"/>
                <w:color w:val="000000"/>
                <w:kern w:val="0"/>
                <w:sz w:val="24"/>
              </w:rPr>
            </w:pPr>
          </w:p>
        </w:tc>
        <w:tc>
          <w:tcPr>
            <w:tcW w:w="49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宋体" w:hAnsi="宋体" w:eastAsia="宋体" w:cs="宋体"/>
                <w:color w:val="000000"/>
                <w:kern w:val="0"/>
                <w:sz w:val="24"/>
              </w:rPr>
            </w:pPr>
          </w:p>
        </w:tc>
        <w:tc>
          <w:tcPr>
            <w:tcW w:w="45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宋体" w:hAnsi="宋体" w:eastAsia="宋体" w:cs="宋体"/>
                <w:color w:val="000000"/>
                <w:kern w:val="0"/>
                <w:sz w:val="24"/>
              </w:rPr>
            </w:pPr>
          </w:p>
        </w:tc>
        <w:tc>
          <w:tcPr>
            <w:tcW w:w="78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rPr>
            </w:pPr>
            <w:r>
              <w:rPr>
                <w:rFonts w:hint="eastAsia" w:ascii="宋体" w:hAnsi="宋体" w:eastAsia="宋体" w:cs="宋体"/>
                <w:color w:val="000000"/>
              </w:rPr>
              <w:t>结果维持</w:t>
            </w:r>
          </w:p>
        </w:tc>
        <w:tc>
          <w:tcPr>
            <w:tcW w:w="67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rPr>
            </w:pPr>
            <w:r>
              <w:rPr>
                <w:rFonts w:hint="eastAsia" w:ascii="宋体" w:hAnsi="宋体" w:eastAsia="宋体" w:cs="宋体"/>
                <w:color w:val="000000"/>
              </w:rPr>
              <w:t>结果纠正</w:t>
            </w:r>
          </w:p>
        </w:tc>
        <w:tc>
          <w:tcPr>
            <w:tcW w:w="71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rPr>
            </w:pPr>
            <w:r>
              <w:rPr>
                <w:rFonts w:hint="eastAsia" w:ascii="宋体" w:hAnsi="宋体" w:eastAsia="宋体" w:cs="宋体"/>
                <w:color w:val="000000"/>
              </w:rPr>
              <w:t>其他结果</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rPr>
            </w:pPr>
            <w:r>
              <w:rPr>
                <w:rFonts w:hint="eastAsia" w:ascii="宋体" w:hAnsi="宋体" w:eastAsia="宋体" w:cs="宋体"/>
                <w:color w:val="000000"/>
              </w:rPr>
              <w:t>尚未审结</w:t>
            </w:r>
          </w:p>
        </w:tc>
        <w:tc>
          <w:tcPr>
            <w:tcW w:w="4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rPr>
            </w:pPr>
            <w:r>
              <w:rPr>
                <w:rFonts w:hint="eastAsia" w:ascii="宋体" w:hAnsi="宋体" w:eastAsia="宋体" w:cs="宋体"/>
                <w:color w:val="000000"/>
              </w:rPr>
              <w:t>总计</w:t>
            </w:r>
          </w:p>
        </w:tc>
        <w:tc>
          <w:tcPr>
            <w:tcW w:w="4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rPr>
            </w:pPr>
            <w:r>
              <w:rPr>
                <w:rFonts w:hint="eastAsia" w:ascii="宋体" w:hAnsi="宋体" w:eastAsia="宋体" w:cs="宋体"/>
                <w:color w:val="000000"/>
              </w:rPr>
              <w:t>结果维持</w:t>
            </w:r>
          </w:p>
        </w:tc>
        <w:tc>
          <w:tcPr>
            <w:tcW w:w="4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rPr>
            </w:pPr>
            <w:r>
              <w:rPr>
                <w:rFonts w:hint="eastAsia" w:ascii="宋体" w:hAnsi="宋体" w:eastAsia="宋体" w:cs="宋体"/>
                <w:color w:val="000000"/>
              </w:rPr>
              <w:t>结果纠正</w:t>
            </w:r>
          </w:p>
        </w:tc>
        <w:tc>
          <w:tcPr>
            <w:tcW w:w="4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rPr>
            </w:pPr>
            <w:r>
              <w:rPr>
                <w:rFonts w:hint="eastAsia" w:ascii="宋体" w:hAnsi="宋体" w:eastAsia="宋体" w:cs="宋体"/>
                <w:color w:val="000000"/>
              </w:rPr>
              <w:t>其他结果</w:t>
            </w:r>
          </w:p>
        </w:tc>
        <w:tc>
          <w:tcPr>
            <w:tcW w:w="4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rPr>
            </w:pPr>
            <w:r>
              <w:rPr>
                <w:rFonts w:hint="eastAsia" w:ascii="宋体" w:hAnsi="宋体" w:eastAsia="宋体" w:cs="宋体"/>
                <w:color w:val="000000"/>
              </w:rPr>
              <w:t>尚未审结</w:t>
            </w:r>
          </w:p>
        </w:tc>
        <w:tc>
          <w:tcPr>
            <w:tcW w:w="45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rPr>
            </w:pPr>
            <w:r>
              <w:rPr>
                <w:rFonts w:hint="eastAsia" w:ascii="宋体" w:hAnsi="宋体" w:eastAsia="宋体" w:cs="宋体"/>
                <w:color w:val="000000"/>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68" w:type="dxa"/>
            <w:tcBorders>
              <w:top w:val="nil"/>
              <w:left w:val="single" w:color="auto" w:sz="8" w:space="0"/>
              <w:bottom w:val="nil"/>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r>
              <w:rPr>
                <w:rFonts w:hint="eastAsia" w:ascii="宋体" w:hAnsi="宋体" w:eastAsia="宋体" w:cs="宋体"/>
                <w:color w:val="000000"/>
              </w:rPr>
              <w:t>0</w:t>
            </w:r>
          </w:p>
        </w:tc>
        <w:tc>
          <w:tcPr>
            <w:tcW w:w="741" w:type="dxa"/>
            <w:tcBorders>
              <w:top w:val="nil"/>
              <w:left w:val="nil"/>
              <w:bottom w:val="nil"/>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r>
              <w:rPr>
                <w:rFonts w:hint="eastAsia" w:ascii="宋体" w:hAnsi="宋体" w:eastAsia="宋体" w:cs="宋体"/>
                <w:color w:val="000000"/>
              </w:rPr>
              <w:t>0</w:t>
            </w:r>
          </w:p>
        </w:tc>
        <w:tc>
          <w:tcPr>
            <w:tcW w:w="709" w:type="dxa"/>
            <w:tcBorders>
              <w:top w:val="nil"/>
              <w:left w:val="nil"/>
              <w:bottom w:val="nil"/>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r>
              <w:rPr>
                <w:rFonts w:hint="eastAsia" w:ascii="宋体" w:hAnsi="宋体" w:eastAsia="宋体" w:cs="宋体"/>
                <w:color w:val="000000"/>
              </w:rPr>
              <w:t>0</w:t>
            </w:r>
          </w:p>
        </w:tc>
        <w:tc>
          <w:tcPr>
            <w:tcW w:w="499" w:type="dxa"/>
            <w:tcBorders>
              <w:top w:val="nil"/>
              <w:left w:val="nil"/>
              <w:bottom w:val="nil"/>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r>
              <w:rPr>
                <w:rFonts w:hint="eastAsia" w:ascii="宋体" w:hAnsi="宋体" w:eastAsia="宋体" w:cs="宋体"/>
                <w:color w:val="000000"/>
              </w:rPr>
              <w:t>0</w:t>
            </w:r>
          </w:p>
        </w:tc>
        <w:tc>
          <w:tcPr>
            <w:tcW w:w="456" w:type="dxa"/>
            <w:tcBorders>
              <w:top w:val="nil"/>
              <w:left w:val="nil"/>
              <w:bottom w:val="nil"/>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r>
              <w:rPr>
                <w:rFonts w:hint="eastAsia" w:ascii="宋体" w:hAnsi="宋体" w:eastAsia="宋体" w:cs="宋体"/>
                <w:color w:val="000000"/>
              </w:rPr>
              <w:t>0</w:t>
            </w:r>
          </w:p>
        </w:tc>
        <w:tc>
          <w:tcPr>
            <w:tcW w:w="788" w:type="dxa"/>
            <w:tcBorders>
              <w:top w:val="nil"/>
              <w:left w:val="nil"/>
              <w:bottom w:val="nil"/>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r>
              <w:rPr>
                <w:rFonts w:hint="eastAsia" w:ascii="宋体" w:hAnsi="宋体" w:eastAsia="宋体" w:cs="宋体"/>
                <w:color w:val="000000"/>
              </w:rPr>
              <w:t>0</w:t>
            </w:r>
          </w:p>
        </w:tc>
        <w:tc>
          <w:tcPr>
            <w:tcW w:w="678" w:type="dxa"/>
            <w:tcBorders>
              <w:top w:val="nil"/>
              <w:left w:val="nil"/>
              <w:bottom w:val="nil"/>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r>
              <w:rPr>
                <w:rFonts w:hint="eastAsia" w:ascii="宋体" w:hAnsi="宋体" w:eastAsia="宋体" w:cs="宋体"/>
                <w:color w:val="000000"/>
              </w:rPr>
              <w:t>0</w:t>
            </w:r>
          </w:p>
        </w:tc>
        <w:tc>
          <w:tcPr>
            <w:tcW w:w="714" w:type="dxa"/>
            <w:tcBorders>
              <w:top w:val="nil"/>
              <w:left w:val="nil"/>
              <w:bottom w:val="nil"/>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r>
              <w:rPr>
                <w:rFonts w:hint="eastAsia" w:ascii="宋体" w:hAnsi="宋体" w:eastAsia="宋体" w:cs="宋体"/>
                <w:color w:val="000000"/>
              </w:rPr>
              <w:t>0</w:t>
            </w:r>
          </w:p>
        </w:tc>
        <w:tc>
          <w:tcPr>
            <w:tcW w:w="765" w:type="dxa"/>
            <w:tcBorders>
              <w:top w:val="nil"/>
              <w:left w:val="nil"/>
              <w:bottom w:val="nil"/>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r>
              <w:rPr>
                <w:rFonts w:hint="eastAsia" w:ascii="宋体" w:hAnsi="宋体" w:eastAsia="宋体" w:cs="宋体"/>
                <w:color w:val="000000"/>
              </w:rPr>
              <w:t>0</w:t>
            </w:r>
          </w:p>
        </w:tc>
        <w:tc>
          <w:tcPr>
            <w:tcW w:w="456" w:type="dxa"/>
            <w:tcBorders>
              <w:top w:val="nil"/>
              <w:left w:val="nil"/>
              <w:bottom w:val="nil"/>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r>
              <w:rPr>
                <w:rFonts w:hint="eastAsia" w:ascii="宋体" w:hAnsi="宋体" w:eastAsia="宋体" w:cs="宋体"/>
                <w:color w:val="000000"/>
              </w:rPr>
              <w:t>0</w:t>
            </w:r>
          </w:p>
        </w:tc>
        <w:tc>
          <w:tcPr>
            <w:tcW w:w="456" w:type="dxa"/>
            <w:tcBorders>
              <w:top w:val="nil"/>
              <w:left w:val="nil"/>
              <w:bottom w:val="nil"/>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r>
              <w:rPr>
                <w:rFonts w:hint="eastAsia" w:ascii="宋体" w:hAnsi="宋体" w:eastAsia="宋体" w:cs="宋体"/>
                <w:color w:val="000000"/>
              </w:rPr>
              <w:t>0</w:t>
            </w:r>
          </w:p>
        </w:tc>
        <w:tc>
          <w:tcPr>
            <w:tcW w:w="456" w:type="dxa"/>
            <w:tcBorders>
              <w:top w:val="nil"/>
              <w:left w:val="nil"/>
              <w:bottom w:val="nil"/>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r>
              <w:rPr>
                <w:rFonts w:hint="eastAsia" w:ascii="宋体" w:hAnsi="宋体" w:eastAsia="宋体" w:cs="宋体"/>
                <w:color w:val="000000"/>
              </w:rPr>
              <w:t>0</w:t>
            </w:r>
          </w:p>
        </w:tc>
        <w:tc>
          <w:tcPr>
            <w:tcW w:w="456" w:type="dxa"/>
            <w:tcBorders>
              <w:top w:val="nil"/>
              <w:left w:val="nil"/>
              <w:bottom w:val="nil"/>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r>
              <w:rPr>
                <w:rFonts w:hint="eastAsia" w:ascii="宋体" w:hAnsi="宋体" w:eastAsia="宋体" w:cs="宋体"/>
                <w:color w:val="000000"/>
              </w:rPr>
              <w:t>0</w:t>
            </w:r>
          </w:p>
        </w:tc>
        <w:tc>
          <w:tcPr>
            <w:tcW w:w="456" w:type="dxa"/>
            <w:tcBorders>
              <w:top w:val="nil"/>
              <w:left w:val="nil"/>
              <w:bottom w:val="nil"/>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r>
              <w:rPr>
                <w:rFonts w:hint="eastAsia" w:ascii="宋体" w:hAnsi="宋体" w:eastAsia="宋体" w:cs="宋体"/>
                <w:color w:val="000000"/>
              </w:rPr>
              <w:t>0</w:t>
            </w:r>
          </w:p>
        </w:tc>
        <w:tc>
          <w:tcPr>
            <w:tcW w:w="457" w:type="dxa"/>
            <w:tcBorders>
              <w:top w:val="nil"/>
              <w:left w:val="nil"/>
              <w:bottom w:val="nil"/>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r>
              <w:rPr>
                <w:rFonts w:hint="eastAsia" w:ascii="宋体" w:hAnsi="宋体" w:eastAsia="宋体" w:cs="宋体"/>
                <w:color w:val="00000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0" w:hRule="atLeast"/>
          <w:jc w:val="center"/>
        </w:trPr>
        <w:tc>
          <w:tcPr>
            <w:tcW w:w="56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rPr>
            </w:pPr>
          </w:p>
        </w:tc>
        <w:tc>
          <w:tcPr>
            <w:tcW w:w="7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rPr>
            </w:pP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rPr>
            </w:pPr>
          </w:p>
        </w:tc>
        <w:tc>
          <w:tcPr>
            <w:tcW w:w="4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p>
        </w:tc>
        <w:tc>
          <w:tcPr>
            <w:tcW w:w="4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p>
        </w:tc>
        <w:tc>
          <w:tcPr>
            <w:tcW w:w="78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p>
        </w:tc>
        <w:tc>
          <w:tcPr>
            <w:tcW w:w="67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both"/>
              <w:rPr>
                <w:rFonts w:ascii="宋体" w:hAnsi="宋体" w:eastAsia="宋体" w:cs="宋体"/>
                <w:color w:val="000000"/>
              </w:rPr>
            </w:pPr>
          </w:p>
        </w:tc>
        <w:tc>
          <w:tcPr>
            <w:tcW w:w="71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p>
        </w:tc>
        <w:tc>
          <w:tcPr>
            <w:tcW w:w="4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p>
        </w:tc>
        <w:tc>
          <w:tcPr>
            <w:tcW w:w="4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p>
        </w:tc>
        <w:tc>
          <w:tcPr>
            <w:tcW w:w="4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p>
        </w:tc>
        <w:tc>
          <w:tcPr>
            <w:tcW w:w="4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p>
        </w:tc>
        <w:tc>
          <w:tcPr>
            <w:tcW w:w="45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p>
        </w:tc>
        <w:tc>
          <w:tcPr>
            <w:tcW w:w="45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pacing w:beforeAutospacing="0" w:afterAutospacing="0" w:line="30" w:lineRule="atLeast"/>
              <w:jc w:val="center"/>
              <w:rPr>
                <w:rFonts w:ascii="宋体" w:hAnsi="宋体" w:eastAsia="宋体" w:cs="宋体"/>
                <w:color w:val="000000"/>
              </w:rPr>
            </w:pPr>
          </w:p>
        </w:tc>
      </w:tr>
    </w:tbl>
    <w:p>
      <w:pPr>
        <w:spacing w:line="56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五、存在的主要问题及改进情况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自治区财政厅在政府信息公开方面做了扎实工作、取得明显成效，但还存在主动公开的深度有待拓展、政策解读的实效性有待提升、政府信息公开平台有待优化等问题。在今后工作中，我们将严格按照自治区政务公开领导小组的部署和自治区政府信息公开办的要求，坚持以公开为常态、不公开为例外，认真对标对表，提高准确把握相关政策精神的能力，及时发布权威信息；通过完善保障制度，准确研判需要回应的热点问题，积极回应社会关切；通过优化载体建设，拓展公开渠道和覆盖面，扩大受众知情权，切实在常态化、规范化上下功夫，推动全区财政系统和重点领域政务公开取得新成效。</w:t>
      </w:r>
    </w:p>
    <w:p>
      <w:pPr>
        <w:spacing w:line="60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六、其他需要报告的事项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国务院办公厅关于印发&lt;政府信息公开信息处理费管理办法&gt;的通知》（国办函〔2020〕109号）规定的按件、按量收费标准，本年度没有产生信息公开处理费。严格落实信息公开保密审查制度，未因落实不到位造成失泄密问题。财政厅无其他需要报告的事项。</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left="3360" w:leftChars="1600"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自治区财政厅</w:t>
      </w:r>
    </w:p>
    <w:p>
      <w:pPr>
        <w:spacing w:line="560" w:lineRule="exact"/>
        <w:ind w:left="3360" w:leftChars="1600"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2023年1月30日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B2CC8"/>
    <w:rsid w:val="00603E54"/>
    <w:rsid w:val="009B2CC8"/>
    <w:rsid w:val="009C4F90"/>
    <w:rsid w:val="00AB6F0C"/>
    <w:rsid w:val="00BE68FF"/>
    <w:rsid w:val="00C359EB"/>
    <w:rsid w:val="00EA7378"/>
    <w:rsid w:val="00EB571B"/>
    <w:rsid w:val="00F637B5"/>
    <w:rsid w:val="05E95A96"/>
    <w:rsid w:val="1BCA0DF6"/>
    <w:rsid w:val="1CBE7DAA"/>
    <w:rsid w:val="2A765BDB"/>
    <w:rsid w:val="32B656B4"/>
    <w:rsid w:val="39505ACB"/>
    <w:rsid w:val="3EC40922"/>
    <w:rsid w:val="4A472A8D"/>
    <w:rsid w:val="4DC748A0"/>
    <w:rsid w:val="52B93240"/>
    <w:rsid w:val="52E26ED8"/>
    <w:rsid w:val="565D3B3F"/>
    <w:rsid w:val="581B5048"/>
    <w:rsid w:val="5D0F13F9"/>
    <w:rsid w:val="77D34632"/>
    <w:rsid w:val="78321547"/>
    <w:rsid w:val="7C517AAE"/>
    <w:rsid w:val="7D342992"/>
    <w:rsid w:val="7EB02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716</Words>
  <Characters>4087</Characters>
  <Lines>34</Lines>
  <Paragraphs>9</Paragraphs>
  <TotalTime>5</TotalTime>
  <ScaleCrop>false</ScaleCrop>
  <LinksUpToDate>false</LinksUpToDate>
  <CharactersWithSpaces>4794</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2023-12-07T02:18:00Z</dcterms:created>
  <dc:creator>Administrator</dc:creator>
  <cp:lastModifiedBy>总收发</cp:lastModifiedBy>
  <cp:lastPrinted>2023-03-07T03:24:00Z</cp:lastPrinted>
  <dcterms:modified xsi:type="dcterms:W3CDTF">2026-01-20T09:57:12Z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