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小标宋_GBK" w:hAnsi="宋体" w:eastAsia="方正小标宋_GBK" w:cs="宋体"/>
          <w:b/>
          <w:bCs/>
          <w:kern w:val="36"/>
          <w:sz w:val="36"/>
          <w:szCs w:val="36"/>
        </w:rPr>
      </w:pPr>
      <w:bookmarkStart w:id="0" w:name="OLE_LINK1"/>
    </w:p>
    <w:p>
      <w:pPr>
        <w:widowControl/>
        <w:jc w:val="center"/>
        <w:outlineLvl w:val="0"/>
        <w:rPr>
          <w:rFonts w:ascii="方正小标宋_GBK" w:hAnsi="宋体" w:eastAsia="方正小标宋_GBK" w:cs="宋体"/>
          <w:b/>
          <w:bCs/>
          <w:kern w:val="36"/>
          <w:sz w:val="36"/>
          <w:szCs w:val="36"/>
        </w:rPr>
      </w:pPr>
    </w:p>
    <w:p>
      <w:pPr>
        <w:widowControl/>
        <w:jc w:val="center"/>
        <w:outlineLvl w:val="0"/>
        <w:rPr>
          <w:rFonts w:ascii="方正小标宋_GBK" w:hAnsi="宋体" w:eastAsia="方正小标宋_GBK" w:cs="宋体"/>
          <w:b/>
          <w:bCs/>
          <w:kern w:val="36"/>
          <w:sz w:val="36"/>
          <w:szCs w:val="36"/>
        </w:rPr>
      </w:pPr>
    </w:p>
    <w:p>
      <w:pPr>
        <w:widowControl/>
        <w:spacing w:afterLines="100"/>
        <w:jc w:val="center"/>
        <w:outlineLvl w:val="0"/>
        <w:rPr>
          <w:rFonts w:ascii="方正小标宋_GBK" w:hAnsi="宋体" w:eastAsia="方正小标宋_GBK" w:cs="宋体"/>
          <w:bCs/>
          <w:kern w:val="36"/>
          <w:sz w:val="36"/>
          <w:szCs w:val="32"/>
        </w:rPr>
      </w:pPr>
      <w:bookmarkStart w:id="1" w:name="OLE_LINK2"/>
      <w:r>
        <w:rPr>
          <w:rFonts w:hint="eastAsia" w:ascii="方正小标宋_GBK" w:hAnsi="宋体" w:eastAsia="方正小标宋_GBK" w:cs="宋体"/>
          <w:bCs/>
          <w:kern w:val="36"/>
          <w:sz w:val="36"/>
          <w:szCs w:val="32"/>
        </w:rPr>
        <w:t>自治区财政厅2020年政府信息公开工作年度报告</w:t>
      </w:r>
    </w:p>
    <w:p>
      <w:pPr>
        <w:widowControl/>
        <w:spacing w:line="560" w:lineRule="exact"/>
        <w:ind w:firstLine="641"/>
        <w:textAlignment w:val="baseline"/>
        <w:rPr>
          <w:rFonts w:ascii="宋体" w:hAnsi="宋体" w:eastAsia="宋体" w:cs="宋体"/>
          <w:kern w:val="0"/>
          <w:sz w:val="24"/>
          <w:szCs w:val="24"/>
        </w:rPr>
      </w:pPr>
      <w:r>
        <w:rPr>
          <w:rFonts w:hint="eastAsia" w:ascii="仿宋_GB2312" w:hAnsi="宋体" w:eastAsia="仿宋_GB2312" w:cs="宋体"/>
          <w:kern w:val="0"/>
          <w:sz w:val="32"/>
          <w:szCs w:val="32"/>
          <w:shd w:val="clear" w:color="auto" w:fill="FFFFFF"/>
        </w:rPr>
        <w:t>自治区财政厅始终</w:t>
      </w:r>
      <w:r>
        <w:rPr>
          <w:rFonts w:hint="eastAsia" w:ascii="仿宋_GB2312" w:hAnsi="宋体" w:eastAsia="仿宋_GB2312" w:cs="宋体"/>
          <w:kern w:val="0"/>
          <w:sz w:val="32"/>
          <w:szCs w:val="32"/>
        </w:rPr>
        <w:t>坚持以习近平新时代中国特色社会主义思想为指导，全面贯彻党的十九大和十九届二中、三中、四中、五中全会精神，深入贯彻国务院办公厅《中华人民共和国</w:t>
      </w:r>
      <w:r>
        <w:rPr>
          <w:rFonts w:hint="eastAsia" w:ascii="仿宋_GB2312" w:hAnsi="宋体" w:eastAsia="仿宋_GB2312" w:cs="宋体"/>
          <w:kern w:val="0"/>
          <w:sz w:val="32"/>
          <w:szCs w:val="32"/>
          <w:lang w:eastAsia="zh-CN"/>
        </w:rPr>
        <w:t>政府</w:t>
      </w:r>
      <w:r>
        <w:rPr>
          <w:rFonts w:hint="eastAsia" w:ascii="仿宋_GB2312" w:hAnsi="宋体" w:eastAsia="仿宋_GB2312" w:cs="宋体"/>
          <w:kern w:val="0"/>
          <w:sz w:val="32"/>
          <w:szCs w:val="32"/>
        </w:rPr>
        <w:t>信息公开条例》和《2020年政务公开工作要点的通知》等有关文件精神，坚持把做好政府信息公开工作作为推动新时代党的治疆方略和落实社会稳定和长治久安总目标的有力抓手，</w:t>
      </w:r>
      <w:r>
        <w:rPr>
          <w:rFonts w:hint="eastAsia" w:ascii="仿宋_GB2312" w:hAnsi="宋体" w:eastAsia="仿宋_GB2312" w:cs="宋体"/>
          <w:kern w:val="0"/>
          <w:sz w:val="32"/>
          <w:szCs w:val="32"/>
          <w:shd w:val="clear" w:color="auto" w:fill="FFFFFF"/>
        </w:rPr>
        <w:t>不断深化财政预决算、减税降费、政府债务等重点领域信息公开，扎实推进重大财政政策、政府采购信息、提案建议办理情况的公开工作，为促进社会大局稳定和经济持续健康发展发挥积极作用。</w:t>
      </w:r>
    </w:p>
    <w:p>
      <w:pPr>
        <w:widowControl/>
        <w:spacing w:beforeLines="50" w:afterLines="50" w:line="520" w:lineRule="atLeast"/>
        <w:ind w:firstLine="578"/>
        <w:rPr>
          <w:rFonts w:ascii="黑体" w:hAnsi="黑体" w:eastAsia="黑体" w:cs="宋体"/>
          <w:kern w:val="0"/>
          <w:sz w:val="32"/>
          <w:szCs w:val="32"/>
        </w:rPr>
      </w:pPr>
      <w:r>
        <w:rPr>
          <w:rFonts w:hint="eastAsia" w:ascii="黑体" w:hAnsi="黑体" w:eastAsia="黑体" w:cs="宋体"/>
          <w:kern w:val="0"/>
          <w:sz w:val="32"/>
          <w:szCs w:val="32"/>
        </w:rPr>
        <w:t>一、总体情况</w:t>
      </w:r>
    </w:p>
    <w:p>
      <w:pPr>
        <w:widowControl/>
        <w:spacing w:line="560" w:lineRule="exact"/>
        <w:ind w:firstLine="641"/>
        <w:textAlignment w:val="baseline"/>
        <w:rPr>
          <w:rFonts w:ascii="宋体" w:hAnsi="宋体" w:eastAsia="宋体" w:cs="宋体"/>
          <w:kern w:val="0"/>
          <w:sz w:val="24"/>
          <w:szCs w:val="24"/>
        </w:rPr>
      </w:pPr>
      <w:r>
        <w:rPr>
          <w:rFonts w:hint="eastAsia" w:ascii="仿宋_GB2312" w:hAnsi="宋体" w:eastAsia="仿宋_GB2312" w:cs="宋体"/>
          <w:kern w:val="0"/>
          <w:sz w:val="32"/>
          <w:szCs w:val="32"/>
          <w:shd w:val="clear" w:color="auto" w:fill="FFFFFF"/>
        </w:rPr>
        <w:t>财政厅党组高度重视政府信息公开工作，将政府信息公开工作纳入财政改革发展各项工作中，与财政业务工作同部署、同检查、同考核。认真学习贯彻国务院</w:t>
      </w:r>
      <w:r>
        <w:rPr>
          <w:rFonts w:hint="eastAsia" w:ascii="仿宋_GB2312" w:hAnsi="宋体" w:eastAsia="仿宋_GB2312" w:cs="宋体"/>
          <w:kern w:val="0"/>
          <w:sz w:val="32"/>
          <w:szCs w:val="32"/>
        </w:rPr>
        <w:t>《中华人民共和国</w:t>
      </w:r>
      <w:r>
        <w:rPr>
          <w:rFonts w:hint="eastAsia" w:ascii="仿宋_GB2312" w:hAnsi="宋体" w:eastAsia="仿宋_GB2312" w:cs="宋体"/>
          <w:kern w:val="0"/>
          <w:sz w:val="32"/>
          <w:szCs w:val="32"/>
          <w:lang w:eastAsia="zh-CN"/>
        </w:rPr>
        <w:t>政府</w:t>
      </w:r>
      <w:r>
        <w:rPr>
          <w:rFonts w:hint="eastAsia" w:ascii="仿宋_GB2312" w:hAnsi="宋体" w:eastAsia="仿宋_GB2312" w:cs="宋体"/>
          <w:kern w:val="0"/>
          <w:sz w:val="32"/>
          <w:szCs w:val="32"/>
        </w:rPr>
        <w:t>信息公开条例》，为确保《条例》在财政厅贯彻落实到位，财政厅</w:t>
      </w:r>
      <w:r>
        <w:rPr>
          <w:rFonts w:hint="eastAsia" w:ascii="仿宋_GB2312" w:hAnsi="宋体" w:eastAsia="仿宋_GB2312" w:cs="宋体"/>
          <w:kern w:val="0"/>
          <w:sz w:val="32"/>
          <w:szCs w:val="32"/>
          <w:shd w:val="clear" w:color="auto" w:fill="FFFFFF"/>
        </w:rPr>
        <w:t>坚持厅主要领导总负责、分管厅领导分别负责、各业务处室主要负责同志具体负责的工作机制，年初及时研究制定《关于做好财政厅2020年政务公开工作的意见》，进一步分解年度政务公开工作任务12类20项，明确了责任处室、工作要求、完成时限，并健全政务公开工作督导机制，由厅办公室负责全年盯办政务公开工作任务的落实，定期听取情况汇报，研究解决重大问题。形成了以厅领导为中心点、以厅办公室为牵头线、以相关职能处室单位为扩散面，“点、线、面”紧密结合、协调联动的政府信息公开管理格局。</w:t>
      </w:r>
    </w:p>
    <w:p>
      <w:pPr>
        <w:widowControl/>
        <w:spacing w:line="560" w:lineRule="atLeast"/>
        <w:ind w:left="643"/>
        <w:textAlignment w:val="baseline"/>
        <w:rPr>
          <w:rFonts w:ascii="楷体" w:hAnsi="楷体" w:eastAsia="楷体" w:cs="宋体"/>
          <w:b/>
          <w:bCs/>
          <w:kern w:val="0"/>
          <w:sz w:val="32"/>
          <w:szCs w:val="32"/>
          <w:shd w:val="clear" w:color="auto" w:fill="FFFFFF"/>
        </w:rPr>
      </w:pPr>
      <w:r>
        <w:rPr>
          <w:rFonts w:hint="eastAsia" w:ascii="楷体" w:hAnsi="楷体" w:eastAsia="楷体" w:cs="宋体"/>
          <w:b/>
          <w:bCs/>
          <w:kern w:val="0"/>
          <w:sz w:val="32"/>
          <w:szCs w:val="32"/>
          <w:shd w:val="clear" w:color="auto" w:fill="FFFFFF"/>
        </w:rPr>
        <w:t>（一）加强主动公开</w:t>
      </w:r>
    </w:p>
    <w:p>
      <w:pPr>
        <w:widowControl/>
        <w:spacing w:line="560" w:lineRule="exact"/>
        <w:ind w:firstLine="641"/>
        <w:textAlignment w:val="baseline"/>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依据《中华人民共和国政府信息公开条例》，明确财政厅主动公开政府信息的主体和内容，针对财政厅制定的行政法规和规范性文件、研究编制的相关专项规划、出台的重大财政政策等，做到主动公开。紧紧围绕“稳增长、促改革、调结构、惠民生、防风险、保稳定”重点工作任务，对涉及重大财政工作，预决算信息、民生领域及社会关切的信息，做到应公开尽公开。</w:t>
      </w:r>
    </w:p>
    <w:p>
      <w:pPr>
        <w:widowControl/>
        <w:spacing w:line="560" w:lineRule="exact"/>
        <w:ind w:firstLine="641"/>
        <w:textAlignment w:val="baseline"/>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推进财政预决算信息公开。围绕建设透明政府、廉洁政府、服务政府目标，按照中央关于全面公开政府预决算信息的有关要求，对照财政部预决算领域基层政务公开标准目录，全面公开新疆维吾尔自治区预决算信息。2020年自治区本级108个部门单位，除涉密内容外，全部公开了部门预决算和“三公”经费预决算，细化说明收支预算安排、增减变化等情况，并对各地各部门出国团组、人次及公务接待费相关的批次、人次及有关名词进行解释说明，方便公众读懂财政预决算。按照“统一部署，分级负责，整体联动”原则，主动上门指导部门单位做好规范公开工作，实行统一公开模板、统一公开时间、统一公开网络，确保公开工作同步推进、联动落实。</w:t>
      </w:r>
    </w:p>
    <w:p>
      <w:pPr>
        <w:widowControl/>
        <w:spacing w:line="560" w:lineRule="exact"/>
        <w:ind w:firstLine="641"/>
        <w:textAlignment w:val="baseline"/>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做好重大财政政策研究信息公开。2020年自治区财政厅认真落实疫情防控、脱贫攻坚、减税降费、保障和改善民生、促进就业、促进区域协调发展、激发市场主题活力、优化营商环境等各项重点工作，出台了一系列的财政政策。为做好重大政策公开宣传工作，财政厅及时在门户网站发布相关政策法规文件、政策举措、政策执行等信息，加大公开力度，便于社会公众及时了解财政出台的重要改革措施和相关政策文件，加快推进政策法规落地生根。</w:t>
      </w:r>
    </w:p>
    <w:p>
      <w:pPr>
        <w:widowControl/>
        <w:spacing w:line="560" w:lineRule="exact"/>
        <w:ind w:firstLine="641"/>
        <w:textAlignment w:val="baseline"/>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3.细化政府债务、绩效管理等财政信息公开。以公开稳预期、强监督、促落实、优服务为原则，细化公开财政绩效、债务信息。一是围绕全面实施预算绩效管理，积极公开项目立项依据、实施主体、预算安排、绩效目标、绩效自评结果、绩效评价报告等情况；二是清晰公开自治区政府债务信息及地方政府债券发行管理情况信息，公开我区经济财政状况、债券发行、存续期管理等信息。</w:t>
      </w:r>
    </w:p>
    <w:p>
      <w:pPr>
        <w:widowControl/>
        <w:spacing w:line="560" w:lineRule="exact"/>
        <w:ind w:firstLine="641"/>
        <w:textAlignment w:val="baseline"/>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4.认真落实建议、提案办理公开情况。财政厅在做好建议、提案办理工作的同时，及时向社会公开财政部门承办的人大代表建议、政协委员提案办理情况, 为落实政府依法履职、接受人民监督提供有力保障。2020年财政厅公示承办的人大代表建议答复16件、政协委员提案答复8件。通过深化公开理念、普及公开知识，营造人人关注政府信息公开、人人配合政府信息公开的浓厚氛围，展示了财政部门的优良作风和精神状态，赢得了代表和社会各界对财政工作更多的理解与支持。</w:t>
      </w:r>
    </w:p>
    <w:p>
      <w:pPr>
        <w:widowControl/>
        <w:spacing w:line="560" w:lineRule="exact"/>
        <w:ind w:firstLine="643"/>
        <w:textAlignment w:val="baseline"/>
        <w:rPr>
          <w:rFonts w:ascii="仿宋_GB2312" w:hAnsi="宋体" w:eastAsia="仿宋_GB2312" w:cs="宋体"/>
          <w:b/>
          <w:bCs/>
          <w:kern w:val="0"/>
          <w:sz w:val="32"/>
          <w:szCs w:val="32"/>
          <w:shd w:val="clear" w:color="auto" w:fill="FFFFFF"/>
        </w:rPr>
      </w:pPr>
      <w:r>
        <w:rPr>
          <w:rFonts w:hint="eastAsia" w:ascii="楷体" w:hAnsi="楷体" w:eastAsia="楷体" w:cs="宋体"/>
          <w:b/>
          <w:bCs/>
          <w:kern w:val="0"/>
          <w:sz w:val="32"/>
          <w:szCs w:val="32"/>
          <w:shd w:val="clear" w:color="auto" w:fill="FFFFFF"/>
        </w:rPr>
        <w:t>（二）认真做好依申请公开工作</w:t>
      </w:r>
    </w:p>
    <w:p>
      <w:pPr>
        <w:widowControl/>
        <w:spacing w:line="560" w:lineRule="exact"/>
        <w:ind w:firstLine="643"/>
        <w:textAlignment w:val="baseline"/>
        <w:rPr>
          <w:rFonts w:ascii="宋体" w:hAnsi="宋体" w:eastAsia="宋体" w:cs="宋体"/>
          <w:kern w:val="0"/>
          <w:sz w:val="24"/>
          <w:szCs w:val="24"/>
        </w:rPr>
      </w:pPr>
      <w:r>
        <w:rPr>
          <w:rFonts w:hint="eastAsia" w:ascii="仿宋_GB2312" w:hAnsi="宋体" w:eastAsia="仿宋_GB2312" w:cs="宋体"/>
          <w:color w:val="000000"/>
          <w:kern w:val="0"/>
          <w:sz w:val="32"/>
          <w:szCs w:val="32"/>
        </w:rPr>
        <w:t>依据《中华人民共和国</w:t>
      </w:r>
      <w:r>
        <w:rPr>
          <w:rFonts w:hint="eastAsia" w:ascii="仿宋_GB2312" w:hAnsi="宋体" w:eastAsia="仿宋_GB2312" w:cs="宋体"/>
          <w:kern w:val="0"/>
          <w:sz w:val="32"/>
          <w:szCs w:val="32"/>
          <w:lang w:eastAsia="zh-CN"/>
        </w:rPr>
        <w:t>政府</w:t>
      </w:r>
      <w:r>
        <w:rPr>
          <w:rFonts w:hint="eastAsia" w:ascii="仿宋_GB2312" w:hAnsi="宋体" w:eastAsia="仿宋_GB2312" w:cs="宋体"/>
          <w:color w:val="000000"/>
          <w:kern w:val="0"/>
          <w:sz w:val="32"/>
          <w:szCs w:val="32"/>
        </w:rPr>
        <w:t>信息公开条例》和自治区人民政府关于做好政府信息公开工作的有关安排部署，结合财政厅工作实际，严格按照《自治区财政厅政府信息公开指南》规范的依申请公开工作流程，落实收到的每一份人民群众的公开申请。</w:t>
      </w:r>
    </w:p>
    <w:p>
      <w:pPr>
        <w:widowControl/>
        <w:spacing w:line="560" w:lineRule="exact"/>
        <w:ind w:firstLine="640"/>
        <w:textAlignment w:val="baseline"/>
        <w:rPr>
          <w:rFonts w:ascii="仿宋_GB2312" w:hAnsi="宋体" w:eastAsia="仿宋_GB2312" w:cs="宋体"/>
          <w:color w:val="000000"/>
          <w:kern w:val="0"/>
          <w:sz w:val="32"/>
          <w:szCs w:val="32"/>
        </w:rPr>
      </w:pPr>
      <w:r>
        <w:rPr>
          <w:rFonts w:hint="eastAsia" w:ascii="仿宋_GB2312" w:hAnsi="宋体" w:eastAsia="仿宋_GB2312" w:cs="宋体"/>
          <w:color w:val="222222"/>
          <w:kern w:val="0"/>
          <w:sz w:val="32"/>
          <w:szCs w:val="32"/>
        </w:rPr>
        <w:t>在</w:t>
      </w:r>
      <w:r>
        <w:rPr>
          <w:rFonts w:hint="eastAsia" w:ascii="仿宋_GB2312" w:hAnsi="宋体" w:eastAsia="仿宋_GB2312" w:cs="宋体"/>
          <w:color w:val="000000"/>
          <w:kern w:val="0"/>
          <w:sz w:val="32"/>
          <w:szCs w:val="32"/>
        </w:rPr>
        <w:t>网民依申请公开申请</w:t>
      </w:r>
      <w:r>
        <w:rPr>
          <w:rFonts w:hint="eastAsia" w:ascii="仿宋_GB2312" w:hAnsi="宋体" w:eastAsia="仿宋_GB2312" w:cs="宋体"/>
          <w:color w:val="222222"/>
          <w:kern w:val="0"/>
          <w:sz w:val="32"/>
          <w:szCs w:val="32"/>
        </w:rPr>
        <w:t>处理过程中,财政厅严格遵循条例规定时限,主动联系申请人,落实申请内容的详实情况,平均回复时间为7天到10天；个别申请涉及多个部门和单位,无法在规定时限内办结的,及时与申请人沟通，说明情况并申请延期，努力把服务做到位，让申请人满意。</w:t>
      </w:r>
      <w:r>
        <w:rPr>
          <w:rFonts w:hint="eastAsia" w:ascii="仿宋_GB2312" w:hAnsi="宋体" w:eastAsia="仿宋_GB2312" w:cs="宋体"/>
          <w:kern w:val="0"/>
          <w:sz w:val="32"/>
          <w:szCs w:val="32"/>
        </w:rPr>
        <w:t>2020年财政厅共收到网民依申请公开申请信息12条，已处理回复申请12条，答复率100%。</w:t>
      </w:r>
      <w:r>
        <w:rPr>
          <w:rFonts w:hint="eastAsia" w:ascii="仿宋_GB2312" w:hAnsi="宋体" w:eastAsia="仿宋_GB2312" w:cs="宋体"/>
          <w:color w:val="222222"/>
          <w:kern w:val="0"/>
          <w:sz w:val="32"/>
          <w:szCs w:val="32"/>
        </w:rPr>
        <w:t>依法</w:t>
      </w:r>
      <w:r>
        <w:rPr>
          <w:rFonts w:hint="eastAsia" w:ascii="仿宋_GB2312" w:hAnsi="宋体" w:eastAsia="仿宋_GB2312" w:cs="宋体"/>
          <w:color w:val="000000"/>
          <w:kern w:val="0"/>
          <w:sz w:val="32"/>
          <w:szCs w:val="32"/>
        </w:rPr>
        <w:t>保障公民、法人和其他组织获得财政部门相关政府信息的权利。</w:t>
      </w:r>
    </w:p>
    <w:p>
      <w:pPr>
        <w:widowControl/>
        <w:spacing w:line="560" w:lineRule="exact"/>
        <w:ind w:firstLine="640"/>
        <w:textAlignment w:val="baseline"/>
        <w:rPr>
          <w:rFonts w:ascii="仿宋_GB2312" w:hAnsi="宋体" w:eastAsia="仿宋_GB2312" w:cs="宋体"/>
          <w:b/>
          <w:bCs/>
          <w:kern w:val="0"/>
          <w:sz w:val="32"/>
          <w:szCs w:val="32"/>
          <w:shd w:val="clear" w:color="auto" w:fill="FFFFFF"/>
        </w:rPr>
      </w:pPr>
      <w:r>
        <w:rPr>
          <w:rFonts w:hint="eastAsia" w:ascii="楷体" w:hAnsi="楷体" w:eastAsia="楷体" w:cs="宋体"/>
          <w:b/>
          <w:bCs/>
          <w:kern w:val="0"/>
          <w:sz w:val="32"/>
          <w:szCs w:val="32"/>
          <w:shd w:val="clear" w:color="auto" w:fill="FFFFFF"/>
        </w:rPr>
        <w:t>（三）坚持政治站位和正面舆论导向</w:t>
      </w:r>
    </w:p>
    <w:p>
      <w:pPr>
        <w:widowControl/>
        <w:spacing w:line="560" w:lineRule="exact"/>
        <w:ind w:firstLine="640"/>
        <w:textAlignment w:val="baseline"/>
        <w:rPr>
          <w:rFonts w:ascii="仿宋_GB2312" w:hAnsi="宋体" w:eastAsia="仿宋_GB2312" w:cs="宋体"/>
          <w:b/>
          <w:bCs/>
          <w:kern w:val="0"/>
          <w:sz w:val="32"/>
          <w:szCs w:val="32"/>
          <w:shd w:val="clear" w:color="auto" w:fill="FFFFFF"/>
        </w:rPr>
      </w:pPr>
      <w:r>
        <w:rPr>
          <w:rFonts w:hint="eastAsia" w:ascii="仿宋_GB2312" w:hAnsi="宋体" w:eastAsia="仿宋_GB2312" w:cs="宋体"/>
          <w:color w:val="222222"/>
          <w:kern w:val="0"/>
          <w:sz w:val="32"/>
          <w:szCs w:val="32"/>
        </w:rPr>
        <w:t>自治区财政厅严格依照中央和自治区人民政府相关规定和要求，始终坚持宣传工作重点围绕人民群众所思所盼所想，不断巩固和壮大主流思想舆论，弘扬社会主旋律，传播社会正能量，始终坚持正确的社会舆论导向。通过门户网站和微信公众平台等新媒体，大力宣传党的政策，转发中央和财政部最新新闻、财经政策等；公开财政厅印发的惠民利民政策并解读，同时对相关政策的执行情况予以公示；坚持公开政府部门服务信息，让老百姓少跑腿、好办事。财政厅信息发布严格执行信息发布审查制度，确保上网信息不涉密、不违规。在宣传质量和水平上下功夫，不断推进自治区财政系统宣传工作健康发展。</w:t>
      </w:r>
    </w:p>
    <w:p>
      <w:pPr>
        <w:widowControl/>
        <w:spacing w:line="560" w:lineRule="exact"/>
        <w:ind w:firstLine="643"/>
        <w:textAlignment w:val="baseline"/>
        <w:rPr>
          <w:rFonts w:ascii="仿宋_GB2312" w:hAnsi="宋体" w:eastAsia="仿宋_GB2312" w:cs="宋体"/>
          <w:b/>
          <w:bCs/>
          <w:kern w:val="0"/>
          <w:sz w:val="32"/>
          <w:szCs w:val="32"/>
          <w:shd w:val="clear" w:color="auto" w:fill="FFFFFF"/>
        </w:rPr>
      </w:pPr>
      <w:r>
        <w:rPr>
          <w:rFonts w:hint="eastAsia" w:ascii="楷体" w:hAnsi="楷体" w:eastAsia="楷体" w:cs="宋体"/>
          <w:b/>
          <w:bCs/>
          <w:kern w:val="0"/>
          <w:sz w:val="32"/>
          <w:szCs w:val="32"/>
          <w:shd w:val="clear" w:color="auto" w:fill="FFFFFF"/>
        </w:rPr>
        <w:t>（四）加强平台建设和政府信息管理</w:t>
      </w:r>
    </w:p>
    <w:p>
      <w:pPr>
        <w:widowControl/>
        <w:spacing w:line="560" w:lineRule="exact"/>
        <w:ind w:firstLine="643"/>
        <w:textAlignment w:val="baseline"/>
        <w:rPr>
          <w:rFonts w:ascii="宋体" w:hAnsi="宋体" w:eastAsia="宋体" w:cs="宋体"/>
          <w:kern w:val="0"/>
          <w:sz w:val="24"/>
          <w:szCs w:val="24"/>
        </w:rPr>
      </w:pPr>
      <w:r>
        <w:rPr>
          <w:rFonts w:hint="eastAsia" w:ascii="仿宋_GB2312" w:hAnsi="宋体" w:eastAsia="仿宋_GB2312" w:cs="宋体"/>
          <w:color w:val="000000"/>
          <w:kern w:val="0"/>
          <w:sz w:val="32"/>
          <w:szCs w:val="32"/>
        </w:rPr>
        <w:t>依据《中华人民共和国</w:t>
      </w:r>
      <w:r>
        <w:rPr>
          <w:rFonts w:hint="eastAsia" w:ascii="仿宋_GB2312" w:hAnsi="宋体" w:eastAsia="仿宋_GB2312" w:cs="宋体"/>
          <w:kern w:val="0"/>
          <w:sz w:val="32"/>
          <w:szCs w:val="32"/>
          <w:lang w:eastAsia="zh-CN"/>
        </w:rPr>
        <w:t>政府</w:t>
      </w:r>
      <w:r>
        <w:rPr>
          <w:rFonts w:hint="eastAsia" w:ascii="仿宋_GB2312" w:hAnsi="宋体" w:eastAsia="仿宋_GB2312" w:cs="宋体"/>
          <w:color w:val="000000"/>
          <w:kern w:val="0"/>
          <w:sz w:val="32"/>
          <w:szCs w:val="32"/>
        </w:rPr>
        <w:t>信息公开条例》对政府信息公开做出的相关规定和要求，财政厅明确政府信息发布审核流程，严格按照“三审三校”原则，加强政府信息公开内容审核，落实信息公开责任。自治区人民政府网站集约化建设后，遵循《国务院办公厅关于印发政府网站发展指引的通知》《国务院办公厅政府信息</w:t>
      </w:r>
      <w:bookmarkStart w:id="2" w:name="_GoBack"/>
      <w:bookmarkEnd w:id="2"/>
      <w:r>
        <w:rPr>
          <w:rFonts w:hint="eastAsia" w:ascii="仿宋_GB2312" w:hAnsi="宋体" w:eastAsia="仿宋_GB2312" w:cs="宋体"/>
          <w:color w:val="000000"/>
          <w:kern w:val="0"/>
          <w:sz w:val="32"/>
          <w:szCs w:val="32"/>
        </w:rPr>
        <w:t>与政务公开办公室关于规范政府信息公开平台有关事项的通知》和自治区人民政府对政务公开工作的有关要求，财政厅对原有不符合规范的栏目和页面及时进行了调整完善，确保门户网站功能健全，内容更新及时。</w:t>
      </w:r>
    </w:p>
    <w:p>
      <w:pPr>
        <w:widowControl/>
        <w:spacing w:line="560" w:lineRule="exact"/>
        <w:ind w:firstLine="643"/>
        <w:textAlignment w:val="baseline"/>
        <w:rPr>
          <w:rFonts w:ascii="仿宋_GB2312" w:hAnsi="宋体" w:eastAsia="仿宋_GB2312" w:cs="宋体"/>
          <w:b/>
          <w:bCs/>
          <w:kern w:val="0"/>
          <w:sz w:val="32"/>
          <w:szCs w:val="32"/>
          <w:shd w:val="clear" w:color="auto" w:fill="FFFFFF"/>
        </w:rPr>
      </w:pPr>
      <w:r>
        <w:rPr>
          <w:rFonts w:hint="eastAsia" w:ascii="楷体" w:hAnsi="楷体" w:eastAsia="楷体" w:cs="宋体"/>
          <w:b/>
          <w:bCs/>
          <w:kern w:val="0"/>
          <w:sz w:val="32"/>
          <w:szCs w:val="32"/>
          <w:shd w:val="clear" w:color="auto" w:fill="FFFFFF"/>
        </w:rPr>
        <w:t>（五）</w:t>
      </w:r>
      <w:r>
        <w:rPr>
          <w:rFonts w:hint="eastAsia" w:ascii="仿宋_GB2312" w:hAnsi="宋体" w:eastAsia="仿宋_GB2312" w:cs="宋体"/>
          <w:b/>
          <w:bCs/>
          <w:kern w:val="0"/>
          <w:sz w:val="32"/>
          <w:szCs w:val="32"/>
          <w:shd w:val="clear" w:color="auto" w:fill="FFFFFF"/>
        </w:rPr>
        <w:t>加强督促检查</w:t>
      </w:r>
    </w:p>
    <w:p>
      <w:pPr>
        <w:widowControl/>
        <w:spacing w:line="560" w:lineRule="exact"/>
        <w:ind w:firstLine="643"/>
        <w:textAlignment w:val="baseline"/>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认真制定《关于做好财政厅政府信息公开工作的意见》，将政府信息公开工作情况纳入考核范围，进一步加大政府信息公开工作考核评议、责任追究和监督奖惩力度。厅办公室通过定期调研指导财政服务窗口、召开政务公开工作联络员会议、组织开展专项政务公开检查等形式，总结工作开展情况，分析工作中存在的问题，采取积极有效措施，确保工作顺利推进。</w:t>
      </w:r>
    </w:p>
    <w:p>
      <w:pPr>
        <w:widowControl/>
        <w:spacing w:line="560" w:lineRule="exact"/>
        <w:ind w:firstLine="643"/>
        <w:textAlignment w:val="baseline"/>
        <w:rPr>
          <w:rFonts w:ascii="仿宋_GB2312" w:hAnsi="宋体" w:eastAsia="仿宋_GB2312" w:cs="宋体"/>
          <w:kern w:val="0"/>
          <w:sz w:val="32"/>
          <w:szCs w:val="32"/>
          <w:shd w:val="clear" w:color="auto" w:fill="FFFFFF"/>
        </w:rPr>
      </w:pPr>
    </w:p>
    <w:p>
      <w:pPr>
        <w:widowControl/>
        <w:spacing w:line="560" w:lineRule="exact"/>
        <w:ind w:firstLine="643"/>
        <w:textAlignment w:val="baseline"/>
        <w:rPr>
          <w:rFonts w:ascii="仿宋_GB2312" w:hAnsi="宋体" w:eastAsia="仿宋_GB2312" w:cs="宋体"/>
          <w:kern w:val="0"/>
          <w:sz w:val="32"/>
          <w:szCs w:val="32"/>
          <w:shd w:val="clear" w:color="auto" w:fill="FFFFFF"/>
        </w:rPr>
      </w:pPr>
    </w:p>
    <w:p>
      <w:pPr>
        <w:widowControl/>
        <w:spacing w:beforeLines="50" w:afterLines="50" w:line="520" w:lineRule="atLeast"/>
        <w:ind w:firstLine="578"/>
        <w:rPr>
          <w:rFonts w:ascii="宋体" w:hAnsi="宋体" w:eastAsia="宋体" w:cs="宋体"/>
          <w:kern w:val="0"/>
          <w:sz w:val="24"/>
          <w:szCs w:val="24"/>
        </w:rPr>
      </w:pPr>
      <w:r>
        <w:rPr>
          <w:rFonts w:hint="eastAsia" w:ascii="黑体" w:hAnsi="黑体" w:eastAsia="黑体" w:cs="宋体"/>
          <w:kern w:val="0"/>
          <w:sz w:val="32"/>
          <w:szCs w:val="32"/>
        </w:rPr>
        <w:t>二、主动公开政府信息情况</w:t>
      </w:r>
    </w:p>
    <w:tbl>
      <w:tblPr>
        <w:tblStyle w:val="8"/>
        <w:tblW w:w="84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894"/>
        <w:gridCol w:w="2237"/>
        <w:gridCol w:w="1596"/>
        <w:gridCol w:w="17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8455" w:type="dxa"/>
            <w:gridSpan w:val="4"/>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第二十条第（一）项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本年新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制作数量</w:t>
            </w:r>
          </w:p>
        </w:tc>
        <w:tc>
          <w:tcPr>
            <w:tcW w:w="159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本年新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公开数量</w:t>
            </w:r>
          </w:p>
        </w:tc>
        <w:tc>
          <w:tcPr>
            <w:tcW w:w="1728"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对外公开总数量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rPr>
                <w:rFonts w:ascii="宋体" w:hAnsi="宋体" w:eastAsia="宋体" w:cs="宋体"/>
                <w:kern w:val="0"/>
                <w:sz w:val="24"/>
                <w:szCs w:val="24"/>
              </w:rPr>
            </w:pPr>
            <w:r>
              <w:rPr>
                <w:rFonts w:hint="eastAsia" w:ascii="宋体" w:hAnsi="宋体" w:eastAsia="宋体" w:cs="宋体"/>
                <w:kern w:val="0"/>
                <w:sz w:val="24"/>
                <w:szCs w:val="24"/>
              </w:rPr>
              <w:t>规章</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9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728"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182" w:lineRule="atLeast"/>
              <w:rPr>
                <w:rFonts w:ascii="宋体" w:hAnsi="宋体" w:eastAsia="宋体" w:cs="宋体"/>
                <w:kern w:val="0"/>
                <w:sz w:val="24"/>
                <w:szCs w:val="24"/>
              </w:rPr>
            </w:pPr>
            <w:r>
              <w:rPr>
                <w:rFonts w:hint="eastAsia" w:ascii="宋体" w:hAnsi="宋体" w:eastAsia="宋体" w:cs="宋体"/>
                <w:kern w:val="0"/>
                <w:sz w:val="24"/>
                <w:szCs w:val="24"/>
              </w:rPr>
              <w:t>规范性文件</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82" w:lineRule="atLeas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59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82" w:lineRule="atLeas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728"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82" w:lineRule="atLeast"/>
              <w:jc w:val="center"/>
              <w:rPr>
                <w:rFonts w:ascii="宋体" w:hAnsi="宋体" w:eastAsia="宋体" w:cs="宋体"/>
                <w:kern w:val="0"/>
                <w:sz w:val="24"/>
                <w:szCs w:val="24"/>
              </w:rPr>
            </w:pPr>
            <w:r>
              <w:rPr>
                <w:rFonts w:hint="eastAsia" w:ascii="宋体" w:hAnsi="宋体" w:eastAsia="宋体" w:cs="宋体"/>
                <w:kern w:val="0"/>
                <w:sz w:val="24"/>
                <w:szCs w:val="24"/>
              </w:rPr>
              <w:t>94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8455"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第二十条第（五）项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54" w:lineRule="atLeas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54" w:lineRule="atLeast"/>
              <w:jc w:val="center"/>
              <w:rPr>
                <w:rFonts w:ascii="宋体" w:hAnsi="宋体" w:eastAsia="宋体" w:cs="宋体"/>
                <w:kern w:val="0"/>
                <w:sz w:val="24"/>
                <w:szCs w:val="24"/>
              </w:rPr>
            </w:pPr>
            <w:r>
              <w:rPr>
                <w:rFonts w:hint="eastAsia" w:ascii="宋体" w:hAnsi="宋体" w:eastAsia="宋体" w:cs="宋体"/>
                <w:kern w:val="0"/>
                <w:sz w:val="24"/>
                <w:szCs w:val="24"/>
              </w:rPr>
              <w:t>上一年项目数量</w:t>
            </w:r>
          </w:p>
        </w:tc>
        <w:tc>
          <w:tcPr>
            <w:tcW w:w="159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4" w:lineRule="atLeast"/>
              <w:jc w:val="center"/>
              <w:rPr>
                <w:rFonts w:ascii="宋体" w:hAnsi="宋体" w:eastAsia="宋体" w:cs="宋体"/>
                <w:kern w:val="0"/>
                <w:sz w:val="24"/>
                <w:szCs w:val="24"/>
              </w:rPr>
            </w:pPr>
            <w:r>
              <w:rPr>
                <w:rFonts w:hint="eastAsia" w:ascii="宋体" w:hAnsi="宋体" w:eastAsia="宋体" w:cs="宋体"/>
                <w:kern w:val="0"/>
                <w:sz w:val="24"/>
                <w:szCs w:val="24"/>
              </w:rPr>
              <w:t>本年增/减</w:t>
            </w:r>
          </w:p>
        </w:tc>
        <w:tc>
          <w:tcPr>
            <w:tcW w:w="1728"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54" w:lineRule="atLeast"/>
              <w:jc w:val="center"/>
              <w:rPr>
                <w:rFonts w:ascii="宋体" w:hAnsi="宋体" w:eastAsia="宋体" w:cs="宋体"/>
                <w:kern w:val="0"/>
                <w:sz w:val="24"/>
                <w:szCs w:val="24"/>
              </w:rPr>
            </w:pPr>
            <w:r>
              <w:rPr>
                <w:rFonts w:hint="eastAsia" w:ascii="宋体" w:hAnsi="宋体" w:eastAsia="宋体" w:cs="宋体"/>
                <w:kern w:val="0"/>
                <w:sz w:val="24"/>
                <w:szCs w:val="24"/>
              </w:rPr>
              <w:t>处理决定数量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2"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174" w:lineRule="atLeast"/>
              <w:rPr>
                <w:rFonts w:ascii="宋体" w:hAnsi="宋体" w:eastAsia="宋体" w:cs="宋体"/>
                <w:kern w:val="0"/>
                <w:sz w:val="24"/>
                <w:szCs w:val="24"/>
              </w:rPr>
            </w:pPr>
            <w:r>
              <w:rPr>
                <w:rFonts w:hint="eastAsia" w:ascii="宋体" w:hAnsi="宋体" w:eastAsia="宋体" w:cs="宋体"/>
                <w:kern w:val="0"/>
                <w:sz w:val="24"/>
                <w:szCs w:val="24"/>
              </w:rPr>
              <w:t>行政许可</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74"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96"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74"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728"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74" w:lineRule="atLeast"/>
              <w:jc w:val="center"/>
              <w:rPr>
                <w:rFonts w:ascii="宋体" w:hAnsi="宋体" w:eastAsia="宋体" w:cs="宋体"/>
                <w:kern w:val="0"/>
                <w:sz w:val="24"/>
                <w:szCs w:val="24"/>
              </w:rPr>
            </w:pPr>
            <w:r>
              <w:rPr>
                <w:rFonts w:hint="eastAsia" w:ascii="宋体" w:hAnsi="宋体" w:eastAsia="宋体" w:cs="宋体"/>
                <w:kern w:val="0"/>
                <w:sz w:val="24"/>
                <w:szCs w:val="24"/>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182" w:lineRule="atLeast"/>
              <w:rPr>
                <w:rFonts w:ascii="宋体" w:hAnsi="宋体" w:eastAsia="宋体" w:cs="宋体"/>
                <w:kern w:val="0"/>
                <w:sz w:val="24"/>
                <w:szCs w:val="24"/>
              </w:rPr>
            </w:pPr>
            <w:r>
              <w:rPr>
                <w:rFonts w:hint="eastAsia" w:ascii="宋体" w:hAnsi="宋体" w:eastAsia="宋体" w:cs="宋体"/>
                <w:kern w:val="0"/>
                <w:sz w:val="24"/>
                <w:szCs w:val="24"/>
              </w:rPr>
              <w:t>其他对外管理服务事项</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82"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96"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82"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728"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82"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8455"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第二十条第（六）项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上一年项目数量</w:t>
            </w:r>
          </w:p>
        </w:tc>
        <w:tc>
          <w:tcPr>
            <w:tcW w:w="159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本年增/减</w:t>
            </w:r>
          </w:p>
        </w:tc>
        <w:tc>
          <w:tcPr>
            <w:tcW w:w="1728"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处理决定数量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rPr>
                <w:rFonts w:ascii="宋体" w:hAnsi="宋体" w:eastAsia="宋体" w:cs="宋体"/>
                <w:kern w:val="0"/>
                <w:sz w:val="24"/>
                <w:szCs w:val="24"/>
              </w:rPr>
            </w:pPr>
            <w:r>
              <w:rPr>
                <w:rFonts w:hint="eastAsia" w:ascii="宋体" w:hAnsi="宋体" w:eastAsia="宋体" w:cs="宋体"/>
                <w:kern w:val="0"/>
                <w:sz w:val="24"/>
                <w:szCs w:val="24"/>
              </w:rPr>
              <w:t>行政处罚</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96"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728"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6"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rPr>
                <w:rFonts w:ascii="宋体" w:hAnsi="宋体" w:eastAsia="宋体" w:cs="宋体"/>
                <w:kern w:val="0"/>
                <w:sz w:val="24"/>
                <w:szCs w:val="24"/>
              </w:rPr>
            </w:pPr>
            <w:r>
              <w:rPr>
                <w:rFonts w:hint="eastAsia" w:ascii="宋体" w:hAnsi="宋体" w:eastAsia="宋体" w:cs="宋体"/>
                <w:kern w:val="0"/>
                <w:sz w:val="24"/>
                <w:szCs w:val="24"/>
              </w:rPr>
              <w:t>行政强制</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ascii="宋体" w:hAnsi="宋体" w:eastAsia="宋体" w:cs="宋体"/>
                <w:kern w:val="0"/>
                <w:sz w:val="24"/>
                <w:szCs w:val="24"/>
              </w:rPr>
              <w:t>0</w:t>
            </w:r>
          </w:p>
        </w:tc>
        <w:tc>
          <w:tcPr>
            <w:tcW w:w="1596"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ascii="宋体" w:hAnsi="宋体" w:eastAsia="宋体" w:cs="宋体"/>
                <w:kern w:val="0"/>
                <w:sz w:val="24"/>
                <w:szCs w:val="24"/>
              </w:rPr>
              <w:t>0</w:t>
            </w:r>
          </w:p>
        </w:tc>
        <w:tc>
          <w:tcPr>
            <w:tcW w:w="1728"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ascii="宋体" w:hAnsi="宋体" w:eastAsia="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455"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48" w:lineRule="atLeast"/>
              <w:jc w:val="center"/>
              <w:rPr>
                <w:rFonts w:ascii="宋体" w:hAnsi="宋体" w:eastAsia="宋体" w:cs="宋体"/>
                <w:kern w:val="0"/>
                <w:sz w:val="24"/>
                <w:szCs w:val="24"/>
              </w:rPr>
            </w:pPr>
            <w:r>
              <w:rPr>
                <w:rFonts w:hint="eastAsia" w:ascii="宋体" w:hAnsi="宋体" w:eastAsia="宋体" w:cs="宋体"/>
                <w:kern w:val="0"/>
                <w:sz w:val="24"/>
                <w:szCs w:val="24"/>
              </w:rPr>
              <w:t>第二十条第（八）项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上一年项目数量</w:t>
            </w:r>
          </w:p>
        </w:tc>
        <w:tc>
          <w:tcPr>
            <w:tcW w:w="3324" w:type="dxa"/>
            <w:gridSpan w:val="2"/>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本年增/减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114" w:lineRule="atLeast"/>
              <w:rPr>
                <w:rFonts w:ascii="宋体" w:hAnsi="宋体" w:eastAsia="宋体" w:cs="宋体"/>
                <w:kern w:val="0"/>
                <w:sz w:val="24"/>
                <w:szCs w:val="24"/>
              </w:rPr>
            </w:pPr>
            <w:r>
              <w:rPr>
                <w:rFonts w:hint="eastAsia" w:ascii="宋体" w:hAnsi="宋体" w:eastAsia="宋体" w:cs="宋体"/>
                <w:kern w:val="0"/>
                <w:sz w:val="24"/>
                <w:szCs w:val="24"/>
              </w:rPr>
              <w:t>行政事业性收费</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14" w:lineRule="atLeast"/>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3324" w:type="dxa"/>
            <w:gridSpan w:val="2"/>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14"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8455"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48" w:lineRule="atLeast"/>
              <w:jc w:val="center"/>
              <w:rPr>
                <w:rFonts w:ascii="宋体" w:hAnsi="宋体" w:eastAsia="宋体" w:cs="宋体"/>
                <w:kern w:val="0"/>
                <w:sz w:val="24"/>
                <w:szCs w:val="24"/>
              </w:rPr>
            </w:pPr>
            <w:r>
              <w:rPr>
                <w:rFonts w:hint="eastAsia" w:ascii="宋体" w:hAnsi="宋体" w:eastAsia="宋体" w:cs="宋体"/>
                <w:kern w:val="0"/>
                <w:sz w:val="24"/>
                <w:szCs w:val="24"/>
              </w:rPr>
              <w:t>第二十条第（九）项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7"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179" w:lineRule="atLeas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79" w:lineRule="atLeast"/>
              <w:jc w:val="center"/>
              <w:rPr>
                <w:rFonts w:ascii="宋体" w:hAnsi="宋体" w:eastAsia="宋体" w:cs="宋体"/>
                <w:kern w:val="0"/>
                <w:sz w:val="24"/>
                <w:szCs w:val="24"/>
              </w:rPr>
            </w:pPr>
            <w:r>
              <w:rPr>
                <w:rFonts w:hint="eastAsia" w:ascii="宋体" w:hAnsi="宋体" w:eastAsia="宋体" w:cs="宋体"/>
                <w:kern w:val="0"/>
                <w:sz w:val="24"/>
                <w:szCs w:val="24"/>
              </w:rPr>
              <w:t>采购项目数量</w:t>
            </w:r>
          </w:p>
        </w:tc>
        <w:tc>
          <w:tcPr>
            <w:tcW w:w="3324" w:type="dxa"/>
            <w:gridSpan w:val="2"/>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179" w:lineRule="atLeast"/>
              <w:jc w:val="center"/>
              <w:rPr>
                <w:rFonts w:ascii="宋体" w:hAnsi="宋体" w:eastAsia="宋体" w:cs="宋体"/>
                <w:kern w:val="0"/>
                <w:sz w:val="24"/>
                <w:szCs w:val="24"/>
              </w:rPr>
            </w:pPr>
            <w:r>
              <w:rPr>
                <w:rFonts w:hint="eastAsia" w:ascii="宋体" w:hAnsi="宋体" w:eastAsia="宋体" w:cs="宋体"/>
                <w:kern w:val="0"/>
                <w:sz w:val="24"/>
                <w:szCs w:val="24"/>
              </w:rPr>
              <w:t>采购总金额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2894"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line="300" w:lineRule="atLeast"/>
              <w:rPr>
                <w:rFonts w:ascii="宋体" w:hAnsi="宋体" w:eastAsia="宋体" w:cs="宋体"/>
                <w:kern w:val="0"/>
                <w:sz w:val="24"/>
                <w:szCs w:val="24"/>
              </w:rPr>
            </w:pPr>
            <w:r>
              <w:rPr>
                <w:rFonts w:hint="eastAsia" w:ascii="宋体" w:hAnsi="宋体" w:eastAsia="宋体" w:cs="宋体"/>
                <w:kern w:val="0"/>
                <w:sz w:val="24"/>
                <w:szCs w:val="24"/>
              </w:rPr>
              <w:t>政府集中采购</w:t>
            </w:r>
          </w:p>
        </w:tc>
        <w:tc>
          <w:tcPr>
            <w:tcW w:w="2237" w:type="dxa"/>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324" w:type="dxa"/>
            <w:gridSpan w:val="2"/>
            <w:tcBorders>
              <w:top w:val="nil"/>
              <w:left w:val="nil"/>
              <w:bottom w:val="single" w:color="auto" w:sz="8" w:space="0"/>
              <w:right w:val="single" w:color="auto" w:sz="8" w:space="0"/>
            </w:tcBorders>
            <w:noWrap/>
            <w:tcMar>
              <w:top w:w="0" w:type="dxa"/>
              <w:left w:w="108" w:type="dxa"/>
              <w:bottom w:w="0" w:type="dxa"/>
              <w:right w:w="108" w:type="dxa"/>
            </w:tcMa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4"/>
                <w:szCs w:val="24"/>
              </w:rPr>
              <w:t>295万元</w:t>
            </w:r>
          </w:p>
        </w:tc>
      </w:tr>
    </w:tbl>
    <w:p>
      <w:pPr>
        <w:widowControl/>
        <w:spacing w:beforeLines="50" w:afterLines="50" w:line="520" w:lineRule="atLeast"/>
        <w:ind w:firstLine="578"/>
        <w:rPr>
          <w:rFonts w:ascii="黑体" w:hAnsi="黑体" w:eastAsia="黑体" w:cs="宋体"/>
          <w:kern w:val="0"/>
          <w:sz w:val="32"/>
          <w:szCs w:val="32"/>
        </w:rPr>
      </w:pPr>
      <w:r>
        <w:rPr>
          <w:rFonts w:hint="eastAsia" w:ascii="黑体" w:hAnsi="黑体" w:eastAsia="黑体" w:cs="宋体"/>
          <w:kern w:val="0"/>
          <w:sz w:val="32"/>
          <w:szCs w:val="32"/>
        </w:rPr>
        <w:t>三、收到和处理政府信息公开申请情况</w:t>
      </w:r>
    </w:p>
    <w:tbl>
      <w:tblPr>
        <w:tblStyle w:val="8"/>
        <w:tblW w:w="89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79"/>
        <w:gridCol w:w="851"/>
        <w:gridCol w:w="3426"/>
        <w:gridCol w:w="514"/>
        <w:gridCol w:w="683"/>
        <w:gridCol w:w="683"/>
        <w:gridCol w:w="683"/>
        <w:gridCol w:w="683"/>
        <w:gridCol w:w="464"/>
        <w:gridCol w:w="5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4756"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422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申请人情况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756"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kern w:val="0"/>
                <w:sz w:val="24"/>
                <w:szCs w:val="24"/>
              </w:rPr>
            </w:pPr>
          </w:p>
        </w:tc>
        <w:tc>
          <w:tcPr>
            <w:tcW w:w="5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宋体" w:hAnsi="宋体" w:eastAsia="宋体" w:cs="宋体"/>
                <w:spacing w:val="-12"/>
                <w:kern w:val="0"/>
                <w:sz w:val="24"/>
                <w:szCs w:val="24"/>
              </w:rPr>
              <w:t>自然人</w:t>
            </w:r>
          </w:p>
        </w:tc>
        <w:tc>
          <w:tcPr>
            <w:tcW w:w="3196"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法人或其他组织</w:t>
            </w:r>
          </w:p>
        </w:tc>
        <w:tc>
          <w:tcPr>
            <w:tcW w:w="5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宋体" w:hAnsi="宋体" w:eastAsia="宋体" w:cs="宋体"/>
                <w:spacing w:val="-12"/>
                <w:kern w:val="0"/>
                <w:sz w:val="24"/>
                <w:szCs w:val="24"/>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4" w:hRule="atLeast"/>
          <w:jc w:val="center"/>
        </w:trPr>
        <w:tc>
          <w:tcPr>
            <w:tcW w:w="4756"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kern w:val="0"/>
                <w:sz w:val="24"/>
                <w:szCs w:val="24"/>
              </w:rPr>
            </w:pPr>
          </w:p>
        </w:tc>
        <w:tc>
          <w:tcPr>
            <w:tcW w:w="514"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宋体" w:hAnsi="宋体" w:eastAsia="宋体" w:cs="宋体"/>
                <w:spacing w:val="-12"/>
                <w:kern w:val="0"/>
                <w:sz w:val="24"/>
                <w:szCs w:val="24"/>
              </w:rPr>
              <w:t>商业企业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宋体" w:hAnsi="宋体" w:eastAsia="宋体" w:cs="宋体"/>
                <w:spacing w:val="-12"/>
                <w:kern w:val="0"/>
                <w:sz w:val="24"/>
                <w:szCs w:val="24"/>
              </w:rPr>
              <w:t>科研机构</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宋体" w:hAnsi="宋体" w:eastAsia="宋体" w:cs="宋体"/>
                <w:spacing w:val="-12"/>
                <w:kern w:val="0"/>
                <w:sz w:val="24"/>
                <w:szCs w:val="24"/>
              </w:rPr>
              <w:t>社会公益组织</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宋体" w:hAnsi="宋体" w:eastAsia="宋体" w:cs="宋体"/>
                <w:spacing w:val="-12"/>
                <w:kern w:val="0"/>
                <w:sz w:val="24"/>
                <w:szCs w:val="24"/>
              </w:rPr>
              <w:t>法律服务机构</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宋体" w:hAnsi="宋体" w:eastAsia="宋体" w:cs="宋体"/>
                <w:spacing w:val="-12"/>
                <w:kern w:val="0"/>
                <w:sz w:val="24"/>
                <w:szCs w:val="24"/>
              </w:rPr>
              <w:t>其他</w:t>
            </w:r>
          </w:p>
        </w:tc>
        <w:tc>
          <w:tcPr>
            <w:tcW w:w="514"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2" w:hRule="atLeast"/>
          <w:jc w:val="center"/>
        </w:trPr>
        <w:tc>
          <w:tcPr>
            <w:tcW w:w="47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1</w:t>
            </w:r>
            <w:r>
              <w:rPr>
                <w:rFonts w:hint="eastAsia" w:ascii="宋体" w:hAnsi="宋体" w:eastAsia="宋体" w:cs="宋体"/>
                <w:spacing w:val="-12"/>
                <w:kern w:val="0"/>
                <w:sz w:val="24"/>
                <w:szCs w:val="24"/>
              </w:rPr>
              <w:t>2</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1</w:t>
            </w:r>
            <w:r>
              <w:rPr>
                <w:rFonts w:hint="eastAsia" w:ascii="宋体" w:hAnsi="宋体" w:eastAsia="宋体" w:cs="宋体"/>
                <w:spacing w:val="-12"/>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47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三、本年度办理结果</w:t>
            </w:r>
          </w:p>
        </w:tc>
        <w:tc>
          <w:tcPr>
            <w:tcW w:w="4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（一）予以公开</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1</w:t>
            </w:r>
            <w:r>
              <w:rPr>
                <w:rFonts w:hint="eastAsia" w:ascii="宋体" w:hAnsi="宋体" w:eastAsia="宋体" w:cs="宋体"/>
                <w:spacing w:val="-12"/>
                <w:kern w:val="0"/>
                <w:sz w:val="24"/>
                <w:szCs w:val="24"/>
              </w:rPr>
              <w:t>1</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1</w:t>
            </w:r>
            <w:r>
              <w:rPr>
                <w:rFonts w:hint="eastAsia" w:ascii="宋体" w:hAnsi="宋体" w:eastAsia="宋体" w:cs="宋体"/>
                <w:spacing w:val="-12"/>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4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（二）部分公开（区分处理的，只计这一情形，不计其他情形）</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楷体" w:hAnsi="楷体" w:eastAsia="楷体" w:cs="宋体"/>
                <w:spacing w:val="-12"/>
                <w:kern w:val="0"/>
                <w:sz w:val="24"/>
                <w:szCs w:val="24"/>
              </w:rPr>
              <w:t>（三）不予公开</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1.属于国家秘密</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2.其他法律行政法规禁止公开</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3.危及“三安全一稳定”</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4.保护第三方合法权益</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5.属于三类内部事务信息</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6.属于四类过程性信息</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7.属于行政执法案卷</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0" w:hRule="atLeast"/>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8.属于行政查询事项</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7" w:hRule="atLeast"/>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楷体" w:hAnsi="楷体" w:eastAsia="楷体" w:cs="宋体"/>
                <w:spacing w:val="-12"/>
                <w:kern w:val="0"/>
                <w:sz w:val="24"/>
                <w:szCs w:val="24"/>
              </w:rPr>
              <w:t>（四）无法提供</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1.本机关不掌握相关政府信息</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2"/>
                <w:szCs w:val="24"/>
              </w:rPr>
              <w:t>1</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2.没有现成信息需要另行制作</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3.补正后申请内容仍不明确</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楷体" w:hAnsi="楷体" w:eastAsia="楷体" w:cs="宋体"/>
                <w:spacing w:val="-12"/>
                <w:kern w:val="0"/>
                <w:sz w:val="24"/>
                <w:szCs w:val="24"/>
              </w:rPr>
              <w:t>（五）不予处理</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1.信访举报投诉类申请</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2.重复申请</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3.要求提供公开出版物</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4.无正当理由大量反复申请</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851" w:type="dxa"/>
            <w:vMerge w:val="continue"/>
            <w:tcBorders>
              <w:top w:val="nil"/>
              <w:left w:val="nil"/>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5.要求行政机关确认或重新出具已获取信息</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4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（六）其他处理</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 w:hRule="atLeast"/>
          <w:jc w:val="center"/>
        </w:trPr>
        <w:tc>
          <w:tcPr>
            <w:tcW w:w="479" w:type="dxa"/>
            <w:vMerge w:val="continue"/>
            <w:tcBorders>
              <w:top w:val="nil"/>
              <w:left w:val="single" w:color="auto" w:sz="8" w:space="0"/>
              <w:bottom w:val="single" w:color="auto" w:sz="8" w:space="0"/>
              <w:right w:val="single" w:color="auto" w:sz="8" w:space="0"/>
            </w:tcBorders>
            <w:vAlign w:val="center"/>
          </w:tcPr>
          <w:p>
            <w:pPr>
              <w:widowControl/>
              <w:spacing w:line="240" w:lineRule="atLeast"/>
              <w:rPr>
                <w:rFonts w:ascii="宋体" w:hAnsi="宋体" w:eastAsia="宋体" w:cs="宋体"/>
                <w:spacing w:val="-12"/>
                <w:kern w:val="0"/>
                <w:sz w:val="24"/>
                <w:szCs w:val="24"/>
              </w:rPr>
            </w:pPr>
          </w:p>
        </w:tc>
        <w:tc>
          <w:tcPr>
            <w:tcW w:w="4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spacing w:val="-12"/>
                <w:kern w:val="0"/>
                <w:sz w:val="24"/>
                <w:szCs w:val="24"/>
              </w:rPr>
            </w:pPr>
            <w:r>
              <w:rPr>
                <w:rFonts w:hint="eastAsia" w:ascii="楷体" w:hAnsi="楷体" w:eastAsia="楷体" w:cs="宋体"/>
                <w:spacing w:val="-12"/>
                <w:kern w:val="0"/>
                <w:sz w:val="24"/>
                <w:szCs w:val="24"/>
              </w:rPr>
              <w:t>（七）总计</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1</w:t>
            </w:r>
            <w:r>
              <w:rPr>
                <w:rFonts w:hint="eastAsia" w:ascii="宋体" w:hAnsi="宋体" w:eastAsia="宋体" w:cs="宋体"/>
                <w:spacing w:val="-12"/>
                <w:kern w:val="0"/>
                <w:sz w:val="24"/>
                <w:szCs w:val="24"/>
              </w:rPr>
              <w:t>2</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1</w:t>
            </w:r>
            <w:r>
              <w:rPr>
                <w:rFonts w:hint="eastAsia" w:ascii="宋体" w:hAnsi="宋体" w:eastAsia="宋体" w:cs="宋体"/>
                <w:spacing w:val="-12"/>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四、结转下年度继续办理</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ascii="宋体" w:hAnsi="宋体" w:eastAsia="宋体" w:cs="宋体"/>
                <w:spacing w:val="-12"/>
                <w:kern w:val="0"/>
                <w:sz w:val="24"/>
                <w:szCs w:val="24"/>
              </w:rPr>
              <w:t>0</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0</w:t>
            </w:r>
          </w:p>
        </w:tc>
      </w:tr>
    </w:tbl>
    <w:p>
      <w:pPr>
        <w:widowControl/>
        <w:spacing w:beforeLines="50" w:afterLines="50" w:line="520" w:lineRule="atLeast"/>
        <w:ind w:firstLine="578"/>
        <w:rPr>
          <w:rFonts w:ascii="黑体" w:hAnsi="黑体" w:eastAsia="黑体" w:cs="宋体"/>
          <w:kern w:val="0"/>
          <w:sz w:val="32"/>
          <w:szCs w:val="32"/>
        </w:rPr>
      </w:pPr>
      <w:r>
        <w:rPr>
          <w:rFonts w:hint="eastAsia" w:ascii="黑体" w:hAnsi="黑体" w:eastAsia="黑体" w:cs="宋体"/>
          <w:kern w:val="0"/>
          <w:sz w:val="32"/>
          <w:szCs w:val="32"/>
        </w:rPr>
        <w:t>四、政府信息公开行政复议、行政诉讼情况</w:t>
      </w:r>
    </w:p>
    <w:tbl>
      <w:tblPr>
        <w:tblStyle w:val="8"/>
        <w:tblW w:w="942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69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行政复议</w:t>
            </w:r>
          </w:p>
        </w:tc>
        <w:tc>
          <w:tcPr>
            <w:tcW w:w="5732"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行政诉讼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结果维持</w:t>
            </w: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结果纠正</w:t>
            </w:r>
          </w:p>
        </w:tc>
        <w:tc>
          <w:tcPr>
            <w:tcW w:w="8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其他结果</w:t>
            </w:r>
          </w:p>
        </w:tc>
        <w:tc>
          <w:tcPr>
            <w:tcW w:w="7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尚未审结</w:t>
            </w:r>
          </w:p>
        </w:tc>
        <w:tc>
          <w:tcPr>
            <w:tcW w:w="45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336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未经复议直接起诉</w:t>
            </w:r>
          </w:p>
        </w:tc>
        <w:tc>
          <w:tcPr>
            <w:tcW w:w="236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复议后起诉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结果维持</w:t>
            </w:r>
          </w:p>
        </w:tc>
        <w:tc>
          <w:tcPr>
            <w:tcW w:w="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结果纠正</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其他结果</w:t>
            </w:r>
          </w:p>
        </w:tc>
        <w:tc>
          <w:tcPr>
            <w:tcW w:w="7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尚未审结</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结果维持</w:t>
            </w:r>
          </w:p>
        </w:tc>
        <w:tc>
          <w:tcPr>
            <w:tcW w:w="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结果纠正</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其他结果</w:t>
            </w:r>
          </w:p>
        </w:tc>
        <w:tc>
          <w:tcPr>
            <w:tcW w:w="4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尚未审结</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宋体" w:hAnsi="宋体" w:eastAsia="宋体" w:cs="宋体"/>
                <w:kern w:val="0"/>
                <w:sz w:val="24"/>
                <w:szCs w:val="24"/>
              </w:rPr>
            </w:pPr>
            <w:r>
              <w:rPr>
                <w:rFonts w:hint="eastAsia" w:ascii="宋体" w:hAnsi="宋体" w:eastAsia="宋体" w:cs="宋体"/>
                <w:kern w:val="0"/>
                <w:sz w:val="24"/>
                <w:szCs w:val="24"/>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8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7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5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4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c>
          <w:tcPr>
            <w:tcW w:w="4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pacing w:beforeLines="50" w:afterLines="50" w:line="520" w:lineRule="atLeast"/>
        <w:ind w:firstLine="578"/>
        <w:rPr>
          <w:rFonts w:ascii="黑体" w:hAnsi="黑体" w:eastAsia="黑体" w:cs="宋体"/>
          <w:kern w:val="0"/>
          <w:sz w:val="32"/>
          <w:szCs w:val="32"/>
        </w:rPr>
      </w:pPr>
      <w:r>
        <w:rPr>
          <w:rFonts w:hint="eastAsia" w:ascii="黑体" w:hAnsi="黑体" w:eastAsia="黑体" w:cs="宋体"/>
          <w:kern w:val="0"/>
          <w:sz w:val="32"/>
          <w:szCs w:val="32"/>
        </w:rPr>
        <w:t>五、存在的主要问题及改进情况</w:t>
      </w:r>
    </w:p>
    <w:p>
      <w:pPr>
        <w:widowControl/>
        <w:spacing w:line="560" w:lineRule="exact"/>
        <w:ind w:firstLine="641"/>
        <w:textAlignment w:val="baseline"/>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在认真做好政务公开工作的同时，我们也在时刻查找不足和短板，目前我们的工作中还存在公开内容不及时的问题，如：人事信息变动未及时在厅门户网站公开，部分公开印发文件未及时在门户网站公开等。针对存在的问题，依据财政厅《关于做好财政厅信息公开工作的意见》的要求，我们进一步改进工作方式，将责任落实到人，及时查漏补缺，较好地完成了2020年财政厅政府信息公开工作，同时对历年已公开的信息开展“回头看”，对不符合要求的内容进行补充和修订。</w:t>
      </w:r>
    </w:p>
    <w:p>
      <w:pPr>
        <w:widowControl/>
        <w:spacing w:line="560" w:lineRule="exact"/>
        <w:ind w:firstLine="641"/>
        <w:textAlignment w:val="baseline"/>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自治区财政厅将进一步提高思想认识，强化工作措施，不断总结经验，查找短板，以认真负责的态度、求真务实的作风，把政务公开工作引向深入。</w:t>
      </w:r>
      <w:r>
        <w:rPr>
          <w:rFonts w:hint="eastAsia" w:ascii="仿宋_GB2312" w:hAnsi="宋体" w:eastAsia="仿宋_GB2312" w:cs="宋体"/>
          <w:b/>
          <w:bCs/>
          <w:kern w:val="0"/>
          <w:sz w:val="32"/>
          <w:szCs w:val="32"/>
          <w:shd w:val="clear" w:color="auto" w:fill="FFFFFF"/>
        </w:rPr>
        <w:t>一是</w:t>
      </w:r>
      <w:r>
        <w:rPr>
          <w:rFonts w:hint="eastAsia" w:ascii="仿宋_GB2312" w:hAnsi="宋体" w:eastAsia="仿宋_GB2312" w:cs="宋体"/>
          <w:kern w:val="0"/>
          <w:sz w:val="32"/>
          <w:szCs w:val="32"/>
          <w:shd w:val="clear" w:color="auto" w:fill="FFFFFF"/>
        </w:rPr>
        <w:t>坚持营造氛围，推动全员参与。定期多层次研究部署政务公开工作，解决工作中存在的问题，加大政府信息公开宣传力度，拓宽干部群众参与途径，努力形成“上下联动、干群互动”的工作格局。</w:t>
      </w:r>
      <w:r>
        <w:rPr>
          <w:rFonts w:hint="eastAsia" w:ascii="仿宋_GB2312" w:hAnsi="宋体" w:eastAsia="仿宋_GB2312" w:cs="宋体"/>
          <w:b/>
          <w:bCs/>
          <w:kern w:val="0"/>
          <w:sz w:val="32"/>
          <w:szCs w:val="32"/>
          <w:shd w:val="clear" w:color="auto" w:fill="FFFFFF"/>
        </w:rPr>
        <w:t>二是</w:t>
      </w:r>
      <w:r>
        <w:rPr>
          <w:rFonts w:hint="eastAsia" w:ascii="仿宋_GB2312" w:hAnsi="宋体" w:eastAsia="仿宋_GB2312" w:cs="宋体"/>
          <w:kern w:val="0"/>
          <w:sz w:val="32"/>
          <w:szCs w:val="32"/>
          <w:shd w:val="clear" w:color="auto" w:fill="FFFFFF"/>
        </w:rPr>
        <w:t>坚持与时俱进，落实落细。认真贯彻国务院、自治区政府信息公开工作部署，不断扩大预决算信息公开范围、细化预算内容，主动公开财政部门重点工作落实情况，让权力在阳光下运行。</w:t>
      </w:r>
      <w:r>
        <w:rPr>
          <w:rFonts w:hint="eastAsia" w:ascii="仿宋_GB2312" w:hAnsi="宋体" w:eastAsia="仿宋_GB2312" w:cs="宋体"/>
          <w:b/>
          <w:bCs/>
          <w:kern w:val="0"/>
          <w:sz w:val="32"/>
          <w:szCs w:val="32"/>
          <w:shd w:val="clear" w:color="auto" w:fill="FFFFFF"/>
        </w:rPr>
        <w:t>三是</w:t>
      </w:r>
      <w:r>
        <w:rPr>
          <w:rFonts w:hint="eastAsia" w:ascii="仿宋_GB2312" w:hAnsi="宋体" w:eastAsia="仿宋_GB2312" w:cs="宋体"/>
          <w:kern w:val="0"/>
          <w:sz w:val="32"/>
          <w:szCs w:val="32"/>
          <w:shd w:val="clear" w:color="auto" w:fill="FFFFFF"/>
        </w:rPr>
        <w:t>坚持统筹兼顾，强化整体推进。把推行政府信息公开与加强保密工作、提高财政业务水平等有机结合，充分调动各方面的积极性，努力形成协调配合、系统联动的工作合力。</w:t>
      </w:r>
    </w:p>
    <w:p>
      <w:pPr>
        <w:widowControl/>
        <w:spacing w:line="560" w:lineRule="exact"/>
        <w:ind w:firstLine="641"/>
        <w:textAlignment w:val="baseline"/>
        <w:rPr>
          <w:rFonts w:ascii="仿宋_GB2312" w:hAnsi="宋体" w:eastAsia="仿宋_GB2312" w:cs="宋体"/>
          <w:kern w:val="0"/>
          <w:sz w:val="32"/>
          <w:szCs w:val="32"/>
          <w:shd w:val="clear" w:color="auto" w:fill="FFFFFF"/>
        </w:rPr>
      </w:pPr>
    </w:p>
    <w:p>
      <w:pPr>
        <w:widowControl/>
        <w:spacing w:line="560" w:lineRule="exact"/>
        <w:ind w:firstLine="641"/>
        <w:textAlignment w:val="baseline"/>
        <w:rPr>
          <w:rFonts w:ascii="仿宋_GB2312" w:hAnsi="宋体" w:eastAsia="仿宋_GB2312" w:cs="宋体"/>
          <w:kern w:val="0"/>
          <w:sz w:val="32"/>
          <w:szCs w:val="32"/>
          <w:shd w:val="clear" w:color="auto" w:fill="FFFFFF"/>
        </w:rPr>
      </w:pPr>
    </w:p>
    <w:p>
      <w:pPr>
        <w:widowControl/>
        <w:spacing w:line="560" w:lineRule="exact"/>
        <w:ind w:firstLine="641"/>
        <w:textAlignment w:val="baseline"/>
        <w:rPr>
          <w:rFonts w:ascii="仿宋_GB2312" w:hAnsi="宋体" w:eastAsia="仿宋_GB2312" w:cs="宋体"/>
          <w:kern w:val="0"/>
          <w:sz w:val="32"/>
          <w:szCs w:val="32"/>
          <w:shd w:val="clear" w:color="auto" w:fill="FFFFFF"/>
        </w:rPr>
      </w:pPr>
    </w:p>
    <w:p>
      <w:pPr>
        <w:widowControl/>
        <w:ind w:right="960"/>
        <w:jc w:val="right"/>
        <w:rPr>
          <w:rFonts w:ascii="宋体" w:hAnsi="宋体" w:eastAsia="宋体" w:cs="宋体"/>
          <w:kern w:val="0"/>
          <w:sz w:val="24"/>
          <w:szCs w:val="24"/>
        </w:rPr>
      </w:pPr>
      <w:r>
        <w:rPr>
          <w:rFonts w:hint="eastAsia" w:ascii="仿宋_GB2312" w:hAnsi="宋体" w:eastAsia="仿宋_GB2312" w:cs="宋体"/>
          <w:kern w:val="0"/>
          <w:sz w:val="32"/>
          <w:szCs w:val="32"/>
          <w:shd w:val="clear" w:color="auto" w:fill="FFFFFF"/>
        </w:rPr>
        <w:t>自治区财政厅</w:t>
      </w:r>
    </w:p>
    <w:p>
      <w:pPr>
        <w:widowControl/>
        <w:ind w:right="480"/>
        <w:jc w:val="right"/>
        <w:rPr>
          <w:rFonts w:ascii="宋体" w:hAnsi="宋体" w:eastAsia="宋体" w:cs="宋体"/>
          <w:kern w:val="0"/>
          <w:sz w:val="24"/>
          <w:szCs w:val="24"/>
        </w:rPr>
      </w:pPr>
      <w:r>
        <w:rPr>
          <w:rFonts w:hint="eastAsia" w:ascii="仿宋_GB2312" w:hAnsi="宋体" w:eastAsia="仿宋_GB2312" w:cs="宋体"/>
          <w:kern w:val="0"/>
          <w:sz w:val="32"/>
          <w:szCs w:val="32"/>
          <w:shd w:val="clear" w:color="auto" w:fill="FFFFFF"/>
        </w:rPr>
        <w:t>2021年1月11日</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BB"/>
    <w:rsid w:val="00012849"/>
    <w:rsid w:val="000156C1"/>
    <w:rsid w:val="000229E5"/>
    <w:rsid w:val="00034765"/>
    <w:rsid w:val="00040C93"/>
    <w:rsid w:val="00076D75"/>
    <w:rsid w:val="000B5F75"/>
    <w:rsid w:val="000E7F23"/>
    <w:rsid w:val="001238A3"/>
    <w:rsid w:val="00141FDC"/>
    <w:rsid w:val="00142F61"/>
    <w:rsid w:val="0015226B"/>
    <w:rsid w:val="00155249"/>
    <w:rsid w:val="00192700"/>
    <w:rsid w:val="001C54E2"/>
    <w:rsid w:val="001D101C"/>
    <w:rsid w:val="001E47A1"/>
    <w:rsid w:val="002140DF"/>
    <w:rsid w:val="00216980"/>
    <w:rsid w:val="00222027"/>
    <w:rsid w:val="002757BB"/>
    <w:rsid w:val="002B204E"/>
    <w:rsid w:val="002B79BF"/>
    <w:rsid w:val="003128F1"/>
    <w:rsid w:val="00322E34"/>
    <w:rsid w:val="0034122B"/>
    <w:rsid w:val="0037004C"/>
    <w:rsid w:val="003931FE"/>
    <w:rsid w:val="003A4446"/>
    <w:rsid w:val="00466915"/>
    <w:rsid w:val="00473CFB"/>
    <w:rsid w:val="0047618B"/>
    <w:rsid w:val="00476D6F"/>
    <w:rsid w:val="00481C27"/>
    <w:rsid w:val="0049307F"/>
    <w:rsid w:val="00496E61"/>
    <w:rsid w:val="004B2A41"/>
    <w:rsid w:val="004C0D86"/>
    <w:rsid w:val="004D3D09"/>
    <w:rsid w:val="0050013F"/>
    <w:rsid w:val="00532948"/>
    <w:rsid w:val="00591E6C"/>
    <w:rsid w:val="005A078E"/>
    <w:rsid w:val="005A2CBD"/>
    <w:rsid w:val="005B7BD9"/>
    <w:rsid w:val="005F45C2"/>
    <w:rsid w:val="005F7E88"/>
    <w:rsid w:val="006506B3"/>
    <w:rsid w:val="00663337"/>
    <w:rsid w:val="00674279"/>
    <w:rsid w:val="006C02F7"/>
    <w:rsid w:val="00776359"/>
    <w:rsid w:val="00795E29"/>
    <w:rsid w:val="007A36CE"/>
    <w:rsid w:val="007D6D9F"/>
    <w:rsid w:val="00813CFC"/>
    <w:rsid w:val="00813E9A"/>
    <w:rsid w:val="008143E6"/>
    <w:rsid w:val="00852FC4"/>
    <w:rsid w:val="0086351A"/>
    <w:rsid w:val="008930FE"/>
    <w:rsid w:val="00895745"/>
    <w:rsid w:val="008E3C56"/>
    <w:rsid w:val="009053FE"/>
    <w:rsid w:val="0092756B"/>
    <w:rsid w:val="00965E35"/>
    <w:rsid w:val="00976E7D"/>
    <w:rsid w:val="00992414"/>
    <w:rsid w:val="009B2C07"/>
    <w:rsid w:val="009B2CDB"/>
    <w:rsid w:val="009B6CCF"/>
    <w:rsid w:val="009F6AFF"/>
    <w:rsid w:val="00A30274"/>
    <w:rsid w:val="00A30A0E"/>
    <w:rsid w:val="00A4074E"/>
    <w:rsid w:val="00A53B5D"/>
    <w:rsid w:val="00A554D0"/>
    <w:rsid w:val="00A55A1D"/>
    <w:rsid w:val="00A568CD"/>
    <w:rsid w:val="00A67470"/>
    <w:rsid w:val="00AD59B1"/>
    <w:rsid w:val="00B02697"/>
    <w:rsid w:val="00B046A0"/>
    <w:rsid w:val="00B117E7"/>
    <w:rsid w:val="00B16393"/>
    <w:rsid w:val="00B20587"/>
    <w:rsid w:val="00B305C4"/>
    <w:rsid w:val="00B82909"/>
    <w:rsid w:val="00BE7401"/>
    <w:rsid w:val="00BF3AC3"/>
    <w:rsid w:val="00C14D63"/>
    <w:rsid w:val="00C56B10"/>
    <w:rsid w:val="00CB1441"/>
    <w:rsid w:val="00CB7AF7"/>
    <w:rsid w:val="00CC078D"/>
    <w:rsid w:val="00CC2833"/>
    <w:rsid w:val="00CD1EDD"/>
    <w:rsid w:val="00CD279A"/>
    <w:rsid w:val="00CF6540"/>
    <w:rsid w:val="00D0777C"/>
    <w:rsid w:val="00D41B0A"/>
    <w:rsid w:val="00DA118F"/>
    <w:rsid w:val="00DD7E19"/>
    <w:rsid w:val="00DE1F3D"/>
    <w:rsid w:val="00EC188B"/>
    <w:rsid w:val="00EF57D5"/>
    <w:rsid w:val="00F069B7"/>
    <w:rsid w:val="00F12755"/>
    <w:rsid w:val="00F23229"/>
    <w:rsid w:val="00F32FEF"/>
    <w:rsid w:val="00F5111E"/>
    <w:rsid w:val="00FA3EEC"/>
    <w:rsid w:val="00FB33CE"/>
    <w:rsid w:val="00FD4239"/>
    <w:rsid w:val="21C36CF2"/>
    <w:rsid w:val="4468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标题 3 Char"/>
    <w:basedOn w:val="9"/>
    <w:link w:val="3"/>
    <w:qFormat/>
    <w:uiPriority w:val="9"/>
    <w:rPr>
      <w:rFonts w:ascii="宋体" w:hAnsi="宋体" w:eastAsia="宋体" w:cs="宋体"/>
      <w:b/>
      <w:bCs/>
      <w:kern w:val="0"/>
      <w:sz w:val="27"/>
      <w:szCs w:val="27"/>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2280</Words>
  <Characters>2281</Characters>
  <Lines>103</Lines>
  <Paragraphs>48</Paragraphs>
  <TotalTime>0</TotalTime>
  <ScaleCrop>false</ScaleCrop>
  <LinksUpToDate>false</LinksUpToDate>
  <CharactersWithSpaces>4513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2020-10-13T10:37:00Z</dcterms:created>
  <dc:creator>bgs</dc:creator>
  <cp:lastModifiedBy>总收发</cp:lastModifiedBy>
  <cp:lastPrinted>2021-01-11T07:42:00Z</cp:lastPrinted>
  <dcterms:modified xsi:type="dcterms:W3CDTF">2024-08-19T10:19:27Z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