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F59AE">
      <w:pPr>
        <w:spacing w:line="540" w:lineRule="exact"/>
        <w:jc w:val="center"/>
        <w:rPr>
          <w:rFonts w:ascii="华文中宋" w:hAnsi="华文中宋" w:eastAsia="华文中宋" w:cs="宋体"/>
          <w:b/>
          <w:kern w:val="0"/>
          <w:sz w:val="52"/>
          <w:szCs w:val="52"/>
        </w:rPr>
      </w:pPr>
    </w:p>
    <w:p w14:paraId="2E4054FC">
      <w:pPr>
        <w:spacing w:line="540" w:lineRule="exact"/>
        <w:jc w:val="center"/>
        <w:rPr>
          <w:rFonts w:ascii="华文中宋" w:hAnsi="华文中宋" w:eastAsia="华文中宋" w:cs="宋体"/>
          <w:b/>
          <w:kern w:val="0"/>
          <w:sz w:val="52"/>
          <w:szCs w:val="52"/>
        </w:rPr>
      </w:pPr>
    </w:p>
    <w:p w14:paraId="63150BF3">
      <w:pPr>
        <w:spacing w:line="540" w:lineRule="exact"/>
        <w:jc w:val="center"/>
        <w:rPr>
          <w:rFonts w:ascii="华文中宋" w:hAnsi="华文中宋" w:eastAsia="华文中宋" w:cs="宋体"/>
          <w:b/>
          <w:kern w:val="0"/>
          <w:sz w:val="52"/>
          <w:szCs w:val="52"/>
        </w:rPr>
      </w:pPr>
    </w:p>
    <w:p w14:paraId="2B960167">
      <w:pPr>
        <w:spacing w:line="540" w:lineRule="exact"/>
        <w:jc w:val="center"/>
        <w:rPr>
          <w:rFonts w:ascii="华文中宋" w:hAnsi="华文中宋" w:eastAsia="华文中宋" w:cs="宋体"/>
          <w:b/>
          <w:kern w:val="0"/>
          <w:sz w:val="52"/>
          <w:szCs w:val="52"/>
        </w:rPr>
      </w:pPr>
    </w:p>
    <w:p w14:paraId="4B28A7A8">
      <w:pPr>
        <w:spacing w:line="540" w:lineRule="exact"/>
        <w:jc w:val="center"/>
        <w:rPr>
          <w:rFonts w:ascii="华文中宋" w:hAnsi="华文中宋" w:eastAsia="华文中宋" w:cs="宋体"/>
          <w:b/>
          <w:kern w:val="0"/>
          <w:sz w:val="52"/>
          <w:szCs w:val="52"/>
        </w:rPr>
      </w:pPr>
    </w:p>
    <w:p w14:paraId="5FC5B2B3">
      <w:pPr>
        <w:spacing w:line="540" w:lineRule="exact"/>
        <w:jc w:val="center"/>
        <w:rPr>
          <w:rFonts w:ascii="华文中宋" w:hAnsi="华文中宋" w:eastAsia="华文中宋" w:cs="宋体"/>
          <w:b/>
          <w:kern w:val="0"/>
          <w:sz w:val="52"/>
          <w:szCs w:val="52"/>
        </w:rPr>
      </w:pPr>
    </w:p>
    <w:p w14:paraId="606B37E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0B170894">
      <w:pPr>
        <w:spacing w:line="540" w:lineRule="exact"/>
        <w:jc w:val="center"/>
        <w:rPr>
          <w:rFonts w:ascii="华文中宋" w:hAnsi="华文中宋" w:eastAsia="华文中宋" w:cs="宋体"/>
          <w:b/>
          <w:kern w:val="0"/>
          <w:sz w:val="52"/>
          <w:szCs w:val="52"/>
        </w:rPr>
      </w:pPr>
    </w:p>
    <w:p w14:paraId="3FD8C0A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0"/>
          <w:rFonts w:hint="eastAsia" w:ascii="楷体" w:hAnsi="楷体" w:eastAsia="楷体"/>
          <w:spacing w:val="-4"/>
          <w:sz w:val="32"/>
          <w:szCs w:val="32"/>
        </w:rPr>
        <w:t>202</w:t>
      </w:r>
      <w:r>
        <w:rPr>
          <w:rStyle w:val="20"/>
          <w:rFonts w:hint="eastAsia" w:ascii="楷体" w:hAnsi="楷体" w:eastAsia="楷体"/>
          <w:spacing w:val="-4"/>
          <w:sz w:val="32"/>
          <w:szCs w:val="32"/>
          <w:lang w:val="en-US" w:eastAsia="zh-CN"/>
        </w:rPr>
        <w:t>4</w:t>
      </w:r>
      <w:r>
        <w:rPr>
          <w:rFonts w:hint="eastAsia" w:hAnsi="宋体" w:eastAsia="仿宋_GB2312" w:cs="宋体"/>
          <w:kern w:val="0"/>
          <w:sz w:val="36"/>
          <w:szCs w:val="36"/>
        </w:rPr>
        <w:t xml:space="preserve">  年度）</w:t>
      </w:r>
    </w:p>
    <w:p w14:paraId="55BE2A3F">
      <w:pPr>
        <w:spacing w:line="540" w:lineRule="exact"/>
        <w:jc w:val="center"/>
        <w:rPr>
          <w:rFonts w:hAnsi="宋体" w:eastAsia="仿宋_GB2312" w:cs="宋体"/>
          <w:kern w:val="0"/>
          <w:sz w:val="30"/>
          <w:szCs w:val="30"/>
        </w:rPr>
      </w:pPr>
    </w:p>
    <w:p w14:paraId="50948E95">
      <w:pPr>
        <w:spacing w:line="540" w:lineRule="exact"/>
        <w:jc w:val="center"/>
        <w:rPr>
          <w:rFonts w:hAnsi="宋体" w:eastAsia="仿宋_GB2312" w:cs="宋体"/>
          <w:kern w:val="0"/>
          <w:sz w:val="30"/>
          <w:szCs w:val="30"/>
        </w:rPr>
      </w:pPr>
    </w:p>
    <w:p w14:paraId="3AEFE4FD">
      <w:pPr>
        <w:spacing w:line="540" w:lineRule="exact"/>
        <w:jc w:val="center"/>
        <w:rPr>
          <w:rFonts w:hAnsi="宋体" w:eastAsia="仿宋_GB2312" w:cs="宋体"/>
          <w:kern w:val="0"/>
          <w:sz w:val="30"/>
          <w:szCs w:val="30"/>
        </w:rPr>
      </w:pPr>
    </w:p>
    <w:p w14:paraId="6CC365F9">
      <w:pPr>
        <w:spacing w:line="540" w:lineRule="exact"/>
        <w:jc w:val="center"/>
        <w:rPr>
          <w:rFonts w:hAnsi="宋体" w:eastAsia="仿宋_GB2312" w:cs="宋体"/>
          <w:kern w:val="0"/>
          <w:sz w:val="30"/>
          <w:szCs w:val="30"/>
        </w:rPr>
      </w:pPr>
    </w:p>
    <w:p w14:paraId="57246517">
      <w:pPr>
        <w:spacing w:line="540" w:lineRule="exact"/>
        <w:jc w:val="center"/>
        <w:rPr>
          <w:rFonts w:hAnsi="宋体" w:eastAsia="仿宋_GB2312" w:cs="宋体"/>
          <w:kern w:val="0"/>
          <w:sz w:val="30"/>
          <w:szCs w:val="30"/>
        </w:rPr>
      </w:pPr>
    </w:p>
    <w:p w14:paraId="265567DD">
      <w:pPr>
        <w:spacing w:line="540" w:lineRule="exact"/>
        <w:rPr>
          <w:rFonts w:hAnsi="宋体" w:eastAsia="仿宋_GB2312" w:cs="宋体"/>
          <w:kern w:val="0"/>
          <w:sz w:val="30"/>
          <w:szCs w:val="30"/>
        </w:rPr>
      </w:pPr>
    </w:p>
    <w:p w14:paraId="0FD0D03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445159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0"/>
          <w:rFonts w:hint="eastAsia" w:ascii="楷体" w:hAnsi="楷体" w:eastAsia="楷体"/>
          <w:spacing w:val="-4"/>
          <w:sz w:val="32"/>
          <w:szCs w:val="32"/>
        </w:rPr>
        <w:t>财政业务费</w:t>
      </w:r>
    </w:p>
    <w:p w14:paraId="588F4E5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0"/>
          <w:rFonts w:hint="eastAsia" w:ascii="楷体" w:hAnsi="楷体" w:eastAsia="楷体"/>
          <w:spacing w:val="-4"/>
          <w:sz w:val="28"/>
          <w:szCs w:val="28"/>
        </w:rPr>
        <w:t>新疆维吾尔自治区财政厅</w:t>
      </w:r>
      <w:bookmarkStart w:id="0" w:name="_GoBack"/>
      <w:bookmarkEnd w:id="0"/>
    </w:p>
    <w:p w14:paraId="227AA82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0"/>
          <w:rFonts w:hint="eastAsia" w:ascii="楷体" w:hAnsi="楷体" w:eastAsia="楷体"/>
          <w:spacing w:val="-4"/>
          <w:sz w:val="28"/>
          <w:szCs w:val="28"/>
        </w:rPr>
        <w:t>新疆维吾尔自治区财政厅</w:t>
      </w:r>
    </w:p>
    <w:p w14:paraId="7E80DC5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0"/>
          <w:rFonts w:hint="eastAsia" w:ascii="楷体" w:hAnsi="楷体" w:eastAsia="楷体"/>
          <w:spacing w:val="-4"/>
          <w:sz w:val="32"/>
          <w:szCs w:val="32"/>
        </w:rPr>
        <w:t>王峰</w:t>
      </w:r>
    </w:p>
    <w:p w14:paraId="0851244F">
      <w:pPr>
        <w:spacing w:line="540" w:lineRule="exact"/>
        <w:ind w:left="273" w:firstLine="567"/>
        <w:rPr>
          <w:rStyle w:val="20"/>
          <w:rFonts w:ascii="楷体" w:hAnsi="楷体" w:eastAsia="楷体"/>
          <w:spacing w:val="-4"/>
          <w:sz w:val="32"/>
          <w:szCs w:val="32"/>
        </w:rPr>
      </w:pPr>
      <w:r>
        <w:rPr>
          <w:rFonts w:hint="eastAsia" w:hAnsi="宋体" w:eastAsia="仿宋_GB2312" w:cs="宋体"/>
          <w:kern w:val="0"/>
          <w:sz w:val="36"/>
          <w:szCs w:val="36"/>
        </w:rPr>
        <w:t>填报时间：</w:t>
      </w:r>
      <w:r>
        <w:rPr>
          <w:rStyle w:val="20"/>
          <w:rFonts w:hint="eastAsia" w:ascii="楷体" w:hAnsi="楷体" w:eastAsia="楷体"/>
          <w:spacing w:val="-4"/>
          <w:sz w:val="32"/>
          <w:szCs w:val="32"/>
        </w:rPr>
        <w:t>202</w:t>
      </w:r>
      <w:r>
        <w:rPr>
          <w:rStyle w:val="20"/>
          <w:rFonts w:hint="eastAsia" w:ascii="楷体" w:hAnsi="楷体" w:eastAsia="楷体"/>
          <w:spacing w:val="-4"/>
          <w:sz w:val="32"/>
          <w:szCs w:val="32"/>
          <w:lang w:val="en-US" w:eastAsia="zh-CN"/>
        </w:rPr>
        <w:t>5</w:t>
      </w:r>
      <w:r>
        <w:rPr>
          <w:rStyle w:val="20"/>
          <w:rFonts w:hint="eastAsia" w:ascii="楷体" w:hAnsi="楷体" w:eastAsia="楷体"/>
          <w:spacing w:val="-4"/>
          <w:sz w:val="32"/>
          <w:szCs w:val="32"/>
        </w:rPr>
        <w:t>年0</w:t>
      </w:r>
      <w:r>
        <w:rPr>
          <w:rStyle w:val="20"/>
          <w:rFonts w:hint="eastAsia" w:ascii="楷体" w:hAnsi="楷体" w:eastAsia="楷体"/>
          <w:spacing w:val="-4"/>
          <w:sz w:val="32"/>
          <w:szCs w:val="32"/>
          <w:lang w:val="en-US" w:eastAsia="zh-CN"/>
        </w:rPr>
        <w:t>4</w:t>
      </w:r>
      <w:r>
        <w:rPr>
          <w:rStyle w:val="20"/>
          <w:rFonts w:hint="eastAsia" w:ascii="楷体" w:hAnsi="楷体" w:eastAsia="楷体"/>
          <w:spacing w:val="-4"/>
          <w:sz w:val="32"/>
          <w:szCs w:val="32"/>
        </w:rPr>
        <w:t>月01日</w:t>
      </w:r>
    </w:p>
    <w:p w14:paraId="5B2003E4">
      <w:pPr>
        <w:spacing w:line="700" w:lineRule="exact"/>
        <w:ind w:firstLine="708" w:firstLineChars="236"/>
        <w:jc w:val="left"/>
        <w:rPr>
          <w:rFonts w:hAnsi="宋体" w:eastAsia="仿宋_GB2312" w:cs="宋体"/>
          <w:kern w:val="0"/>
          <w:sz w:val="30"/>
          <w:szCs w:val="30"/>
        </w:rPr>
      </w:pPr>
    </w:p>
    <w:p w14:paraId="2E36E0FF">
      <w:pPr>
        <w:pStyle w:val="2"/>
      </w:pPr>
    </w:p>
    <w:p w14:paraId="489E343A">
      <w:pPr>
        <w:spacing w:line="540" w:lineRule="exact"/>
        <w:rPr>
          <w:rStyle w:val="20"/>
          <w:rFonts w:ascii="黑体" w:hAnsi="黑体" w:eastAsia="黑体"/>
          <w:b w:val="0"/>
          <w:spacing w:val="-4"/>
          <w:sz w:val="32"/>
          <w:szCs w:val="32"/>
        </w:rPr>
      </w:pPr>
    </w:p>
    <w:p w14:paraId="5F0CAE45">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一、基本情况</w:t>
      </w:r>
    </w:p>
    <w:p w14:paraId="48DCDFDC">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（一）项目概况。包括项目背景、主要内容及实施情况、资金投入和使用情况等。</w:t>
      </w:r>
    </w:p>
    <w:p w14:paraId="46465CA8">
      <w:pPr>
        <w:spacing w:line="540" w:lineRule="exact"/>
        <w:ind w:firstLine="567"/>
        <w:rPr>
          <w:rStyle w:val="20"/>
          <w:rFonts w:hint="eastAsia" w:ascii="楷体" w:hAnsi="楷体" w:eastAsia="楷体"/>
          <w:spacing w:val="-4"/>
          <w:sz w:val="32"/>
          <w:szCs w:val="32"/>
        </w:rPr>
      </w:pPr>
      <w:r>
        <w:rPr>
          <w:rStyle w:val="20"/>
          <w:rFonts w:hint="eastAsia" w:ascii="楷体" w:hAnsi="楷体" w:eastAsia="楷体"/>
          <w:spacing w:val="-4"/>
          <w:sz w:val="32"/>
          <w:szCs w:val="32"/>
        </w:rPr>
        <w:t xml:space="preserve">本项目遵循财政部《项目支出绩效评价管理办法》（财预〔2020〕10号）、自治区财政厅《自治区财政支出绩效评价管理暂行办法》（新财预〔2018〕189号）等相关政策文件与规定，按政策制度、体制机制、规矩程序做好厅机关运行保障工作，做好政府采购、资产管理等相关工作，完成自治区党委、人民政府交办的其他任务。强化厅机关财务日常收支管理工作。严肃财经纪律做好厅机关专项资金支付使用监督管理工作，按要求把过紧日子作为一项长期坚持的政治任务，严格落实各项制度，将过紧日子各项措施落实到实处，严守财务相关制度及时支付各账户各类款项。  </w:t>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 xml:space="preserve">    2.主要内容及实施情况</w:t>
      </w:r>
      <w:r>
        <w:rPr>
          <w:rStyle w:val="20"/>
          <w:rFonts w:hint="eastAsia" w:ascii="楷体" w:hAnsi="楷体" w:eastAsia="楷体"/>
          <w:spacing w:val="-4"/>
          <w:sz w:val="32"/>
          <w:szCs w:val="32"/>
        </w:rPr>
        <w:cr/>
      </w:r>
      <w:r>
        <w:rPr>
          <w:rStyle w:val="20"/>
          <w:rFonts w:hint="eastAsia" w:ascii="楷体" w:hAnsi="楷体" w:eastAsia="楷体"/>
          <w:spacing w:val="-4"/>
          <w:sz w:val="32"/>
          <w:szCs w:val="32"/>
        </w:rPr>
        <w:t xml:space="preserve">    </w:t>
      </w:r>
      <w:r>
        <w:rPr>
          <w:rStyle w:val="20"/>
          <w:rFonts w:hint="eastAsia" w:ascii="楷体" w:hAnsi="楷体" w:eastAsia="楷体"/>
          <w:spacing w:val="-4"/>
          <w:sz w:val="32"/>
          <w:szCs w:val="32"/>
          <w:lang w:eastAsia="zh-CN"/>
        </w:rPr>
        <w:t>主要内容：负责厅机关基本支出与项目支出，</w:t>
      </w:r>
      <w:r>
        <w:rPr>
          <w:rStyle w:val="20"/>
          <w:rFonts w:hint="eastAsia" w:ascii="楷体" w:hAnsi="楷体" w:eastAsia="楷体"/>
          <w:spacing w:val="-4"/>
          <w:sz w:val="32"/>
          <w:szCs w:val="32"/>
        </w:rPr>
        <w:t>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p>
    <w:p w14:paraId="325ADD48">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Fonts w:hint="eastAsia" w:ascii="仿宋_GB2312" w:hAnsi="仿宋_GB2312" w:eastAsia="仿宋_GB2312" w:cs="仿宋_GB2312"/>
          <w:b w:val="0"/>
          <w:bCs w:val="0"/>
          <w:color w:val="auto"/>
          <w:sz w:val="32"/>
          <w:szCs w:val="32"/>
          <w:lang w:val="en-US" w:eastAsia="zh-CN"/>
        </w:rPr>
      </w:pPr>
      <w:r>
        <w:rPr>
          <w:rStyle w:val="20"/>
          <w:rFonts w:hint="eastAsia" w:ascii="楷体" w:hAnsi="楷体" w:eastAsia="楷体"/>
          <w:spacing w:val="-4"/>
          <w:sz w:val="32"/>
          <w:szCs w:val="32"/>
          <w:lang w:eastAsia="zh-CN"/>
        </w:rPr>
        <w:t>实施情况：</w:t>
      </w: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eastAsia="zh-CN"/>
        </w:rPr>
        <w:t>财政厅</w:t>
      </w:r>
      <w:r>
        <w:rPr>
          <w:rFonts w:hint="eastAsia" w:ascii="仿宋_GB2312" w:hAnsi="仿宋_GB2312" w:eastAsia="仿宋_GB2312" w:cs="仿宋_GB2312"/>
          <w:b w:val="0"/>
          <w:bCs w:val="0"/>
          <w:color w:val="auto"/>
          <w:sz w:val="32"/>
          <w:szCs w:val="32"/>
        </w:rPr>
        <w:t>部门预算</w:t>
      </w:r>
      <w:r>
        <w:rPr>
          <w:rFonts w:hint="eastAsia" w:ascii="仿宋_GB2312" w:hAnsi="仿宋_GB2312" w:eastAsia="仿宋_GB2312" w:cs="仿宋_GB2312"/>
          <w:b w:val="0"/>
          <w:bCs w:val="0"/>
          <w:color w:val="auto"/>
          <w:sz w:val="32"/>
          <w:szCs w:val="32"/>
          <w:lang w:eastAsia="zh-CN"/>
        </w:rPr>
        <w:t>总计</w:t>
      </w:r>
      <w:r>
        <w:rPr>
          <w:rFonts w:hint="eastAsia" w:ascii="仿宋_GB2312" w:hAnsi="仿宋_GB2312" w:eastAsia="仿宋_GB2312" w:cs="仿宋_GB2312"/>
          <w:b w:val="0"/>
          <w:bCs w:val="0"/>
          <w:color w:val="auto"/>
          <w:sz w:val="32"/>
          <w:szCs w:val="32"/>
          <w:lang w:val="en-US" w:eastAsia="zh-CN"/>
        </w:rPr>
        <w:t>17,690.90</w:t>
      </w:r>
      <w:r>
        <w:rPr>
          <w:rFonts w:hint="eastAsia" w:ascii="仿宋_GB2312" w:eastAsia="仿宋_GB2312"/>
          <w:b w:val="0"/>
          <w:bCs w:val="0"/>
          <w:snapToGrid w:val="0"/>
          <w:color w:val="auto"/>
          <w:kern w:val="0"/>
          <w:sz w:val="32"/>
          <w:szCs w:val="32"/>
        </w:rPr>
        <w:t>万元</w:t>
      </w:r>
      <w:r>
        <w:rPr>
          <w:rFonts w:hint="eastAsia" w:ascii="仿宋_GB2312" w:hAnsi="仿宋_GB2312" w:eastAsia="仿宋_GB2312" w:cs="仿宋_GB2312"/>
          <w:b w:val="0"/>
          <w:bCs w:val="0"/>
          <w:color w:val="auto"/>
          <w:sz w:val="32"/>
          <w:szCs w:val="32"/>
        </w:rPr>
        <w:t>，其中:基本支出</w:t>
      </w:r>
      <w:r>
        <w:rPr>
          <w:rFonts w:hint="eastAsia" w:ascii="仿宋_GB2312" w:hAnsi="Times New Roman" w:eastAsia="仿宋_GB2312" w:cs="Times New Roman"/>
          <w:b w:val="0"/>
          <w:bCs w:val="0"/>
          <w:color w:val="auto"/>
          <w:spacing w:val="-2"/>
          <w:kern w:val="0"/>
          <w:sz w:val="32"/>
          <w:szCs w:val="32"/>
          <w:lang w:val="en-US" w:eastAsia="zh-CN"/>
        </w:rPr>
        <w:t>7,585.83</w:t>
      </w:r>
      <w:r>
        <w:rPr>
          <w:rFonts w:hint="eastAsia" w:ascii="仿宋_GB2312" w:hAnsi="仿宋_GB2312" w:eastAsia="仿宋_GB2312" w:cs="仿宋_GB2312"/>
          <w:b w:val="0"/>
          <w:bCs w:val="0"/>
          <w:color w:val="auto"/>
          <w:sz w:val="32"/>
          <w:szCs w:val="32"/>
        </w:rPr>
        <w:t>万元</w:t>
      </w:r>
      <w:r>
        <w:rPr>
          <w:rFonts w:hint="eastAsia" w:ascii="仿宋_GB2312" w:hAnsi="仿宋" w:eastAsia="仿宋_GB2312" w:cs="仿宋"/>
          <w:color w:val="auto"/>
          <w:sz w:val="32"/>
          <w:szCs w:val="32"/>
          <w:lang w:val="en-US" w:eastAsia="zh-CN"/>
        </w:rPr>
        <w:t>（人员支出</w:t>
      </w:r>
      <w:r>
        <w:rPr>
          <w:rFonts w:hint="eastAsia" w:ascii="仿宋_GB2312" w:hAnsi="仿宋_GB2312" w:eastAsia="仿宋_GB2312" w:cs="仿宋_GB2312"/>
          <w:color w:val="auto"/>
          <w:sz w:val="32"/>
          <w:szCs w:val="32"/>
          <w:lang w:val="en-US" w:eastAsia="zh-CN"/>
        </w:rPr>
        <w:t>预算6,696.83万元，公用支出预算889万元）</w:t>
      </w:r>
      <w:r>
        <w:rPr>
          <w:rFonts w:hint="eastAsia" w:ascii="仿宋_GB2312" w:hAnsi="仿宋_GB2312" w:eastAsia="仿宋_GB2312" w:cs="仿宋_GB2312"/>
          <w:b w:val="0"/>
          <w:bCs w:val="0"/>
          <w:color w:val="auto"/>
          <w:sz w:val="32"/>
          <w:szCs w:val="32"/>
        </w:rPr>
        <w:t>;项目支出</w:t>
      </w:r>
      <w:r>
        <w:rPr>
          <w:rFonts w:hint="eastAsia" w:ascii="仿宋_GB2312" w:hAnsi="仿宋_GB2312" w:eastAsia="仿宋_GB2312" w:cs="仿宋_GB2312"/>
          <w:b w:val="0"/>
          <w:bCs w:val="0"/>
          <w:color w:val="auto"/>
          <w:sz w:val="32"/>
          <w:szCs w:val="32"/>
          <w:lang w:val="en-US" w:eastAsia="zh-CN"/>
        </w:rPr>
        <w:t>10,105.07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涉及</w:t>
      </w:r>
      <w:r>
        <w:rPr>
          <w:rFonts w:hint="eastAsia" w:ascii="仿宋_GB2312" w:hAnsi="仿宋_GB2312" w:eastAsia="仿宋_GB2312" w:cs="仿宋_GB2312"/>
          <w:b w:val="0"/>
          <w:bCs w:val="0"/>
          <w:color w:val="auto"/>
          <w:sz w:val="32"/>
          <w:szCs w:val="32"/>
          <w:lang w:val="en-US" w:eastAsia="zh-CN"/>
        </w:rPr>
        <w:t>20个处室67个项目，</w:t>
      </w:r>
      <w:r>
        <w:rPr>
          <w:rFonts w:hint="eastAsia" w:ascii="仿宋_GB2312" w:hAnsi="仿宋_GB2312" w:eastAsia="仿宋_GB2312" w:cs="仿宋_GB2312"/>
          <w:b w:val="0"/>
          <w:bCs w:val="0"/>
          <w:color w:val="auto"/>
          <w:sz w:val="32"/>
          <w:szCs w:val="32"/>
          <w:lang w:eastAsia="zh-CN"/>
        </w:rPr>
        <w:t>政府采购预算金额</w:t>
      </w:r>
      <w:r>
        <w:rPr>
          <w:rFonts w:hint="eastAsia" w:ascii="仿宋_GB2312" w:hAnsi="仿宋_GB2312" w:eastAsia="仿宋_GB2312" w:cs="仿宋_GB2312"/>
          <w:b w:val="0"/>
          <w:bCs w:val="0"/>
          <w:color w:val="auto"/>
          <w:sz w:val="32"/>
          <w:szCs w:val="32"/>
          <w:lang w:val="en-US" w:eastAsia="zh-CN"/>
        </w:rPr>
        <w:t>5,992.81万元。</w:t>
      </w:r>
    </w:p>
    <w:p w14:paraId="07D0C019">
      <w:pPr>
        <w:keepNext w:val="0"/>
        <w:keepLines w:val="0"/>
        <w:pageBreakBefore w:val="0"/>
        <w:kinsoku/>
        <w:wordWrap/>
        <w:overflowPunct/>
        <w:topLinePunct w:val="0"/>
        <w:autoSpaceDE/>
        <w:autoSpaceDN/>
        <w:bidi w:val="0"/>
        <w:adjustRightInd/>
        <w:spacing w:line="576" w:lineRule="exact"/>
        <w:ind w:firstLine="627" w:firstLineChars="200"/>
        <w:jc w:val="left"/>
        <w:textAlignment w:val="auto"/>
        <w:rPr>
          <w:rStyle w:val="20"/>
          <w:rFonts w:hint="eastAsia" w:ascii="楷体" w:hAnsi="楷体" w:eastAsia="楷体" w:cs="Times New Roman"/>
          <w:spacing w:val="-4"/>
          <w:sz w:val="32"/>
          <w:szCs w:val="32"/>
        </w:rPr>
      </w:pPr>
      <w:r>
        <w:rPr>
          <w:rStyle w:val="20"/>
          <w:rFonts w:hint="eastAsia" w:ascii="楷体" w:hAnsi="楷体" w:eastAsia="楷体" w:cs="Times New Roman"/>
          <w:spacing w:val="-4"/>
          <w:sz w:val="32"/>
          <w:szCs w:val="32"/>
        </w:rPr>
        <w:t>项目支出包括自治区国库代理银行支付服务、全疆财政票据印刷费、资产信息系统开发运行维护费、自治区本级预算绩效管理工作经费、自治区本级“金财工程”运行维护经费、自治区财政监督检查专项经费、新疆会计领军（后备）人才培养专项经费、自治区扶贫资金检查和绩效管理专项经费、机关后勤保障服务费、财政业务管理、国库业务管理费、行政事业单位内部控制编报网络版软件系统实施及运维服务费、自治区地方政府债务管理系统部署及运维经费等。</w:t>
      </w:r>
    </w:p>
    <w:p w14:paraId="35A905B3">
      <w:pPr>
        <w:spacing w:line="540" w:lineRule="exact"/>
        <w:ind w:firstLine="567"/>
        <w:rPr>
          <w:rStyle w:val="20"/>
          <w:rFonts w:hint="eastAsia" w:ascii="楷体" w:hAnsi="楷体" w:eastAsia="楷体"/>
          <w:spacing w:val="-4"/>
          <w:sz w:val="32"/>
          <w:szCs w:val="32"/>
        </w:rPr>
      </w:pPr>
      <w:r>
        <w:rPr>
          <w:rStyle w:val="20"/>
          <w:rFonts w:hint="eastAsia" w:ascii="楷体" w:hAnsi="楷体" w:eastAsia="楷体"/>
          <w:spacing w:val="-4"/>
          <w:sz w:val="32"/>
          <w:szCs w:val="32"/>
        </w:rPr>
        <w:cr/>
      </w:r>
      <w:r>
        <w:rPr>
          <w:rStyle w:val="20"/>
          <w:rFonts w:hint="eastAsia" w:ascii="楷体" w:hAnsi="楷体" w:eastAsia="楷体"/>
          <w:spacing w:val="-4"/>
          <w:sz w:val="32"/>
          <w:szCs w:val="32"/>
        </w:rPr>
        <w:t>3.项目实施主体</w:t>
      </w:r>
    </w:p>
    <w:p w14:paraId="51F2BF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CESI仿宋-GB2312" w:hAnsi="CESI仿宋-GB2312" w:eastAsia="仿宋_GB2312" w:cs="仿宋_GB2312"/>
          <w:color w:val="auto"/>
          <w:sz w:val="32"/>
          <w:szCs w:val="32"/>
          <w:lang w:eastAsia="zh-CN"/>
        </w:rPr>
      </w:pPr>
      <w:r>
        <w:rPr>
          <w:rFonts w:hint="eastAsia" w:ascii="CESI仿宋-GB2312" w:hAnsi="CESI仿宋-GB2312" w:eastAsia="仿宋_GB2312" w:cs="仿宋_GB2312"/>
          <w:color w:val="auto"/>
          <w:sz w:val="32"/>
          <w:szCs w:val="32"/>
          <w:lang w:eastAsia="zh-CN"/>
        </w:rPr>
        <w:t>自治区财政厅贯彻落实党中央关于财经工作的方针政策和决策部署以及自治区党委工作要求，在履行职责过程中坚持和加强党对财政工作的集中统一领导。主要职责是:（一）根据自治区国民经济和社会发展战略，拟订自治区财政发展战略、中长期财政规划和改革方案并组织实施;分析预测宏观经济形势，参与制定宏观经济政策，提出运用财税政策实施宏观经济调控和综合平衡社会财力的建议;拟订自治区与各地、财政与企业的分配政策，制定调节收入分配的财税政策，完善促进社会事业发展的财税政策。</w:t>
      </w:r>
    </w:p>
    <w:p w14:paraId="391018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仿宋_GB2312" w:cs="仿宋_GB2312"/>
          <w:color w:val="auto"/>
          <w:sz w:val="32"/>
          <w:szCs w:val="32"/>
          <w:lang w:eastAsia="zh-CN"/>
        </w:rPr>
      </w:pPr>
      <w:r>
        <w:rPr>
          <w:rFonts w:hint="eastAsia" w:ascii="CESI仿宋-GB2312" w:hAnsi="CESI仿宋-GB2312" w:eastAsia="仿宋_GB2312" w:cs="仿宋_GB2312"/>
          <w:color w:val="auto"/>
          <w:sz w:val="32"/>
          <w:szCs w:val="32"/>
          <w:lang w:eastAsia="zh-CN"/>
        </w:rPr>
        <w:t>(二)承担自治区各项财政收支管理责任;负责编制自治区本级预决算草案并组织执行;受自治区人民政府委托向自治区人民代表大会报告预算及执行情况，向自治区人大常委会报告决算;组织制定经费开支标准、定额，负责财政预决算工作;完善自治区对下转移支付制度。</w:t>
      </w:r>
    </w:p>
    <w:p w14:paraId="1070A5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仿宋_GB2312" w:hAnsi="宋体" w:eastAsia="仿宋_GB2312"/>
          <w:bCs/>
          <w:sz w:val="32"/>
          <w:szCs w:val="32"/>
        </w:rPr>
      </w:pPr>
      <w:r>
        <w:rPr>
          <w:rFonts w:hint="eastAsia" w:ascii="CESI仿宋-GB2312" w:hAnsi="CESI仿宋-GB2312" w:eastAsia="仿宋_GB2312" w:cs="仿宋_GB2312"/>
          <w:color w:val="auto"/>
          <w:sz w:val="32"/>
          <w:szCs w:val="32"/>
          <w:lang w:eastAsia="zh-CN"/>
        </w:rPr>
        <w:t>辅助各项目处室工作，做好各处室对接。</w:t>
      </w:r>
      <w:r>
        <w:rPr>
          <w:rFonts w:hint="eastAsia" w:ascii="仿宋_GB2312" w:hAnsi="宋体" w:eastAsia="仿宋_GB2312"/>
          <w:bCs/>
          <w:sz w:val="32"/>
          <w:szCs w:val="32"/>
        </w:rPr>
        <w:t xml:space="preserve"> </w:t>
      </w:r>
    </w:p>
    <w:p w14:paraId="0C9090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仿宋_GB2312" w:hAnsi="宋体" w:eastAsia="仿宋_GB2312"/>
          <w:bCs/>
          <w:sz w:val="32"/>
          <w:szCs w:val="32"/>
        </w:rPr>
      </w:pPr>
    </w:p>
    <w:p w14:paraId="2FDED7F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313" w:firstLineChars="100"/>
        <w:textAlignment w:val="auto"/>
        <w:rPr>
          <w:rStyle w:val="20"/>
          <w:rFonts w:hint="eastAsia" w:ascii="楷体" w:hAnsi="楷体" w:eastAsia="楷体"/>
          <w:spacing w:val="-4"/>
          <w:sz w:val="32"/>
          <w:szCs w:val="32"/>
        </w:rPr>
      </w:pPr>
      <w:r>
        <w:rPr>
          <w:rStyle w:val="20"/>
          <w:rFonts w:hint="eastAsia" w:ascii="楷体" w:hAnsi="楷体" w:eastAsia="楷体"/>
          <w:spacing w:val="-4"/>
          <w:sz w:val="32"/>
          <w:szCs w:val="32"/>
        </w:rPr>
        <w:t>资金投入和使用情况</w:t>
      </w:r>
    </w:p>
    <w:p w14:paraId="3A585F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CESI仿宋-GB2312" w:hAnsi="CESI仿宋-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eastAsia="zh-CN"/>
        </w:rPr>
        <w:t>财政厅</w:t>
      </w:r>
      <w:r>
        <w:rPr>
          <w:rFonts w:hint="eastAsia" w:ascii="仿宋_GB2312" w:hAnsi="仿宋_GB2312" w:eastAsia="仿宋_GB2312" w:cs="仿宋_GB2312"/>
          <w:b w:val="0"/>
          <w:bCs w:val="0"/>
          <w:color w:val="auto"/>
          <w:sz w:val="32"/>
          <w:szCs w:val="32"/>
        </w:rPr>
        <w:t>部门预算</w:t>
      </w:r>
      <w:r>
        <w:rPr>
          <w:rFonts w:hint="eastAsia" w:ascii="仿宋_GB2312" w:hAnsi="仿宋_GB2312" w:eastAsia="仿宋_GB2312" w:cs="仿宋_GB2312"/>
          <w:b w:val="0"/>
          <w:bCs w:val="0"/>
          <w:color w:val="auto"/>
          <w:sz w:val="32"/>
          <w:szCs w:val="32"/>
          <w:lang w:eastAsia="zh-CN"/>
        </w:rPr>
        <w:t>总计</w:t>
      </w:r>
      <w:r>
        <w:rPr>
          <w:rFonts w:hint="eastAsia" w:ascii="仿宋_GB2312" w:hAnsi="仿宋_GB2312" w:eastAsia="仿宋_GB2312" w:cs="仿宋_GB2312"/>
          <w:b w:val="0"/>
          <w:bCs w:val="0"/>
          <w:color w:val="auto"/>
          <w:sz w:val="32"/>
          <w:szCs w:val="32"/>
          <w:lang w:val="en-US" w:eastAsia="zh-CN"/>
        </w:rPr>
        <w:t>17,690.90</w:t>
      </w:r>
      <w:r>
        <w:rPr>
          <w:rFonts w:hint="eastAsia" w:ascii="仿宋_GB2312" w:eastAsia="仿宋_GB2312"/>
          <w:b w:val="0"/>
          <w:bCs w:val="0"/>
          <w:snapToGrid w:val="0"/>
          <w:color w:val="auto"/>
          <w:kern w:val="0"/>
          <w:sz w:val="32"/>
          <w:szCs w:val="32"/>
        </w:rPr>
        <w:t>万元</w:t>
      </w:r>
      <w:r>
        <w:rPr>
          <w:rFonts w:hint="eastAsia" w:ascii="仿宋_GB2312" w:hAnsi="仿宋_GB2312" w:eastAsia="仿宋_GB2312" w:cs="仿宋_GB2312"/>
          <w:b w:val="0"/>
          <w:bCs w:val="0"/>
          <w:color w:val="auto"/>
          <w:sz w:val="32"/>
          <w:szCs w:val="32"/>
        </w:rPr>
        <w:t>，其中:基本支出</w:t>
      </w:r>
      <w:r>
        <w:rPr>
          <w:rFonts w:hint="eastAsia" w:ascii="仿宋_GB2312" w:hAnsi="Times New Roman" w:eastAsia="仿宋_GB2312" w:cs="Times New Roman"/>
          <w:b w:val="0"/>
          <w:bCs w:val="0"/>
          <w:color w:val="auto"/>
          <w:spacing w:val="-2"/>
          <w:kern w:val="0"/>
          <w:sz w:val="32"/>
          <w:szCs w:val="32"/>
          <w:lang w:val="en-US" w:eastAsia="zh-CN"/>
        </w:rPr>
        <w:t>7,585.83</w:t>
      </w:r>
      <w:r>
        <w:rPr>
          <w:rFonts w:hint="eastAsia" w:ascii="仿宋_GB2312" w:hAnsi="仿宋_GB2312" w:eastAsia="仿宋_GB2312" w:cs="仿宋_GB2312"/>
          <w:b w:val="0"/>
          <w:bCs w:val="0"/>
          <w:color w:val="auto"/>
          <w:sz w:val="32"/>
          <w:szCs w:val="32"/>
        </w:rPr>
        <w:t>万元</w:t>
      </w:r>
      <w:r>
        <w:rPr>
          <w:rFonts w:hint="eastAsia" w:ascii="仿宋_GB2312" w:hAnsi="仿宋" w:eastAsia="仿宋_GB2312" w:cs="仿宋"/>
          <w:color w:val="auto"/>
          <w:sz w:val="32"/>
          <w:szCs w:val="32"/>
          <w:lang w:val="en-US" w:eastAsia="zh-CN"/>
        </w:rPr>
        <w:t>（人员支出</w:t>
      </w:r>
      <w:r>
        <w:rPr>
          <w:rFonts w:hint="eastAsia" w:ascii="仿宋_GB2312" w:hAnsi="仿宋_GB2312" w:eastAsia="仿宋_GB2312" w:cs="仿宋_GB2312"/>
          <w:color w:val="auto"/>
          <w:sz w:val="32"/>
          <w:szCs w:val="32"/>
          <w:lang w:val="en-US" w:eastAsia="zh-CN"/>
        </w:rPr>
        <w:t>预算6,696.83万元，公用支出预算889万元）</w:t>
      </w:r>
      <w:r>
        <w:rPr>
          <w:rFonts w:hint="eastAsia" w:ascii="仿宋_GB2312" w:hAnsi="仿宋_GB2312" w:eastAsia="仿宋_GB2312" w:cs="仿宋_GB2312"/>
          <w:b w:val="0"/>
          <w:bCs w:val="0"/>
          <w:color w:val="auto"/>
          <w:sz w:val="32"/>
          <w:szCs w:val="32"/>
        </w:rPr>
        <w:t>;项目支出</w:t>
      </w:r>
      <w:r>
        <w:rPr>
          <w:rFonts w:hint="eastAsia" w:ascii="仿宋_GB2312" w:hAnsi="仿宋_GB2312" w:eastAsia="仿宋_GB2312" w:cs="仿宋_GB2312"/>
          <w:b w:val="0"/>
          <w:bCs w:val="0"/>
          <w:color w:val="auto"/>
          <w:sz w:val="32"/>
          <w:szCs w:val="32"/>
          <w:lang w:val="en-US" w:eastAsia="zh-CN"/>
        </w:rPr>
        <w:t>10,105.07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涉及</w:t>
      </w:r>
      <w:r>
        <w:rPr>
          <w:rFonts w:hint="eastAsia" w:ascii="仿宋_GB2312" w:hAnsi="仿宋_GB2312" w:eastAsia="仿宋_GB2312" w:cs="仿宋_GB2312"/>
          <w:b w:val="0"/>
          <w:bCs w:val="0"/>
          <w:color w:val="auto"/>
          <w:sz w:val="32"/>
          <w:szCs w:val="32"/>
          <w:lang w:val="en-US" w:eastAsia="zh-CN"/>
        </w:rPr>
        <w:t>20个处室67个项目，</w:t>
      </w:r>
      <w:r>
        <w:rPr>
          <w:rFonts w:hint="eastAsia" w:ascii="仿宋_GB2312" w:hAnsi="仿宋_GB2312" w:eastAsia="仿宋_GB2312" w:cs="仿宋_GB2312"/>
          <w:b w:val="0"/>
          <w:bCs w:val="0"/>
          <w:color w:val="auto"/>
          <w:sz w:val="32"/>
          <w:szCs w:val="32"/>
          <w:lang w:eastAsia="zh-CN"/>
        </w:rPr>
        <w:t>政府采购预算金额</w:t>
      </w:r>
      <w:r>
        <w:rPr>
          <w:rFonts w:hint="eastAsia" w:ascii="仿宋_GB2312" w:hAnsi="仿宋_GB2312" w:eastAsia="仿宋_GB2312" w:cs="仿宋_GB2312"/>
          <w:b w:val="0"/>
          <w:bCs w:val="0"/>
          <w:color w:val="auto"/>
          <w:sz w:val="32"/>
          <w:szCs w:val="32"/>
          <w:lang w:val="en-US" w:eastAsia="zh-CN"/>
        </w:rPr>
        <w:t>5,992.81万元。</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2.整体支出使用情况</w:t>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highlight w:val="yellow"/>
        </w:rPr>
        <w:br w:type="textWrapping"/>
      </w:r>
      <w:r>
        <w:rPr>
          <w:rFonts w:hint="eastAsia" w:ascii="仿宋_GB2312" w:hAnsi="宋体" w:eastAsia="仿宋_GB2312"/>
          <w:bCs/>
          <w:sz w:val="32"/>
          <w:szCs w:val="32"/>
        </w:rPr>
        <w:t xml:space="preserve">    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r>
        <w:rPr>
          <w:rFonts w:hint="eastAsia" w:ascii="仿宋_GB2312" w:hAnsi="宋体" w:eastAsia="仿宋_GB2312"/>
          <w:bCs/>
          <w:sz w:val="32"/>
          <w:szCs w:val="32"/>
        </w:rPr>
        <w:br w:type="textWrapping"/>
      </w:r>
    </w:p>
    <w:p w14:paraId="0DBE88E3">
      <w:pPr>
        <w:pStyle w:val="11"/>
      </w:pPr>
    </w:p>
    <w:p w14:paraId="5A7195E8">
      <w:pPr>
        <w:spacing w:line="540" w:lineRule="exact"/>
        <w:ind w:firstLine="567"/>
        <w:rPr>
          <w:rStyle w:val="20"/>
          <w:rFonts w:hint="eastAsia" w:ascii="楷体" w:hAnsi="楷体" w:eastAsia="楷体"/>
          <w:spacing w:val="-4"/>
          <w:sz w:val="32"/>
          <w:szCs w:val="32"/>
          <w:lang w:eastAsia="zh-CN"/>
        </w:rPr>
      </w:pPr>
    </w:p>
    <w:p w14:paraId="1E9E705B">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（二）项目绩效目标。包括总体目标和阶段性目标。</w:t>
      </w:r>
    </w:p>
    <w:p w14:paraId="535332FB">
      <w:pPr>
        <w:spacing w:line="540" w:lineRule="exact"/>
        <w:ind w:firstLine="567"/>
        <w:rPr>
          <w:rStyle w:val="20"/>
          <w:rFonts w:hint="eastAsia" w:ascii="楷体" w:hAnsi="楷体" w:eastAsia="楷体"/>
          <w:spacing w:val="-4"/>
          <w:sz w:val="32"/>
          <w:szCs w:val="32"/>
        </w:rPr>
      </w:pPr>
      <w:r>
        <w:rPr>
          <w:rStyle w:val="20"/>
          <w:rFonts w:hint="eastAsia" w:ascii="楷体" w:hAnsi="楷体" w:eastAsia="楷体"/>
          <w:spacing w:val="-4"/>
          <w:sz w:val="32"/>
          <w:szCs w:val="32"/>
        </w:rPr>
        <w:t>1.项目绩效总目标</w:t>
      </w:r>
    </w:p>
    <w:p w14:paraId="0D16A230">
      <w:pPr>
        <w:spacing w:line="540" w:lineRule="exact"/>
        <w:ind w:firstLine="567"/>
        <w:rPr>
          <w:rStyle w:val="20"/>
          <w:rFonts w:hint="eastAsia" w:ascii="楷体" w:hAnsi="楷体" w:eastAsia="楷体"/>
          <w:spacing w:val="-4"/>
          <w:sz w:val="32"/>
          <w:szCs w:val="32"/>
        </w:rPr>
      </w:pPr>
      <w:r>
        <w:rPr>
          <w:rStyle w:val="20"/>
          <w:rFonts w:hint="eastAsia" w:ascii="楷体" w:hAnsi="楷体" w:eastAsia="楷体"/>
          <w:spacing w:val="-4"/>
          <w:sz w:val="32"/>
          <w:szCs w:val="32"/>
        </w:rPr>
        <w:t>加强预算、决算管理，提升绩效管理水平。完成厅机关202</w:t>
      </w:r>
      <w:r>
        <w:rPr>
          <w:rStyle w:val="20"/>
          <w:rFonts w:hint="eastAsia" w:ascii="楷体" w:hAnsi="楷体" w:eastAsia="楷体"/>
          <w:spacing w:val="-4"/>
          <w:sz w:val="32"/>
          <w:szCs w:val="32"/>
          <w:lang w:val="en-US" w:eastAsia="zh-CN"/>
        </w:rPr>
        <w:t>3</w:t>
      </w:r>
      <w:r>
        <w:rPr>
          <w:rStyle w:val="20"/>
          <w:rFonts w:hint="eastAsia" w:ascii="楷体" w:hAnsi="楷体" w:eastAsia="楷体"/>
          <w:spacing w:val="-4"/>
          <w:sz w:val="32"/>
          <w:szCs w:val="32"/>
        </w:rPr>
        <w:t>年决算公开工作和202</w:t>
      </w:r>
      <w:r>
        <w:rPr>
          <w:rStyle w:val="20"/>
          <w:rFonts w:hint="eastAsia" w:ascii="楷体" w:hAnsi="楷体" w:eastAsia="楷体"/>
          <w:spacing w:val="-4"/>
          <w:sz w:val="32"/>
          <w:szCs w:val="32"/>
          <w:lang w:val="en-US" w:eastAsia="zh-CN"/>
        </w:rPr>
        <w:t>4</w:t>
      </w:r>
      <w:r>
        <w:rPr>
          <w:rStyle w:val="20"/>
          <w:rFonts w:hint="eastAsia" w:ascii="楷体" w:hAnsi="楷体" w:eastAsia="楷体"/>
          <w:spacing w:val="-4"/>
          <w:sz w:val="32"/>
          <w:szCs w:val="32"/>
        </w:rPr>
        <w:t>年度预算公开检查工作。结合202</w:t>
      </w:r>
      <w:r>
        <w:rPr>
          <w:rStyle w:val="20"/>
          <w:rFonts w:hint="eastAsia" w:ascii="楷体" w:hAnsi="楷体" w:eastAsia="楷体"/>
          <w:spacing w:val="-4"/>
          <w:sz w:val="32"/>
          <w:szCs w:val="32"/>
          <w:lang w:val="en-US" w:eastAsia="zh-CN"/>
        </w:rPr>
        <w:t>4</w:t>
      </w:r>
      <w:r>
        <w:rPr>
          <w:rStyle w:val="20"/>
          <w:rFonts w:hint="eastAsia" w:ascii="楷体" w:hAnsi="楷体" w:eastAsia="楷体"/>
          <w:spacing w:val="-4"/>
          <w:sz w:val="32"/>
          <w:szCs w:val="32"/>
        </w:rPr>
        <w:t>年预算安排情况，编制202</w:t>
      </w:r>
      <w:r>
        <w:rPr>
          <w:rStyle w:val="20"/>
          <w:rFonts w:hint="eastAsia" w:ascii="楷体" w:hAnsi="楷体" w:eastAsia="楷体"/>
          <w:spacing w:val="-4"/>
          <w:sz w:val="32"/>
          <w:szCs w:val="32"/>
          <w:lang w:val="en-US" w:eastAsia="zh-CN"/>
        </w:rPr>
        <w:t>5</w:t>
      </w:r>
      <w:r>
        <w:rPr>
          <w:rStyle w:val="20"/>
          <w:rFonts w:hint="eastAsia" w:ascii="楷体" w:hAnsi="楷体" w:eastAsia="楷体"/>
          <w:spacing w:val="-4"/>
          <w:sz w:val="32"/>
          <w:szCs w:val="32"/>
        </w:rPr>
        <w:t>年基本支出预算。按照厅党组对预算项目管理工作要求，认真总结分析预算执行慢的堵点和环节，研究优化流程和具体工作措施，确保各项目处室达到预算执行进度要求。按月汇总执行进度，定期将预算执行情况全厅通报。</w:t>
      </w:r>
    </w:p>
    <w:p w14:paraId="782308C4">
      <w:pPr>
        <w:pStyle w:val="11"/>
        <w:numPr>
          <w:ilvl w:val="0"/>
          <w:numId w:val="2"/>
        </w:numPr>
        <w:rPr>
          <w:rStyle w:val="20"/>
          <w:rFonts w:hint="eastAsia" w:ascii="楷体" w:hAnsi="楷体" w:eastAsia="楷体"/>
          <w:spacing w:val="-4"/>
          <w:sz w:val="32"/>
          <w:szCs w:val="32"/>
        </w:rPr>
      </w:pPr>
      <w:r>
        <w:rPr>
          <w:rStyle w:val="20"/>
          <w:rFonts w:hint="eastAsia" w:ascii="楷体" w:hAnsi="楷体" w:eastAsia="楷体"/>
          <w:spacing w:val="-4"/>
          <w:sz w:val="32"/>
          <w:szCs w:val="32"/>
        </w:rPr>
        <w:t>阶段性目标</w:t>
      </w:r>
    </w:p>
    <w:p w14:paraId="5B84EA3B">
      <w:pPr>
        <w:spacing w:line="540" w:lineRule="exact"/>
        <w:ind w:firstLine="567"/>
        <w:rPr>
          <w:rStyle w:val="20"/>
          <w:rFonts w:hint="eastAsia" w:ascii="楷体" w:hAnsi="楷体" w:eastAsia="楷体"/>
          <w:spacing w:val="-4"/>
          <w:sz w:val="32"/>
          <w:szCs w:val="32"/>
          <w:lang w:eastAsia="zh-CN"/>
        </w:rPr>
      </w:pPr>
      <w:r>
        <w:rPr>
          <w:rStyle w:val="20"/>
          <w:rFonts w:hint="eastAsia" w:ascii="楷体" w:hAnsi="楷体" w:eastAsia="楷体"/>
          <w:spacing w:val="-4"/>
          <w:sz w:val="32"/>
          <w:szCs w:val="32"/>
        </w:rPr>
        <w:t>项目前期准备阶段：202</w:t>
      </w:r>
      <w:r>
        <w:rPr>
          <w:rStyle w:val="20"/>
          <w:rFonts w:hint="eastAsia" w:ascii="楷体" w:hAnsi="楷体" w:eastAsia="楷体"/>
          <w:spacing w:val="-4"/>
          <w:sz w:val="32"/>
          <w:szCs w:val="32"/>
          <w:lang w:val="en-US" w:eastAsia="zh-CN"/>
        </w:rPr>
        <w:t>4</w:t>
      </w:r>
      <w:r>
        <w:rPr>
          <w:rStyle w:val="20"/>
          <w:rFonts w:hint="eastAsia" w:ascii="楷体" w:hAnsi="楷体" w:eastAsia="楷体"/>
          <w:spacing w:val="-4"/>
          <w:sz w:val="32"/>
          <w:szCs w:val="32"/>
        </w:rPr>
        <w:t>年1月1日至31日，明确自治区预算</w:t>
      </w:r>
      <w:r>
        <w:rPr>
          <w:rStyle w:val="20"/>
          <w:rFonts w:hint="eastAsia" w:ascii="楷体" w:hAnsi="楷体" w:eastAsia="楷体"/>
          <w:spacing w:val="-4"/>
          <w:sz w:val="32"/>
          <w:szCs w:val="32"/>
          <w:lang w:eastAsia="zh-CN"/>
        </w:rPr>
        <w:t>项目公开工作。</w:t>
      </w:r>
    </w:p>
    <w:p w14:paraId="298DDAFE">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项目实施阶段：2月1日至</w:t>
      </w:r>
      <w:r>
        <w:rPr>
          <w:rStyle w:val="20"/>
          <w:rFonts w:hint="eastAsia" w:ascii="楷体" w:hAnsi="楷体" w:eastAsia="楷体"/>
          <w:spacing w:val="-4"/>
          <w:sz w:val="32"/>
          <w:szCs w:val="32"/>
          <w:lang w:val="en-US" w:eastAsia="zh-CN"/>
        </w:rPr>
        <w:t>5</w:t>
      </w:r>
      <w:r>
        <w:rPr>
          <w:rStyle w:val="20"/>
          <w:rFonts w:hint="eastAsia" w:ascii="楷体" w:hAnsi="楷体" w:eastAsia="楷体"/>
          <w:spacing w:val="-4"/>
          <w:sz w:val="32"/>
          <w:szCs w:val="32"/>
        </w:rPr>
        <w:t>月31日，</w:t>
      </w:r>
      <w:r>
        <w:rPr>
          <w:rStyle w:val="20"/>
          <w:rFonts w:hint="eastAsia" w:ascii="楷体" w:hAnsi="楷体" w:eastAsia="楷体"/>
          <w:spacing w:val="-4"/>
          <w:sz w:val="32"/>
          <w:szCs w:val="32"/>
          <w:lang w:eastAsia="zh-CN"/>
        </w:rPr>
        <w:t>督促各项目处室完成绩效目标</w:t>
      </w:r>
      <w:r>
        <w:rPr>
          <w:rStyle w:val="20"/>
          <w:rFonts w:hint="eastAsia" w:ascii="楷体" w:hAnsi="楷体" w:eastAsia="楷体"/>
          <w:spacing w:val="-4"/>
          <w:sz w:val="32"/>
          <w:szCs w:val="32"/>
        </w:rPr>
        <w:t>；</w:t>
      </w:r>
      <w:r>
        <w:rPr>
          <w:rStyle w:val="20"/>
          <w:rFonts w:hint="eastAsia" w:ascii="楷体" w:hAnsi="楷体" w:eastAsia="楷体"/>
          <w:spacing w:val="-4"/>
          <w:sz w:val="32"/>
          <w:szCs w:val="32"/>
          <w:lang w:val="en-US" w:eastAsia="zh-CN"/>
        </w:rPr>
        <w:t>6</w:t>
      </w:r>
      <w:r>
        <w:rPr>
          <w:rStyle w:val="20"/>
          <w:rFonts w:hint="eastAsia" w:ascii="楷体" w:hAnsi="楷体" w:eastAsia="楷体"/>
          <w:spacing w:val="-4"/>
          <w:sz w:val="32"/>
          <w:szCs w:val="32"/>
        </w:rPr>
        <w:t>月1日至</w:t>
      </w:r>
      <w:r>
        <w:rPr>
          <w:rStyle w:val="20"/>
          <w:rFonts w:hint="eastAsia" w:ascii="楷体" w:hAnsi="楷体" w:eastAsia="楷体"/>
          <w:spacing w:val="-4"/>
          <w:sz w:val="32"/>
          <w:szCs w:val="32"/>
          <w:lang w:val="en-US" w:eastAsia="zh-CN"/>
        </w:rPr>
        <w:t>8</w:t>
      </w:r>
      <w:r>
        <w:rPr>
          <w:rStyle w:val="20"/>
          <w:rFonts w:hint="eastAsia" w:ascii="楷体" w:hAnsi="楷体" w:eastAsia="楷体"/>
          <w:spacing w:val="-4"/>
          <w:sz w:val="32"/>
          <w:szCs w:val="32"/>
        </w:rPr>
        <w:t>月30日，</w:t>
      </w:r>
      <w:r>
        <w:rPr>
          <w:rStyle w:val="20"/>
          <w:rFonts w:hint="eastAsia" w:ascii="楷体" w:hAnsi="楷体" w:eastAsia="楷体"/>
          <w:spacing w:val="-4"/>
          <w:sz w:val="32"/>
          <w:szCs w:val="32"/>
          <w:lang w:eastAsia="zh-CN"/>
        </w:rPr>
        <w:t>保障各项目处室在绩效考核结果中不为“黄标”“红标”处室</w:t>
      </w:r>
      <w:r>
        <w:rPr>
          <w:rStyle w:val="20"/>
          <w:rFonts w:hint="eastAsia" w:ascii="楷体" w:hAnsi="楷体" w:eastAsia="楷体"/>
          <w:spacing w:val="-4"/>
          <w:sz w:val="32"/>
          <w:szCs w:val="32"/>
        </w:rPr>
        <w:t>；1</w:t>
      </w:r>
      <w:r>
        <w:rPr>
          <w:rStyle w:val="20"/>
          <w:rFonts w:hint="eastAsia" w:ascii="楷体" w:hAnsi="楷体" w:eastAsia="楷体"/>
          <w:spacing w:val="-4"/>
          <w:sz w:val="32"/>
          <w:szCs w:val="32"/>
          <w:lang w:val="en-US" w:eastAsia="zh-CN"/>
        </w:rPr>
        <w:t>1</w:t>
      </w:r>
      <w:r>
        <w:rPr>
          <w:rStyle w:val="20"/>
          <w:rFonts w:hint="eastAsia" w:ascii="楷体" w:hAnsi="楷体" w:eastAsia="楷体"/>
          <w:spacing w:val="-4"/>
          <w:sz w:val="32"/>
          <w:szCs w:val="32"/>
        </w:rPr>
        <w:t>月30日前，预算内执行率达到100%。</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项目验收阶段：12月1日至31日，收集预算内执行情况材料。</w:t>
      </w:r>
    </w:p>
    <w:p w14:paraId="34D2532C">
      <w:pPr>
        <w:numPr>
          <w:ilvl w:val="0"/>
          <w:numId w:val="0"/>
        </w:numPr>
        <w:rPr>
          <w:rFonts w:hint="eastAsia" w:eastAsia="楷体"/>
          <w:lang w:eastAsia="zh-CN"/>
        </w:rPr>
      </w:pPr>
    </w:p>
    <w:p w14:paraId="448A29F9">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二、</w:t>
      </w:r>
      <w:r>
        <w:rPr>
          <w:rStyle w:val="20"/>
          <w:rFonts w:hint="eastAsia"/>
          <w:spacing w:val="-4"/>
          <w:sz w:val="32"/>
          <w:szCs w:val="32"/>
        </w:rPr>
        <w:t>绩效评价工作开展情况</w:t>
      </w:r>
    </w:p>
    <w:p w14:paraId="13EA7A66">
      <w:pPr>
        <w:spacing w:line="540" w:lineRule="exact"/>
        <w:ind w:firstLine="567" w:firstLineChars="181"/>
        <w:rPr>
          <w:rStyle w:val="20"/>
          <w:rFonts w:hint="eastAsia" w:ascii="楷体" w:hAnsi="楷体" w:eastAsia="楷体"/>
          <w:spacing w:val="-4"/>
          <w:sz w:val="32"/>
          <w:szCs w:val="32"/>
        </w:rPr>
      </w:pPr>
      <w:r>
        <w:rPr>
          <w:rStyle w:val="20"/>
          <w:rFonts w:hint="eastAsia" w:ascii="楷体" w:hAnsi="楷体" w:eastAsia="楷体"/>
          <w:spacing w:val="-4"/>
          <w:sz w:val="32"/>
          <w:szCs w:val="32"/>
        </w:rPr>
        <w:t>（一）绩效评价目的、对象和范围。</w:t>
      </w:r>
    </w:p>
    <w:p w14:paraId="10C6524A">
      <w:pPr>
        <w:pStyle w:val="11"/>
        <w:rPr>
          <w:rStyle w:val="20"/>
          <w:rFonts w:hint="eastAsia" w:ascii="楷体" w:hAnsi="楷体" w:eastAsia="楷体"/>
          <w:spacing w:val="-4"/>
          <w:sz w:val="32"/>
          <w:szCs w:val="32"/>
        </w:rPr>
      </w:pPr>
      <w:r>
        <w:rPr>
          <w:rStyle w:val="20"/>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旨在评价2023年自治区预算内投资和前期费项目实施前期、过程及效果，评价财政预算资金使用的效率及效益，进一步优化自治区预算内投资安排管理。</w:t>
      </w:r>
    </w:p>
    <w:p w14:paraId="6EE68BDB">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2.绩效评价对象</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lang w:val="en-US" w:eastAsia="zh-CN"/>
        </w:rPr>
        <w:t xml:space="preserve">   </w:t>
      </w:r>
      <w:r>
        <w:rPr>
          <w:rStyle w:val="20"/>
          <w:rFonts w:hint="eastAsia" w:ascii="楷体" w:hAnsi="楷体" w:eastAsia="楷体"/>
          <w:spacing w:val="-4"/>
          <w:sz w:val="32"/>
          <w:szCs w:val="32"/>
        </w:rPr>
        <w:t>本次绩效评价以2023年自治区预算项目所对应的预算资金支出为对象，以项目实施所带来的产出和效果为主要内容，以促进预算单位完成特定工作任务目标所组织开展的绩效评价。</w:t>
      </w:r>
      <w:r>
        <w:rPr>
          <w:rStyle w:val="20"/>
          <w:rFonts w:hint="eastAsia" w:ascii="楷体" w:hAnsi="楷体" w:eastAsia="楷体"/>
          <w:spacing w:val="-4"/>
          <w:sz w:val="32"/>
          <w:szCs w:val="32"/>
        </w:rPr>
        <w:cr/>
      </w:r>
      <w:r>
        <w:rPr>
          <w:rStyle w:val="20"/>
          <w:rFonts w:hint="eastAsia" w:ascii="楷体" w:hAnsi="楷体" w:eastAsia="楷体"/>
          <w:spacing w:val="-4"/>
          <w:sz w:val="32"/>
          <w:szCs w:val="32"/>
          <w:lang w:val="en-US" w:eastAsia="zh-CN"/>
        </w:rPr>
        <w:t xml:space="preserve">   </w:t>
      </w:r>
      <w:r>
        <w:rPr>
          <w:rStyle w:val="20"/>
          <w:rFonts w:hint="eastAsia" w:ascii="楷体" w:hAnsi="楷体" w:eastAsia="楷体"/>
          <w:spacing w:val="-4"/>
          <w:sz w:val="32"/>
          <w:szCs w:val="32"/>
        </w:rPr>
        <w:t>3.绩效评价范围</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14:paraId="5FB19827"/>
    <w:p w14:paraId="37DD7CA4">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（二）绩效评价原则、评价指标体系（附表说明）、评价方法、评价标准等。</w:t>
      </w:r>
    </w:p>
    <w:p w14:paraId="020CC5CF">
      <w:pPr>
        <w:spacing w:line="540" w:lineRule="exact"/>
        <w:ind w:firstLine="567"/>
        <w:rPr>
          <w:rStyle w:val="20"/>
          <w:rFonts w:hint="eastAsia" w:ascii="楷体" w:hAnsi="楷体" w:eastAsia="楷体"/>
          <w:spacing w:val="-4"/>
          <w:sz w:val="32"/>
          <w:szCs w:val="32"/>
        </w:rPr>
      </w:pPr>
      <w:r>
        <w:rPr>
          <w:rStyle w:val="20"/>
          <w:rFonts w:hint="eastAsia" w:ascii="楷体" w:hAnsi="楷体" w:eastAsia="楷体"/>
          <w:spacing w:val="-4"/>
          <w:sz w:val="32"/>
          <w:szCs w:val="32"/>
        </w:rPr>
        <w:t>1.绩效评价原则</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本次绩效评价遵循的原则包括：</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（1）科学公正。绩效评价应当运用科学合理的方法，按照规范的程序，对项目绩效进行客观、公正的反映。</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（4）公开透明。绩效评价结果应依法依规公开，并自觉接受社会监督。</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2.绩效评价指标体系</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一级指标为：决策、过程、产出、效益。</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二级指标为：项目立项、绩效目标、资金投入、资金管理、组织实施、产出数量、产出质量、产出时效、产出成本、项目效益。</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3AE7BBD8">
      <w:pPr>
        <w:rPr>
          <w:rStyle w:val="20"/>
          <w:rFonts w:hint="eastAsia" w:ascii="楷体" w:hAnsi="楷体" w:eastAsia="楷体" w:cs="Times New Roman"/>
          <w:spacing w:val="-4"/>
          <w:sz w:val="32"/>
          <w:szCs w:val="32"/>
        </w:rPr>
      </w:pPr>
      <w:r>
        <w:rPr>
          <w:rStyle w:val="20"/>
          <w:rFonts w:hint="eastAsia" w:ascii="楷体" w:hAnsi="楷体" w:eastAsia="楷体"/>
          <w:spacing w:val="-4"/>
          <w:sz w:val="32"/>
          <w:szCs w:val="32"/>
        </w:rPr>
        <w:t>3.绩效评价方法</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本次评价采用</w:t>
      </w:r>
      <w:r>
        <w:rPr>
          <w:rStyle w:val="20"/>
          <w:rFonts w:hint="eastAsia" w:ascii="楷体" w:hAnsi="楷体" w:eastAsia="楷体" w:cs="Times New Roman"/>
          <w:spacing w:val="-4"/>
          <w:sz w:val="32"/>
          <w:szCs w:val="32"/>
        </w:rPr>
        <w:t>成本效益分析法</w:t>
      </w:r>
      <w:r>
        <w:rPr>
          <w:rStyle w:val="20"/>
          <w:rFonts w:hint="eastAsia" w:ascii="楷体" w:hAnsi="楷体" w:eastAsia="楷体"/>
          <w:spacing w:val="-4"/>
          <w:sz w:val="32"/>
          <w:szCs w:val="32"/>
        </w:rPr>
        <w:t>和</w:t>
      </w:r>
      <w:r>
        <w:rPr>
          <w:rStyle w:val="20"/>
          <w:rFonts w:hint="eastAsia" w:ascii="楷体" w:hAnsi="楷体" w:eastAsia="楷体" w:cs="Times New Roman"/>
          <w:spacing w:val="-4"/>
          <w:sz w:val="32"/>
          <w:szCs w:val="32"/>
        </w:rPr>
        <w:t>比较法</w:t>
      </w:r>
      <w:r>
        <w:rPr>
          <w:rStyle w:val="20"/>
          <w:rFonts w:hint="eastAsia" w:ascii="楷体" w:hAnsi="楷体" w:eastAsia="楷体"/>
          <w:spacing w:val="-4"/>
          <w:sz w:val="32"/>
          <w:szCs w:val="32"/>
        </w:rPr>
        <w:t>，总分由各项指标得分汇总形成。</w:t>
      </w:r>
      <w:r>
        <w:rPr>
          <w:rStyle w:val="20"/>
          <w:rFonts w:hint="eastAsia" w:ascii="楷体" w:hAnsi="楷体" w:eastAsia="楷体"/>
          <w:spacing w:val="-4"/>
          <w:sz w:val="32"/>
          <w:szCs w:val="32"/>
        </w:rPr>
        <w:cr/>
      </w:r>
      <w:r>
        <w:rPr>
          <w:rStyle w:val="20"/>
          <w:rFonts w:hint="eastAsia" w:ascii="楷体" w:hAnsi="楷体" w:eastAsia="楷体" w:cs="Times New Roman"/>
          <w:spacing w:val="-4"/>
          <w:sz w:val="32"/>
          <w:szCs w:val="32"/>
        </w:rPr>
        <w:t xml:space="preserve">成本效益分析法。是指将投入与产出、效益进行关联性分析的方法。 </w:t>
      </w:r>
    </w:p>
    <w:p w14:paraId="6660FF2D">
      <w:pPr>
        <w:rPr>
          <w:rStyle w:val="20"/>
          <w:rFonts w:hint="eastAsia" w:ascii="楷体" w:hAnsi="楷体" w:eastAsia="楷体" w:cs="Times New Roman"/>
          <w:spacing w:val="-4"/>
          <w:sz w:val="32"/>
          <w:szCs w:val="32"/>
        </w:rPr>
      </w:pPr>
      <w:r>
        <w:rPr>
          <w:rStyle w:val="20"/>
          <w:rFonts w:hint="eastAsia" w:ascii="楷体" w:hAnsi="楷体" w:eastAsia="楷体" w:cs="Times New Roman"/>
          <w:spacing w:val="-4"/>
          <w:sz w:val="32"/>
          <w:szCs w:val="32"/>
        </w:rPr>
        <w:t>比较法。是指将实施情况与绩效目标、历史情况、不同部门和地区同类支出情况进行比较的方法。</w:t>
      </w:r>
    </w:p>
    <w:p w14:paraId="640501CD">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4.绩效评价标准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绩效评价体系、标准等详见（附件1）。</w:t>
      </w:r>
    </w:p>
    <w:p w14:paraId="01C0DA0A">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（三）绩效评价工作过程。</w:t>
      </w:r>
    </w:p>
    <w:p w14:paraId="26CA3E5C">
      <w:pPr>
        <w:pStyle w:val="11"/>
        <w:rPr>
          <w:rStyle w:val="20"/>
          <w:rFonts w:hint="eastAsia" w:ascii="楷体" w:hAnsi="楷体" w:eastAsia="楷体"/>
          <w:spacing w:val="-4"/>
          <w:sz w:val="32"/>
          <w:szCs w:val="32"/>
        </w:rPr>
      </w:pPr>
      <w:r>
        <w:rPr>
          <w:rStyle w:val="20"/>
          <w:rFonts w:hint="eastAsia" w:ascii="楷体" w:hAnsi="楷体" w:eastAsia="楷体"/>
          <w:spacing w:val="-4"/>
          <w:sz w:val="32"/>
          <w:szCs w:val="32"/>
        </w:rPr>
        <w:t>第一阶段：前期准备。</w:t>
      </w:r>
    </w:p>
    <w:p w14:paraId="52A5DDCD">
      <w:pPr>
        <w:pStyle w:val="11"/>
        <w:rPr>
          <w:rStyle w:val="20"/>
          <w:rFonts w:hint="eastAsia" w:ascii="楷体" w:hAnsi="楷体" w:eastAsia="楷体"/>
          <w:spacing w:val="-4"/>
          <w:sz w:val="32"/>
          <w:szCs w:val="32"/>
        </w:rPr>
      </w:pPr>
      <w:r>
        <w:rPr>
          <w:rStyle w:val="20"/>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w:t>
      </w:r>
    </w:p>
    <w:p w14:paraId="76724A23">
      <w:pPr>
        <w:pStyle w:val="11"/>
        <w:rPr>
          <w:rStyle w:val="20"/>
          <w:rFonts w:hint="eastAsia" w:ascii="楷体" w:hAnsi="楷体" w:eastAsia="楷体"/>
          <w:spacing w:val="-4"/>
          <w:sz w:val="32"/>
          <w:szCs w:val="32"/>
        </w:rPr>
      </w:pPr>
      <w:r>
        <w:rPr>
          <w:rStyle w:val="20"/>
          <w:rFonts w:hint="eastAsia" w:ascii="楷体" w:hAnsi="楷体" w:eastAsia="楷体"/>
          <w:spacing w:val="-4"/>
          <w:sz w:val="32"/>
          <w:szCs w:val="32"/>
        </w:rPr>
        <w:t>第二阶段：组织实施。</w:t>
      </w:r>
    </w:p>
    <w:p w14:paraId="43EECE55">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经评价组通过实地调研、查阅资料等方式，采用</w:t>
      </w:r>
      <w:r>
        <w:rPr>
          <w:rStyle w:val="20"/>
          <w:rFonts w:hint="eastAsia" w:ascii="楷体" w:hAnsi="楷体" w:eastAsia="楷体"/>
          <w:spacing w:val="-4"/>
          <w:sz w:val="32"/>
          <w:szCs w:val="32"/>
          <w:lang w:eastAsia="zh-CN"/>
        </w:rPr>
        <w:t>比较法</w:t>
      </w:r>
      <w:r>
        <w:rPr>
          <w:rStyle w:val="20"/>
          <w:rFonts w:hint="eastAsia" w:ascii="楷体" w:hAnsi="楷体" w:eastAsia="楷体" w:cs="Times New Roman"/>
          <w:spacing w:val="-4"/>
          <w:sz w:val="32"/>
          <w:szCs w:val="32"/>
        </w:rPr>
        <w:t>将实施情况与绩效目标、历史情况、不同部门和地区同类支出情况进行比较</w:t>
      </w:r>
      <w:r>
        <w:rPr>
          <w:rStyle w:val="20"/>
          <w:rFonts w:hint="eastAsia" w:ascii="楷体" w:hAnsi="楷体" w:eastAsia="楷体"/>
          <w:spacing w:val="-4"/>
          <w:sz w:val="32"/>
          <w:szCs w:val="32"/>
        </w:rPr>
        <w:t>分析。</w:t>
      </w:r>
      <w:r>
        <w:rPr>
          <w:rStyle w:val="20"/>
          <w:rFonts w:hint="eastAsia" w:ascii="楷体" w:hAnsi="楷体" w:eastAsia="楷体"/>
          <w:spacing w:val="-4"/>
          <w:sz w:val="32"/>
          <w:szCs w:val="32"/>
        </w:rPr>
        <w:cr/>
      </w:r>
      <w:r>
        <w:rPr>
          <w:rStyle w:val="20"/>
          <w:rFonts w:hint="eastAsia" w:ascii="楷体" w:hAnsi="楷体" w:eastAsia="楷体"/>
          <w:spacing w:val="-4"/>
          <w:sz w:val="32"/>
          <w:szCs w:val="32"/>
        </w:rPr>
        <w:t>第三阶段：分析评价。</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第四阶段：撰写与提交评价报告</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项目撰写绩效评价报告，按照财政</w:t>
      </w:r>
      <w:r>
        <w:rPr>
          <w:rStyle w:val="20"/>
          <w:rFonts w:hint="eastAsia" w:ascii="楷体" w:hAnsi="楷体" w:eastAsia="楷体"/>
          <w:spacing w:val="-4"/>
          <w:sz w:val="32"/>
          <w:szCs w:val="32"/>
          <w:lang w:eastAsia="zh-CN"/>
        </w:rPr>
        <w:t>厅</w:t>
      </w:r>
      <w:r>
        <w:rPr>
          <w:rStyle w:val="20"/>
          <w:rFonts w:hint="eastAsia" w:ascii="楷体" w:hAnsi="楷体" w:eastAsia="楷体"/>
          <w:spacing w:val="-4"/>
          <w:sz w:val="32"/>
          <w:szCs w:val="32"/>
        </w:rPr>
        <w:t>平台绩效系统中统一格式和文本框架撰写绩效评价报告。</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第五阶段：归集档案</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30E500FB">
      <w:pPr>
        <w:spacing w:line="540" w:lineRule="exact"/>
        <w:ind w:firstLine="640"/>
        <w:rPr>
          <w:rStyle w:val="20"/>
          <w:rFonts w:hint="eastAsia" w:ascii="黑体" w:hAnsi="黑体" w:eastAsia="黑体"/>
          <w:b w:val="0"/>
          <w:spacing w:val="-4"/>
          <w:sz w:val="32"/>
          <w:szCs w:val="32"/>
        </w:rPr>
      </w:pPr>
      <w:r>
        <w:rPr>
          <w:rStyle w:val="20"/>
          <w:rFonts w:hint="eastAsia" w:ascii="黑体" w:hAnsi="黑体" w:eastAsia="黑体"/>
          <w:b w:val="0"/>
          <w:spacing w:val="-4"/>
          <w:sz w:val="32"/>
          <w:szCs w:val="32"/>
        </w:rPr>
        <w:t>三、</w:t>
      </w:r>
      <w:r>
        <w:rPr>
          <w:rStyle w:val="20"/>
          <w:rFonts w:hint="eastAsia"/>
          <w:spacing w:val="-4"/>
          <w:sz w:val="32"/>
          <w:szCs w:val="32"/>
        </w:rPr>
        <w:t>综合评价情况及评价结论</w:t>
      </w:r>
    </w:p>
    <w:p w14:paraId="6BEFB64E">
      <w:pPr>
        <w:spacing w:line="540" w:lineRule="exact"/>
        <w:ind w:firstLine="567"/>
        <w:rPr>
          <w:rStyle w:val="20"/>
          <w:rFonts w:hint="eastAsia" w:ascii="楷体" w:hAnsi="楷体" w:eastAsia="楷体"/>
          <w:spacing w:val="-4"/>
          <w:sz w:val="32"/>
          <w:szCs w:val="32"/>
        </w:rPr>
      </w:pPr>
      <w:r>
        <w:rPr>
          <w:rStyle w:val="20"/>
          <w:rFonts w:hint="eastAsia" w:ascii="楷体" w:hAnsi="楷体" w:eastAsia="楷体"/>
          <w:spacing w:val="-4"/>
          <w:sz w:val="32"/>
          <w:szCs w:val="32"/>
        </w:rPr>
        <w:t>（一）综合评价情况</w:t>
      </w:r>
      <w:r>
        <w:rPr>
          <w:rStyle w:val="20"/>
          <w:rFonts w:hint="eastAsia" w:ascii="楷体" w:hAnsi="楷体" w:eastAsia="楷体"/>
          <w:spacing w:val="-4"/>
          <w:sz w:val="32"/>
          <w:szCs w:val="32"/>
        </w:rPr>
        <w:cr/>
      </w:r>
      <w:r>
        <w:rPr>
          <w:rStyle w:val="20"/>
          <w:rFonts w:hint="eastAsia" w:ascii="楷体" w:hAnsi="楷体" w:eastAsia="楷体"/>
          <w:spacing w:val="-4"/>
          <w:sz w:val="32"/>
          <w:szCs w:val="32"/>
        </w:rPr>
        <w:t xml:space="preserve">强化厅机关财务日常收支管理工作。严肃财经纪律做好厅机关专项资金支付使用监督管理工作，按要求把过紧日子作为一项长期坚持的政治任务，严格落实各项制度，将过紧日子各项措施落实到实处，严守财务相关制度及时支付各账户各类款项。  </w:t>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lang w:val="en-US" w:eastAsia="zh-CN"/>
        </w:rPr>
        <w:t xml:space="preserve"> </w:t>
      </w:r>
      <w:r>
        <w:rPr>
          <w:rStyle w:val="20"/>
          <w:rFonts w:hint="eastAsia" w:ascii="楷体" w:hAnsi="楷体" w:eastAsia="楷体"/>
          <w:spacing w:val="-4"/>
          <w:sz w:val="32"/>
          <w:szCs w:val="32"/>
        </w:rPr>
        <w:t>（二）综合评价结论</w:t>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运用项目组制定评价指标体系及财政部《项目支出绩效评价管理办法》（财预〔2020〕10号）文件评分标准进行评价，该项目最终评分</w:t>
      </w:r>
      <w:r>
        <w:rPr>
          <w:rStyle w:val="20"/>
          <w:rFonts w:hint="eastAsia" w:ascii="楷体" w:hAnsi="楷体" w:eastAsia="楷体"/>
          <w:spacing w:val="-4"/>
          <w:sz w:val="32"/>
          <w:szCs w:val="32"/>
          <w:lang w:val="en-US" w:eastAsia="zh-CN"/>
        </w:rPr>
        <w:t>100</w:t>
      </w:r>
      <w:r>
        <w:rPr>
          <w:rStyle w:val="20"/>
          <w:rFonts w:hint="eastAsia" w:ascii="楷体" w:hAnsi="楷体" w:eastAsia="楷体"/>
          <w:spacing w:val="-4"/>
          <w:sz w:val="32"/>
          <w:szCs w:val="32"/>
        </w:rPr>
        <w:t>分，绩效评级为“优”，</w:t>
      </w:r>
      <w:r>
        <w:rPr>
          <w:rStyle w:val="20"/>
          <w:rFonts w:hint="eastAsia" w:ascii="楷体" w:hAnsi="楷体" w:eastAsia="楷体"/>
          <w:spacing w:val="-4"/>
          <w:sz w:val="32"/>
          <w:szCs w:val="32"/>
          <w:lang w:eastAsia="zh-CN"/>
        </w:rPr>
        <w:t>总体完成率</w:t>
      </w:r>
      <w:r>
        <w:rPr>
          <w:rStyle w:val="20"/>
          <w:rFonts w:hint="eastAsia" w:ascii="楷体" w:hAnsi="楷体" w:eastAsia="楷体"/>
          <w:spacing w:val="-4"/>
          <w:sz w:val="32"/>
          <w:szCs w:val="32"/>
          <w:lang w:val="en-US" w:eastAsia="zh-CN"/>
        </w:rPr>
        <w:t>100%</w:t>
      </w:r>
      <w:r>
        <w:rPr>
          <w:rStyle w:val="20"/>
          <w:rFonts w:hint="eastAsia" w:ascii="楷体" w:hAnsi="楷体" w:eastAsia="楷体"/>
          <w:spacing w:val="-4"/>
          <w:sz w:val="32"/>
          <w:szCs w:val="32"/>
        </w:rPr>
        <w:t>。</w:t>
      </w:r>
    </w:p>
    <w:p w14:paraId="49E68CF9">
      <w:pPr>
        <w:spacing w:line="540" w:lineRule="exact"/>
        <w:ind w:firstLine="567"/>
        <w:rPr>
          <w:rStyle w:val="20"/>
          <w:rFonts w:hint="eastAsia" w:ascii="楷体" w:hAnsi="楷体" w:eastAsia="楷体"/>
          <w:spacing w:val="-4"/>
          <w:sz w:val="32"/>
          <w:szCs w:val="32"/>
          <w:lang w:val="en-US" w:eastAsia="zh-CN"/>
        </w:rPr>
      </w:pPr>
    </w:p>
    <w:p w14:paraId="1CC31758">
      <w:pPr>
        <w:spacing w:line="540" w:lineRule="exact"/>
        <w:ind w:firstLine="640"/>
        <w:rPr>
          <w:rStyle w:val="20"/>
          <w:rFonts w:ascii="黑体" w:hAnsi="黑体" w:eastAsia="黑体"/>
        </w:rPr>
      </w:pPr>
      <w:r>
        <w:rPr>
          <w:rStyle w:val="20"/>
          <w:rFonts w:hint="eastAsia" w:ascii="黑体" w:hAnsi="黑体" w:eastAsia="黑体"/>
          <w:b w:val="0"/>
          <w:spacing w:val="-4"/>
          <w:sz w:val="32"/>
          <w:szCs w:val="32"/>
        </w:rPr>
        <w:t>四、</w:t>
      </w:r>
      <w:r>
        <w:rPr>
          <w:rStyle w:val="20"/>
          <w:rFonts w:hint="eastAsia"/>
          <w:spacing w:val="-4"/>
          <w:sz w:val="32"/>
          <w:szCs w:val="32"/>
        </w:rPr>
        <w:t>绩效评价指标分析</w:t>
      </w:r>
      <w:r>
        <w:rPr>
          <w:rStyle w:val="20"/>
          <w:rFonts w:hint="eastAsia" w:ascii="黑体" w:hAnsi="黑体" w:eastAsia="黑体"/>
          <w:b w:val="0"/>
          <w:spacing w:val="-4"/>
          <w:sz w:val="32"/>
          <w:szCs w:val="32"/>
        </w:rPr>
        <w:t xml:space="preserve"> </w:t>
      </w:r>
    </w:p>
    <w:p w14:paraId="7862555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6F021335">
      <w:pPr>
        <w:pStyle w:val="11"/>
        <w:rPr>
          <w:rStyle w:val="20"/>
          <w:rFonts w:hint="eastAsia" w:ascii="楷体" w:hAnsi="楷体" w:eastAsia="楷体"/>
          <w:spacing w:val="-4"/>
          <w:sz w:val="32"/>
          <w:szCs w:val="32"/>
        </w:rPr>
      </w:pPr>
      <w:r>
        <w:rPr>
          <w:rStyle w:val="20"/>
          <w:rFonts w:hint="eastAsia" w:ascii="楷体" w:hAnsi="楷体" w:eastAsia="楷体"/>
          <w:spacing w:val="-4"/>
          <w:sz w:val="32"/>
          <w:szCs w:val="32"/>
        </w:rPr>
        <w:t>项目决策类指标包括购置办公设备数量、财务平台服务用户数和委托第三方运行维护费的内容，由</w:t>
      </w:r>
      <w:r>
        <w:rPr>
          <w:rStyle w:val="20"/>
          <w:rFonts w:hint="eastAsia" w:ascii="楷体" w:hAnsi="楷体" w:eastAsia="楷体"/>
          <w:spacing w:val="-4"/>
          <w:sz w:val="32"/>
          <w:szCs w:val="32"/>
          <w:lang w:val="en-US" w:eastAsia="zh-CN"/>
        </w:rPr>
        <w:t>3</w:t>
      </w:r>
      <w:r>
        <w:rPr>
          <w:rStyle w:val="20"/>
          <w:rFonts w:hint="eastAsia" w:ascii="楷体" w:hAnsi="楷体" w:eastAsia="楷体"/>
          <w:spacing w:val="-4"/>
          <w:sz w:val="32"/>
          <w:szCs w:val="32"/>
        </w:rPr>
        <w:t>个三级指标构成，权重分为</w:t>
      </w:r>
      <w:r>
        <w:rPr>
          <w:rStyle w:val="20"/>
          <w:rFonts w:hint="eastAsia" w:ascii="楷体" w:hAnsi="楷体" w:eastAsia="楷体"/>
          <w:spacing w:val="-4"/>
          <w:sz w:val="32"/>
          <w:szCs w:val="32"/>
          <w:lang w:val="en-US" w:eastAsia="zh-CN"/>
        </w:rPr>
        <w:t>35</w:t>
      </w:r>
      <w:r>
        <w:rPr>
          <w:rStyle w:val="20"/>
          <w:rFonts w:hint="eastAsia" w:ascii="楷体" w:hAnsi="楷体" w:eastAsia="楷体"/>
          <w:spacing w:val="-4"/>
          <w:sz w:val="32"/>
          <w:szCs w:val="32"/>
        </w:rPr>
        <w:t>分，实际得分</w:t>
      </w:r>
      <w:r>
        <w:rPr>
          <w:rStyle w:val="20"/>
          <w:rFonts w:hint="eastAsia" w:ascii="楷体" w:hAnsi="楷体" w:eastAsia="楷体"/>
          <w:spacing w:val="-4"/>
          <w:sz w:val="32"/>
          <w:szCs w:val="32"/>
          <w:lang w:val="en-US" w:eastAsia="zh-CN"/>
        </w:rPr>
        <w:t>35</w:t>
      </w:r>
      <w:r>
        <w:rPr>
          <w:rStyle w:val="20"/>
          <w:rFonts w:hint="eastAsia" w:ascii="楷体" w:hAnsi="楷体" w:eastAsia="楷体"/>
          <w:spacing w:val="-4"/>
          <w:sz w:val="32"/>
          <w:szCs w:val="32"/>
        </w:rPr>
        <w:t>分，得分率为100%。</w:t>
      </w:r>
      <w:r>
        <w:rPr>
          <w:rStyle w:val="20"/>
          <w:rFonts w:hint="eastAsia" w:ascii="楷体" w:hAnsi="楷体" w:eastAsia="楷体"/>
          <w:spacing w:val="-4"/>
          <w:sz w:val="32"/>
          <w:szCs w:val="32"/>
        </w:rPr>
        <w:cr/>
      </w:r>
      <w:r>
        <w:rPr>
          <w:rStyle w:val="20"/>
          <w:rFonts w:hint="eastAsia" w:ascii="楷体" w:hAnsi="楷体" w:eastAsia="楷体"/>
          <w:spacing w:val="-4"/>
          <w:sz w:val="32"/>
          <w:szCs w:val="32"/>
        </w:rPr>
        <w:t>（1）立项依据充分性：本项目立项符合国家法律法规，符合《新疆维吾尔自治区预算内投资项目管理办法》《自治区预算内前期费管理办法》，旨在支持</w:t>
      </w:r>
      <w:r>
        <w:rPr>
          <w:rStyle w:val="20"/>
          <w:rFonts w:hint="eastAsia" w:ascii="楷体" w:hAnsi="楷体" w:eastAsia="楷体"/>
          <w:spacing w:val="-4"/>
          <w:sz w:val="32"/>
          <w:szCs w:val="32"/>
          <w:lang w:eastAsia="zh-CN"/>
        </w:rPr>
        <w:t>维护日常办公保障需求</w:t>
      </w:r>
      <w:r>
        <w:rPr>
          <w:rStyle w:val="20"/>
          <w:rFonts w:hint="eastAsia" w:ascii="楷体" w:hAnsi="楷体" w:eastAsia="楷体"/>
          <w:spacing w:val="-4"/>
          <w:sz w:val="32"/>
          <w:szCs w:val="32"/>
        </w:rPr>
        <w:t>，</w:t>
      </w:r>
      <w:r>
        <w:rPr>
          <w:rStyle w:val="20"/>
          <w:rFonts w:hint="eastAsia" w:ascii="楷体" w:hAnsi="楷体" w:eastAsia="楷体"/>
          <w:spacing w:val="-4"/>
          <w:sz w:val="32"/>
          <w:szCs w:val="32"/>
          <w:lang w:eastAsia="zh-CN"/>
        </w:rPr>
        <w:t>各处室设备维护，日常维护需求，</w:t>
      </w:r>
      <w:r>
        <w:rPr>
          <w:rStyle w:val="20"/>
          <w:rFonts w:hint="eastAsia" w:ascii="楷体" w:hAnsi="楷体" w:eastAsia="楷体"/>
          <w:spacing w:val="-4"/>
          <w:sz w:val="32"/>
          <w:szCs w:val="32"/>
        </w:rPr>
        <w:t>立项依据充分，根据评分标准，该指标不扣分,得5分。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（2）立项程序规范性：项目按照规定的程序申请设立，审批文件、材料符合相关要求，根据评分标准，该指标不扣分，得3分。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（3）绩效目标合理性：绩效目标与实际工作内容具有相关性，预期产出效益和效果符合正常的业绩水平，且与预算确定的项目投资额或资金量相匹配，根据评分标准，该指标不扣分，得3分。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（4）绩效指标明确性：将项目绩效目标细化分解为具体的绩效指标，</w:t>
      </w:r>
      <w:r>
        <w:rPr>
          <w:rStyle w:val="20"/>
          <w:rFonts w:hint="eastAsia" w:ascii="楷体" w:hAnsi="楷体" w:eastAsia="楷体"/>
          <w:spacing w:val="-4"/>
          <w:sz w:val="32"/>
          <w:szCs w:val="32"/>
          <w:lang w:val="en-US" w:eastAsia="zh-CN"/>
        </w:rPr>
        <w:t>9</w:t>
      </w:r>
      <w:r>
        <w:rPr>
          <w:rStyle w:val="20"/>
          <w:rFonts w:hint="eastAsia" w:ascii="楷体" w:hAnsi="楷体" w:eastAsia="楷体"/>
          <w:spacing w:val="-4"/>
          <w:sz w:val="32"/>
          <w:szCs w:val="32"/>
        </w:rPr>
        <w:t>个三级指标，量化率75%通过清晰、可衡量的指标值予以体现，与项目目标任务数或计划数相对应，根据评分标准，该指标不扣分，得2分。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（5）预算编制科学性：预算编制经过科学论证，内容与项目内容匹配，项目投资额与工作任务相匹配，根据评分标准，该指标不扣分，得5分。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（6）资金分配合理性：资金分配额度合理，与项目单位和地方实际相适应，根据评分标准，该指标不扣分，得2分。</w:t>
      </w:r>
    </w:p>
    <w:p w14:paraId="7B591D6C">
      <w:pPr>
        <w:numPr>
          <w:ilvl w:val="0"/>
          <w:numId w:val="3"/>
        </w:numPr>
        <w:spacing w:line="540" w:lineRule="exact"/>
        <w:ind w:firstLine="567"/>
        <w:rPr>
          <w:rStyle w:val="20"/>
          <w:rFonts w:hint="eastAsia" w:ascii="楷体" w:hAnsi="楷体" w:eastAsia="楷体"/>
          <w:spacing w:val="-4"/>
          <w:sz w:val="32"/>
          <w:szCs w:val="32"/>
        </w:rPr>
      </w:pPr>
      <w:r>
        <w:rPr>
          <w:rStyle w:val="20"/>
          <w:rFonts w:hint="eastAsia" w:ascii="楷体" w:hAnsi="楷体" w:eastAsia="楷体"/>
          <w:spacing w:val="-4"/>
          <w:sz w:val="32"/>
          <w:szCs w:val="32"/>
        </w:rPr>
        <w:t>项目过程情况</w:t>
      </w:r>
      <w:r>
        <w:rPr>
          <w:rStyle w:val="20"/>
          <w:rFonts w:hint="eastAsia" w:ascii="楷体" w:hAnsi="楷体" w:eastAsia="楷体"/>
          <w:spacing w:val="-4"/>
          <w:sz w:val="32"/>
          <w:szCs w:val="32"/>
        </w:rPr>
        <w:cr/>
      </w:r>
      <w:r>
        <w:rPr>
          <w:rStyle w:val="20"/>
          <w:rFonts w:hint="eastAsia" w:ascii="楷体" w:hAnsi="楷体" w:eastAsia="楷体"/>
          <w:spacing w:val="-4"/>
          <w:sz w:val="32"/>
          <w:szCs w:val="32"/>
        </w:rPr>
        <w:t>项目过程类指标包括系统故障率和设备办公用品合格率两方面的内容，由</w:t>
      </w:r>
      <w:r>
        <w:rPr>
          <w:rStyle w:val="20"/>
          <w:rFonts w:hint="eastAsia" w:ascii="楷体" w:hAnsi="楷体" w:eastAsia="楷体"/>
          <w:spacing w:val="-4"/>
          <w:sz w:val="32"/>
          <w:szCs w:val="32"/>
          <w:lang w:val="en-US" w:eastAsia="zh-CN"/>
        </w:rPr>
        <w:t>2</w:t>
      </w:r>
      <w:r>
        <w:rPr>
          <w:rStyle w:val="20"/>
          <w:rFonts w:hint="eastAsia" w:ascii="楷体" w:hAnsi="楷体" w:eastAsia="楷体"/>
          <w:spacing w:val="-4"/>
          <w:sz w:val="32"/>
          <w:szCs w:val="32"/>
        </w:rPr>
        <w:t>个三级指标构成，权重分为20分，实际得分20分，得分率为100%。</w:t>
      </w:r>
    </w:p>
    <w:p w14:paraId="20936C43">
      <w:pPr>
        <w:numPr>
          <w:ilvl w:val="0"/>
          <w:numId w:val="4"/>
        </w:numPr>
        <w:spacing w:line="540" w:lineRule="exact"/>
        <w:rPr>
          <w:rStyle w:val="20"/>
          <w:rFonts w:hint="eastAsia" w:ascii="楷体" w:hAnsi="楷体" w:eastAsia="楷体"/>
          <w:spacing w:val="-4"/>
          <w:sz w:val="32"/>
          <w:szCs w:val="32"/>
        </w:rPr>
      </w:pPr>
      <w:r>
        <w:rPr>
          <w:rStyle w:val="20"/>
          <w:rFonts w:hint="eastAsia" w:ascii="楷体" w:hAnsi="楷体" w:eastAsia="楷体"/>
          <w:spacing w:val="-4"/>
          <w:sz w:val="32"/>
          <w:szCs w:val="32"/>
        </w:rPr>
        <w:t>资金到位率：财政资金足额拨付到位，资金到位率100%，根据评分标准，该指标不扣分，得2分。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（2）预算执行率：预算编制较为详细，项目资金支出总体能够按照预算执行，预算执行率100%，根据评分标准，该指标不扣分，得5分。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（3）资金使用合规性：经费使用符合《基本建设财务管理规定》，资金的拨付有完整的审批程序和手续，财务制度健全、执行严格，根据评分标准，该指标不扣分，得5分。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4）管理制度健全性：制定了《新疆维吾尔自治区预算内投资项目管理办法》《自治区预算内前期费管理办法》及发改委项目管理内控制度等相关管理制度，对财政专项资金进行严格管理，做到了专款专用，根据评分标准，该指标不扣分，得4分。</w:t>
      </w: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rPr>
        <w:t>（5）制度执行有效性：项目执行严格遵守《新疆维吾尔自治区预算内投资项目管理办法》《自治区预算内前期费管理办法》及发改委投资项目管理内控制度，但部分项目资料不齐全，归档不及时，根据评分标准，该指标不扣分，得4分。</w:t>
      </w:r>
    </w:p>
    <w:p w14:paraId="24210437">
      <w:pPr>
        <w:pStyle w:val="11"/>
        <w:numPr>
          <w:ilvl w:val="0"/>
          <w:numId w:val="3"/>
        </w:numPr>
        <w:ind w:left="0" w:leftChars="0" w:firstLine="567" w:firstLineChars="0"/>
        <w:rPr>
          <w:rStyle w:val="20"/>
          <w:rFonts w:hint="eastAsia" w:ascii="楷体" w:hAnsi="楷体" w:eastAsia="楷体"/>
          <w:spacing w:val="-4"/>
          <w:sz w:val="32"/>
          <w:szCs w:val="32"/>
        </w:rPr>
      </w:pPr>
      <w:r>
        <w:rPr>
          <w:rStyle w:val="20"/>
          <w:rFonts w:hint="eastAsia" w:ascii="楷体" w:hAnsi="楷体" w:eastAsia="楷体"/>
          <w:spacing w:val="-4"/>
          <w:sz w:val="32"/>
          <w:szCs w:val="32"/>
        </w:rPr>
        <w:t>项目产出情况</w:t>
      </w:r>
      <w:r>
        <w:rPr>
          <w:rStyle w:val="20"/>
          <w:rFonts w:hint="eastAsia" w:ascii="楷体" w:hAnsi="楷体" w:eastAsia="楷体"/>
          <w:spacing w:val="-4"/>
          <w:sz w:val="32"/>
          <w:szCs w:val="32"/>
        </w:rPr>
        <w:cr/>
      </w:r>
      <w:r>
        <w:rPr>
          <w:rStyle w:val="20"/>
          <w:rFonts w:hint="eastAsia" w:ascii="楷体" w:hAnsi="楷体" w:eastAsia="楷体"/>
          <w:spacing w:val="-4"/>
          <w:sz w:val="32"/>
          <w:szCs w:val="32"/>
          <w:lang w:val="en-US" w:eastAsia="zh-CN"/>
        </w:rPr>
        <w:t xml:space="preserve">     </w:t>
      </w:r>
      <w:r>
        <w:rPr>
          <w:rStyle w:val="20"/>
          <w:rFonts w:hint="eastAsia" w:ascii="楷体" w:hAnsi="楷体" w:eastAsia="楷体"/>
          <w:spacing w:val="-4"/>
          <w:sz w:val="32"/>
          <w:szCs w:val="32"/>
        </w:rPr>
        <w:t>项目产出类指标包括产出数量、产出质量、产出时效、产出成本四方面的内容，由</w:t>
      </w:r>
      <w:r>
        <w:rPr>
          <w:rStyle w:val="20"/>
          <w:rFonts w:hint="eastAsia" w:ascii="楷体" w:hAnsi="楷体" w:eastAsia="楷体"/>
          <w:spacing w:val="-4"/>
          <w:sz w:val="32"/>
          <w:szCs w:val="32"/>
          <w:lang w:val="en-US" w:eastAsia="zh-CN"/>
        </w:rPr>
        <w:t>8</w:t>
      </w:r>
      <w:r>
        <w:rPr>
          <w:rStyle w:val="20"/>
          <w:rFonts w:hint="eastAsia" w:ascii="楷体" w:hAnsi="楷体" w:eastAsia="楷体"/>
          <w:spacing w:val="-4"/>
          <w:sz w:val="32"/>
          <w:szCs w:val="32"/>
        </w:rPr>
        <w:t>个</w:t>
      </w:r>
      <w:r>
        <w:rPr>
          <w:rStyle w:val="20"/>
          <w:rFonts w:hint="eastAsia" w:ascii="楷体" w:hAnsi="楷体" w:eastAsia="楷体"/>
          <w:spacing w:val="-4"/>
          <w:sz w:val="32"/>
          <w:szCs w:val="32"/>
          <w:lang w:eastAsia="zh-CN"/>
        </w:rPr>
        <w:t>二</w:t>
      </w:r>
      <w:r>
        <w:rPr>
          <w:rStyle w:val="20"/>
          <w:rFonts w:hint="eastAsia" w:ascii="楷体" w:hAnsi="楷体" w:eastAsia="楷体"/>
          <w:spacing w:val="-4"/>
          <w:sz w:val="32"/>
          <w:szCs w:val="32"/>
        </w:rPr>
        <w:t>级指标构成，权重分为</w:t>
      </w:r>
      <w:r>
        <w:rPr>
          <w:rStyle w:val="20"/>
          <w:rFonts w:hint="eastAsia" w:ascii="楷体" w:hAnsi="楷体" w:eastAsia="楷体"/>
          <w:spacing w:val="-4"/>
          <w:sz w:val="32"/>
          <w:szCs w:val="32"/>
          <w:lang w:val="en-US" w:eastAsia="zh-CN"/>
        </w:rPr>
        <w:t>80</w:t>
      </w:r>
      <w:r>
        <w:rPr>
          <w:rStyle w:val="20"/>
          <w:rFonts w:hint="eastAsia" w:ascii="楷体" w:hAnsi="楷体" w:eastAsia="楷体"/>
          <w:spacing w:val="-4"/>
          <w:sz w:val="32"/>
          <w:szCs w:val="32"/>
        </w:rPr>
        <w:t>分，实际得分</w:t>
      </w:r>
      <w:r>
        <w:rPr>
          <w:rStyle w:val="20"/>
          <w:rFonts w:hint="eastAsia" w:ascii="楷体" w:hAnsi="楷体" w:eastAsia="楷体"/>
          <w:spacing w:val="-4"/>
          <w:sz w:val="32"/>
          <w:szCs w:val="32"/>
          <w:lang w:val="en-US" w:eastAsia="zh-CN"/>
        </w:rPr>
        <w:t>80</w:t>
      </w:r>
      <w:r>
        <w:rPr>
          <w:rStyle w:val="20"/>
          <w:rFonts w:hint="eastAsia" w:ascii="楷体" w:hAnsi="楷体" w:eastAsia="楷体"/>
          <w:spacing w:val="-4"/>
          <w:sz w:val="32"/>
          <w:szCs w:val="32"/>
        </w:rPr>
        <w:t>分，得分率为</w:t>
      </w:r>
      <w:r>
        <w:rPr>
          <w:rStyle w:val="20"/>
          <w:rFonts w:hint="eastAsia" w:ascii="楷体" w:hAnsi="楷体" w:eastAsia="楷体"/>
          <w:spacing w:val="-4"/>
          <w:sz w:val="32"/>
          <w:szCs w:val="32"/>
          <w:lang w:val="en-US" w:eastAsia="zh-CN"/>
        </w:rPr>
        <w:t>100</w:t>
      </w:r>
      <w:r>
        <w:rPr>
          <w:rStyle w:val="20"/>
          <w:rFonts w:hint="eastAsia" w:ascii="楷体" w:hAnsi="楷体" w:eastAsia="楷体"/>
          <w:spacing w:val="-4"/>
          <w:sz w:val="32"/>
          <w:szCs w:val="32"/>
        </w:rPr>
        <w:t>%。</w:t>
      </w:r>
      <w:r>
        <w:rPr>
          <w:rStyle w:val="20"/>
          <w:rFonts w:hint="eastAsia" w:ascii="楷体" w:hAnsi="楷体" w:eastAsia="楷体"/>
          <w:spacing w:val="-4"/>
          <w:sz w:val="32"/>
          <w:szCs w:val="32"/>
        </w:rPr>
        <w:cr/>
      </w:r>
    </w:p>
    <w:p w14:paraId="54A4466D">
      <w:pPr>
        <w:pStyle w:val="11"/>
        <w:keepNext w:val="0"/>
        <w:keepLines w:val="0"/>
        <w:pageBreakBefore w:val="0"/>
        <w:widowControl w:val="0"/>
        <w:numPr>
          <w:ilvl w:val="0"/>
          <w:numId w:val="0"/>
        </w:numPr>
        <w:kinsoku/>
        <w:wordWrap/>
        <w:overflowPunct/>
        <w:topLinePunct w:val="0"/>
        <w:autoSpaceDE/>
        <w:autoSpaceDN/>
        <w:bidi w:val="0"/>
        <w:adjustRightInd/>
        <w:snapToGrid/>
        <w:ind w:left="540" w:leftChars="257" w:firstLine="235" w:firstLineChars="75"/>
        <w:jc w:val="both"/>
        <w:textAlignment w:val="auto"/>
        <w:rPr>
          <w:rStyle w:val="20"/>
          <w:rFonts w:hint="eastAsia" w:ascii="楷体" w:hAnsi="楷体" w:eastAsia="楷体"/>
          <w:spacing w:val="-4"/>
          <w:sz w:val="32"/>
          <w:szCs w:val="32"/>
        </w:rPr>
      </w:pPr>
      <w:r>
        <w:rPr>
          <w:rStyle w:val="20"/>
          <w:rFonts w:hint="eastAsia" w:ascii="楷体" w:hAnsi="楷体" w:eastAsia="楷体"/>
          <w:spacing w:val="-4"/>
          <w:sz w:val="32"/>
          <w:szCs w:val="32"/>
        </w:rPr>
        <w:t>（1）对于“产出数量”</w:t>
      </w:r>
    </w:p>
    <w:p w14:paraId="4975DD63">
      <w:pPr>
        <w:pStyle w:val="11"/>
        <w:keepNext w:val="0"/>
        <w:keepLines w:val="0"/>
        <w:pageBreakBefore w:val="0"/>
        <w:widowControl w:val="0"/>
        <w:numPr>
          <w:ilvl w:val="0"/>
          <w:numId w:val="0"/>
        </w:numPr>
        <w:kinsoku/>
        <w:wordWrap/>
        <w:overflowPunct/>
        <w:topLinePunct w:val="0"/>
        <w:autoSpaceDE/>
        <w:autoSpaceDN/>
        <w:bidi w:val="0"/>
        <w:adjustRightInd/>
        <w:snapToGrid/>
        <w:ind w:firstLine="627" w:firstLineChars="200"/>
        <w:jc w:val="both"/>
        <w:textAlignment w:val="auto"/>
        <w:rPr>
          <w:rStyle w:val="20"/>
          <w:rFonts w:hint="eastAsia" w:ascii="楷体" w:hAnsi="楷体" w:eastAsia="楷体"/>
          <w:spacing w:val="-4"/>
          <w:sz w:val="32"/>
          <w:szCs w:val="32"/>
        </w:rPr>
      </w:pPr>
      <w:r>
        <w:rPr>
          <w:rStyle w:val="20"/>
          <w:rFonts w:hint="eastAsia" w:ascii="楷体" w:hAnsi="楷体" w:eastAsia="楷体"/>
          <w:spacing w:val="-4"/>
          <w:sz w:val="32"/>
          <w:szCs w:val="32"/>
        </w:rPr>
        <w:t>财务平台服务用户数</w:t>
      </w:r>
      <w:r>
        <w:rPr>
          <w:rStyle w:val="20"/>
          <w:rFonts w:hint="eastAsia" w:ascii="楷体" w:hAnsi="楷体" w:eastAsia="楷体"/>
          <w:spacing w:val="-4"/>
          <w:sz w:val="32"/>
          <w:szCs w:val="32"/>
          <w:lang w:eastAsia="zh-CN"/>
        </w:rPr>
        <w:t>，</w:t>
      </w:r>
      <w:r>
        <w:rPr>
          <w:rStyle w:val="20"/>
          <w:rFonts w:hint="eastAsia" w:ascii="楷体" w:hAnsi="楷体" w:eastAsia="楷体"/>
          <w:spacing w:val="-4"/>
          <w:sz w:val="32"/>
          <w:szCs w:val="32"/>
        </w:rPr>
        <w:t>与预期目标一致，根据评分标准，该指标不扣分，得</w:t>
      </w:r>
      <w:r>
        <w:rPr>
          <w:rStyle w:val="20"/>
          <w:rFonts w:hint="eastAsia" w:ascii="楷体" w:hAnsi="楷体" w:eastAsia="楷体"/>
          <w:spacing w:val="-4"/>
          <w:sz w:val="32"/>
          <w:szCs w:val="32"/>
          <w:lang w:val="en-US" w:eastAsia="zh-CN"/>
        </w:rPr>
        <w:t>10</w:t>
      </w:r>
      <w:r>
        <w:rPr>
          <w:rStyle w:val="20"/>
          <w:rFonts w:hint="eastAsia" w:ascii="楷体" w:hAnsi="楷体" w:eastAsia="楷体"/>
          <w:spacing w:val="-4"/>
          <w:sz w:val="32"/>
          <w:szCs w:val="32"/>
        </w:rPr>
        <w:t>分。</w:t>
      </w:r>
    </w:p>
    <w:p w14:paraId="7A249435">
      <w:pPr>
        <w:pStyle w:val="11"/>
        <w:numPr>
          <w:ilvl w:val="0"/>
          <w:numId w:val="0"/>
        </w:numPr>
        <w:ind w:firstLine="627" w:firstLineChars="200"/>
        <w:rPr>
          <w:rStyle w:val="20"/>
          <w:rFonts w:hint="eastAsia" w:ascii="楷体" w:hAnsi="楷体" w:eastAsia="楷体"/>
          <w:spacing w:val="-4"/>
          <w:sz w:val="32"/>
          <w:szCs w:val="32"/>
        </w:rPr>
      </w:pPr>
      <w:r>
        <w:rPr>
          <w:rStyle w:val="20"/>
          <w:rFonts w:hint="eastAsia" w:ascii="楷体" w:hAnsi="楷体" w:eastAsia="楷体"/>
          <w:spacing w:val="-4"/>
          <w:sz w:val="32"/>
          <w:szCs w:val="32"/>
        </w:rPr>
        <w:t>购置办公设备数量</w:t>
      </w:r>
      <w:r>
        <w:rPr>
          <w:rStyle w:val="20"/>
          <w:rFonts w:hint="eastAsia" w:ascii="楷体" w:hAnsi="楷体" w:eastAsia="楷体"/>
          <w:spacing w:val="-4"/>
          <w:sz w:val="32"/>
          <w:szCs w:val="32"/>
          <w:lang w:eastAsia="zh-CN"/>
        </w:rPr>
        <w:t>，</w:t>
      </w:r>
      <w:r>
        <w:rPr>
          <w:rStyle w:val="20"/>
          <w:rFonts w:hint="eastAsia" w:ascii="楷体" w:hAnsi="楷体" w:eastAsia="楷体"/>
          <w:spacing w:val="-4"/>
          <w:sz w:val="32"/>
          <w:szCs w:val="32"/>
        </w:rPr>
        <w:t>与预期目标一致，根据评分标准，该指标不扣分，得</w:t>
      </w:r>
      <w:r>
        <w:rPr>
          <w:rStyle w:val="20"/>
          <w:rFonts w:hint="eastAsia" w:ascii="楷体" w:hAnsi="楷体" w:eastAsia="楷体"/>
          <w:spacing w:val="-4"/>
          <w:sz w:val="32"/>
          <w:szCs w:val="32"/>
          <w:lang w:val="en-US" w:eastAsia="zh-CN"/>
        </w:rPr>
        <w:t>5</w:t>
      </w:r>
      <w:r>
        <w:rPr>
          <w:rStyle w:val="20"/>
          <w:rFonts w:hint="eastAsia" w:ascii="楷体" w:hAnsi="楷体" w:eastAsia="楷体"/>
          <w:spacing w:val="-4"/>
          <w:sz w:val="32"/>
          <w:szCs w:val="32"/>
        </w:rPr>
        <w:t>分。</w:t>
      </w:r>
    </w:p>
    <w:p w14:paraId="04C0C89C">
      <w:pPr>
        <w:pStyle w:val="11"/>
        <w:numPr>
          <w:ilvl w:val="0"/>
          <w:numId w:val="0"/>
        </w:numPr>
        <w:ind w:firstLine="627" w:firstLineChars="200"/>
        <w:rPr>
          <w:rStyle w:val="20"/>
          <w:rFonts w:hint="eastAsia" w:ascii="楷体" w:hAnsi="楷体" w:eastAsia="楷体"/>
          <w:spacing w:val="-4"/>
          <w:sz w:val="32"/>
          <w:szCs w:val="32"/>
        </w:rPr>
      </w:pPr>
    </w:p>
    <w:p w14:paraId="04E65826">
      <w:pPr>
        <w:pStyle w:val="11"/>
        <w:numPr>
          <w:ilvl w:val="0"/>
          <w:numId w:val="4"/>
        </w:numPr>
        <w:ind w:left="0" w:leftChars="0" w:firstLine="843" w:firstLineChars="269"/>
        <w:rPr>
          <w:rStyle w:val="20"/>
          <w:rFonts w:hint="eastAsia" w:ascii="楷体" w:hAnsi="楷体" w:eastAsia="楷体"/>
          <w:spacing w:val="-4"/>
          <w:sz w:val="32"/>
          <w:szCs w:val="32"/>
        </w:rPr>
      </w:pPr>
      <w:r>
        <w:rPr>
          <w:rStyle w:val="20"/>
          <w:rFonts w:hint="eastAsia" w:ascii="楷体" w:hAnsi="楷体" w:eastAsia="楷体"/>
          <w:spacing w:val="-4"/>
          <w:sz w:val="32"/>
          <w:szCs w:val="32"/>
        </w:rPr>
        <w:t>对于“产出质量”：</w:t>
      </w:r>
      <w:r>
        <w:rPr>
          <w:rStyle w:val="20"/>
          <w:rFonts w:hint="eastAsia" w:ascii="楷体" w:hAnsi="楷体" w:eastAsia="楷体"/>
          <w:spacing w:val="-4"/>
          <w:sz w:val="32"/>
          <w:szCs w:val="32"/>
        </w:rPr>
        <w:cr/>
      </w:r>
      <w:r>
        <w:rPr>
          <w:rStyle w:val="20"/>
          <w:rFonts w:hint="eastAsia" w:ascii="楷体" w:hAnsi="楷体" w:eastAsia="楷体"/>
          <w:spacing w:val="-4"/>
          <w:sz w:val="32"/>
          <w:szCs w:val="32"/>
          <w:lang w:val="en-US" w:eastAsia="zh-CN"/>
        </w:rPr>
        <w:t xml:space="preserve">     设备办公用品合格率</w:t>
      </w:r>
      <w:r>
        <w:rPr>
          <w:rStyle w:val="20"/>
          <w:rFonts w:hint="eastAsia" w:ascii="楷体" w:hAnsi="楷体" w:eastAsia="楷体"/>
          <w:spacing w:val="-4"/>
          <w:sz w:val="32"/>
          <w:szCs w:val="32"/>
          <w:lang w:eastAsia="zh-CN"/>
        </w:rPr>
        <w:t>，</w:t>
      </w:r>
      <w:r>
        <w:rPr>
          <w:rStyle w:val="20"/>
          <w:rFonts w:hint="eastAsia" w:ascii="楷体" w:hAnsi="楷体" w:eastAsia="楷体"/>
          <w:spacing w:val="-4"/>
          <w:sz w:val="32"/>
          <w:szCs w:val="32"/>
        </w:rPr>
        <w:t>与预期目标一致，根据评分标准，该指标不扣分，得</w:t>
      </w:r>
      <w:r>
        <w:rPr>
          <w:rStyle w:val="20"/>
          <w:rFonts w:hint="eastAsia" w:ascii="楷体" w:hAnsi="楷体" w:eastAsia="楷体"/>
          <w:spacing w:val="-4"/>
          <w:sz w:val="32"/>
          <w:szCs w:val="32"/>
          <w:lang w:val="en-US" w:eastAsia="zh-CN"/>
        </w:rPr>
        <w:t>10</w:t>
      </w:r>
      <w:r>
        <w:rPr>
          <w:rStyle w:val="20"/>
          <w:rFonts w:hint="eastAsia" w:ascii="楷体" w:hAnsi="楷体" w:eastAsia="楷体"/>
          <w:spacing w:val="-4"/>
          <w:sz w:val="32"/>
          <w:szCs w:val="32"/>
        </w:rPr>
        <w:t>分。</w:t>
      </w:r>
    </w:p>
    <w:p w14:paraId="4B455B4F">
      <w:pPr>
        <w:pStyle w:val="11"/>
        <w:numPr>
          <w:ilvl w:val="0"/>
          <w:numId w:val="0"/>
        </w:numPr>
        <w:ind w:left="0" w:leftChars="0" w:firstLine="843" w:firstLineChars="269"/>
        <w:rPr>
          <w:rStyle w:val="20"/>
          <w:rFonts w:hint="eastAsia" w:ascii="楷体" w:hAnsi="楷体" w:eastAsia="楷体"/>
          <w:spacing w:val="-4"/>
          <w:sz w:val="32"/>
          <w:szCs w:val="32"/>
        </w:rPr>
      </w:pPr>
      <w:r>
        <w:rPr>
          <w:rStyle w:val="20"/>
          <w:rFonts w:hint="eastAsia" w:ascii="楷体" w:hAnsi="楷体" w:eastAsia="楷体"/>
          <w:spacing w:val="-4"/>
          <w:sz w:val="32"/>
          <w:szCs w:val="32"/>
          <w:lang w:val="en-US" w:eastAsia="zh-CN"/>
        </w:rPr>
        <w:t>系统故障率</w:t>
      </w:r>
      <w:r>
        <w:rPr>
          <w:rStyle w:val="20"/>
          <w:rFonts w:hint="eastAsia" w:ascii="楷体" w:hAnsi="楷体" w:eastAsia="楷体"/>
          <w:spacing w:val="-4"/>
          <w:sz w:val="32"/>
          <w:szCs w:val="32"/>
          <w:lang w:eastAsia="zh-CN"/>
        </w:rPr>
        <w:t>，</w:t>
      </w:r>
      <w:r>
        <w:rPr>
          <w:rStyle w:val="20"/>
          <w:rFonts w:hint="eastAsia" w:ascii="楷体" w:hAnsi="楷体" w:eastAsia="楷体"/>
          <w:spacing w:val="-4"/>
          <w:sz w:val="32"/>
          <w:szCs w:val="32"/>
        </w:rPr>
        <w:t>与预期目标一致，根据评分标准，该指标不扣分，得</w:t>
      </w:r>
      <w:r>
        <w:rPr>
          <w:rStyle w:val="20"/>
          <w:rFonts w:hint="eastAsia" w:ascii="楷体" w:hAnsi="楷体" w:eastAsia="楷体"/>
          <w:spacing w:val="-4"/>
          <w:sz w:val="32"/>
          <w:szCs w:val="32"/>
          <w:lang w:val="en-US" w:eastAsia="zh-CN"/>
        </w:rPr>
        <w:t>10</w:t>
      </w:r>
      <w:r>
        <w:rPr>
          <w:rStyle w:val="20"/>
          <w:rFonts w:hint="eastAsia" w:ascii="楷体" w:hAnsi="楷体" w:eastAsia="楷体"/>
          <w:spacing w:val="-4"/>
          <w:sz w:val="32"/>
          <w:szCs w:val="32"/>
        </w:rPr>
        <w:t>分。</w:t>
      </w:r>
    </w:p>
    <w:p w14:paraId="115E5D66">
      <w:pPr>
        <w:pStyle w:val="11"/>
        <w:numPr>
          <w:ilvl w:val="0"/>
          <w:numId w:val="0"/>
        </w:numPr>
        <w:ind w:left="0" w:leftChars="0" w:firstLine="843" w:firstLineChars="269"/>
        <w:rPr>
          <w:rStyle w:val="20"/>
          <w:rFonts w:hint="eastAsia" w:ascii="楷体" w:hAnsi="楷体" w:eastAsia="楷体"/>
          <w:spacing w:val="-4"/>
          <w:sz w:val="32"/>
          <w:szCs w:val="32"/>
        </w:rPr>
      </w:pPr>
      <w:r>
        <w:rPr>
          <w:rStyle w:val="20"/>
          <w:rFonts w:hint="eastAsia" w:ascii="楷体" w:hAnsi="楷体" w:eastAsia="楷体"/>
          <w:spacing w:val="-4"/>
          <w:sz w:val="32"/>
          <w:szCs w:val="32"/>
        </w:rPr>
        <w:cr/>
      </w:r>
      <w:r>
        <w:rPr>
          <w:rStyle w:val="20"/>
          <w:rFonts w:hint="eastAsia" w:ascii="楷体" w:hAnsi="楷体" w:eastAsia="楷体"/>
          <w:spacing w:val="-4"/>
          <w:sz w:val="32"/>
          <w:szCs w:val="32"/>
          <w:lang w:val="en-US" w:eastAsia="zh-CN"/>
        </w:rPr>
        <w:t xml:space="preserve">   </w:t>
      </w:r>
      <w:r>
        <w:rPr>
          <w:rStyle w:val="20"/>
          <w:rFonts w:hint="eastAsia" w:ascii="楷体" w:hAnsi="楷体" w:eastAsia="楷体"/>
          <w:spacing w:val="-4"/>
          <w:sz w:val="32"/>
          <w:szCs w:val="32"/>
        </w:rPr>
        <w:t>（3）对于“产出时效”：</w:t>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lang w:val="en-US" w:eastAsia="zh-CN"/>
        </w:rPr>
        <w:t xml:space="preserve">    </w:t>
      </w:r>
      <w:r>
        <w:rPr>
          <w:rStyle w:val="20"/>
          <w:rFonts w:hint="eastAsia" w:ascii="楷体" w:hAnsi="楷体" w:eastAsia="楷体"/>
          <w:spacing w:val="-4"/>
          <w:sz w:val="32"/>
          <w:szCs w:val="32"/>
        </w:rPr>
        <w:t>系统运行维护响应时间</w:t>
      </w:r>
      <w:r>
        <w:rPr>
          <w:rStyle w:val="20"/>
          <w:rFonts w:hint="eastAsia" w:ascii="楷体" w:hAnsi="楷体" w:eastAsia="楷体"/>
          <w:spacing w:val="-4"/>
          <w:sz w:val="32"/>
          <w:szCs w:val="32"/>
          <w:lang w:eastAsia="zh-CN"/>
        </w:rPr>
        <w:t>，</w:t>
      </w:r>
      <w:r>
        <w:rPr>
          <w:rStyle w:val="20"/>
          <w:rFonts w:hint="eastAsia" w:ascii="楷体" w:hAnsi="楷体" w:eastAsia="楷体"/>
          <w:spacing w:val="-4"/>
          <w:sz w:val="32"/>
          <w:szCs w:val="32"/>
        </w:rPr>
        <w:t>与预期目标一致，根据评分标准，该指标不扣分，得</w:t>
      </w:r>
      <w:r>
        <w:rPr>
          <w:rStyle w:val="20"/>
          <w:rFonts w:hint="eastAsia" w:ascii="楷体" w:hAnsi="楷体" w:eastAsia="楷体"/>
          <w:spacing w:val="-4"/>
          <w:sz w:val="32"/>
          <w:szCs w:val="32"/>
          <w:lang w:val="en-US" w:eastAsia="zh-CN"/>
        </w:rPr>
        <w:t>10</w:t>
      </w:r>
      <w:r>
        <w:rPr>
          <w:rStyle w:val="20"/>
          <w:rFonts w:hint="eastAsia" w:ascii="楷体" w:hAnsi="楷体" w:eastAsia="楷体"/>
          <w:spacing w:val="-4"/>
          <w:sz w:val="32"/>
          <w:szCs w:val="32"/>
        </w:rPr>
        <w:t>分。</w:t>
      </w:r>
    </w:p>
    <w:p w14:paraId="68F0BF61">
      <w:pPr>
        <w:numPr>
          <w:ilvl w:val="0"/>
          <w:numId w:val="0"/>
        </w:numPr>
        <w:ind w:firstLine="627" w:firstLineChars="200"/>
        <w:rPr>
          <w:rStyle w:val="20"/>
          <w:rFonts w:hint="eastAsia" w:ascii="楷体" w:hAnsi="楷体" w:eastAsia="楷体"/>
          <w:spacing w:val="-4"/>
          <w:sz w:val="32"/>
          <w:szCs w:val="32"/>
        </w:rPr>
      </w:pPr>
      <w:r>
        <w:rPr>
          <w:rStyle w:val="20"/>
          <w:rFonts w:hint="eastAsia" w:ascii="楷体" w:hAnsi="楷体" w:eastAsia="楷体"/>
          <w:spacing w:val="-4"/>
          <w:sz w:val="32"/>
          <w:szCs w:val="32"/>
        </w:rPr>
        <w:cr/>
      </w:r>
      <w:r>
        <w:rPr>
          <w:rStyle w:val="20"/>
          <w:rFonts w:hint="eastAsia" w:ascii="楷体" w:hAnsi="楷体" w:eastAsia="楷体"/>
          <w:spacing w:val="-4"/>
          <w:sz w:val="32"/>
          <w:szCs w:val="32"/>
        </w:rPr>
        <w:br w:type="textWrapping"/>
      </w:r>
      <w:r>
        <w:rPr>
          <w:rStyle w:val="20"/>
          <w:rFonts w:hint="eastAsia" w:ascii="楷体" w:hAnsi="楷体" w:eastAsia="楷体"/>
          <w:spacing w:val="-4"/>
          <w:sz w:val="32"/>
          <w:szCs w:val="32"/>
          <w:lang w:val="en-US" w:eastAsia="zh-CN"/>
        </w:rPr>
        <w:t xml:space="preserve">   </w:t>
      </w:r>
      <w:r>
        <w:rPr>
          <w:rStyle w:val="20"/>
          <w:rFonts w:hint="eastAsia" w:ascii="楷体" w:hAnsi="楷体" w:eastAsia="楷体"/>
          <w:spacing w:val="-4"/>
          <w:sz w:val="32"/>
          <w:szCs w:val="32"/>
        </w:rPr>
        <w:t>（4）对于“产出成本”：</w:t>
      </w:r>
    </w:p>
    <w:p w14:paraId="7C8A0F9C">
      <w:pPr>
        <w:pStyle w:val="11"/>
        <w:numPr>
          <w:ilvl w:val="0"/>
          <w:numId w:val="0"/>
        </w:numPr>
        <w:ind w:left="0" w:leftChars="0" w:firstLine="843" w:firstLineChars="269"/>
        <w:rPr>
          <w:rStyle w:val="20"/>
          <w:rFonts w:hint="eastAsia" w:ascii="楷体" w:hAnsi="楷体" w:eastAsia="楷体"/>
          <w:spacing w:val="-4"/>
          <w:sz w:val="32"/>
          <w:szCs w:val="32"/>
        </w:rPr>
      </w:pPr>
      <w:r>
        <w:rPr>
          <w:rStyle w:val="20"/>
          <w:rFonts w:hint="eastAsia" w:ascii="楷体" w:hAnsi="楷体" w:eastAsia="楷体"/>
          <w:spacing w:val="-4"/>
          <w:sz w:val="32"/>
          <w:szCs w:val="32"/>
        </w:rPr>
        <w:t>委托第三方运行维护费</w:t>
      </w:r>
      <w:r>
        <w:rPr>
          <w:rStyle w:val="20"/>
          <w:rFonts w:hint="eastAsia" w:ascii="楷体" w:hAnsi="楷体" w:eastAsia="楷体"/>
          <w:spacing w:val="-4"/>
          <w:sz w:val="32"/>
          <w:szCs w:val="32"/>
          <w:lang w:eastAsia="zh-CN"/>
        </w:rPr>
        <w:t>，小于等于</w:t>
      </w:r>
      <w:r>
        <w:rPr>
          <w:rStyle w:val="20"/>
          <w:rFonts w:hint="eastAsia" w:ascii="楷体" w:hAnsi="楷体" w:eastAsia="楷体"/>
          <w:spacing w:val="-4"/>
          <w:sz w:val="32"/>
          <w:szCs w:val="32"/>
          <w:lang w:val="en-US" w:eastAsia="zh-CN"/>
        </w:rPr>
        <w:t>15万元，</w:t>
      </w:r>
      <w:r>
        <w:rPr>
          <w:rStyle w:val="20"/>
          <w:rFonts w:hint="eastAsia" w:ascii="楷体" w:hAnsi="楷体" w:eastAsia="楷体"/>
          <w:spacing w:val="-4"/>
          <w:sz w:val="32"/>
          <w:szCs w:val="32"/>
        </w:rPr>
        <w:t>与预期目标一致，根据评分标准，该指标不扣分，得</w:t>
      </w:r>
      <w:r>
        <w:rPr>
          <w:rStyle w:val="20"/>
          <w:rFonts w:hint="eastAsia" w:ascii="楷体" w:hAnsi="楷体" w:eastAsia="楷体"/>
          <w:spacing w:val="-4"/>
          <w:sz w:val="32"/>
          <w:szCs w:val="32"/>
          <w:lang w:val="en-US" w:eastAsia="zh-CN"/>
        </w:rPr>
        <w:t>20</w:t>
      </w:r>
      <w:r>
        <w:rPr>
          <w:rStyle w:val="20"/>
          <w:rFonts w:hint="eastAsia" w:ascii="楷体" w:hAnsi="楷体" w:eastAsia="楷体"/>
          <w:spacing w:val="-4"/>
          <w:sz w:val="32"/>
          <w:szCs w:val="32"/>
        </w:rPr>
        <w:t>分。</w:t>
      </w:r>
    </w:p>
    <w:p w14:paraId="38E5DF6D">
      <w:pPr>
        <w:numPr>
          <w:ilvl w:val="0"/>
          <w:numId w:val="0"/>
        </w:numPr>
        <w:ind w:firstLine="627" w:firstLineChars="200"/>
      </w:pPr>
      <w:r>
        <w:rPr>
          <w:rStyle w:val="20"/>
          <w:rFonts w:hint="eastAsia" w:ascii="楷体" w:hAnsi="楷体" w:eastAsia="楷体"/>
          <w:spacing w:val="-4"/>
          <w:sz w:val="32"/>
          <w:szCs w:val="32"/>
        </w:rPr>
        <w:cr/>
      </w:r>
    </w:p>
    <w:p w14:paraId="336D0C3B">
      <w:pPr>
        <w:pStyle w:val="11"/>
        <w:ind w:firstLine="313" w:firstLineChars="100"/>
        <w:rPr>
          <w:rStyle w:val="20"/>
          <w:rFonts w:hint="eastAsia" w:ascii="楷体" w:hAnsi="楷体" w:eastAsia="楷体"/>
          <w:spacing w:val="-4"/>
          <w:sz w:val="32"/>
          <w:szCs w:val="32"/>
        </w:rPr>
      </w:pPr>
      <w:r>
        <w:rPr>
          <w:rStyle w:val="20"/>
          <w:rFonts w:hint="eastAsia" w:ascii="楷体" w:hAnsi="楷体" w:eastAsia="楷体"/>
          <w:spacing w:val="-4"/>
          <w:sz w:val="32"/>
          <w:szCs w:val="32"/>
        </w:rPr>
        <w:t>无此项指标。</w:t>
      </w:r>
    </w:p>
    <w:p w14:paraId="5BF7AC4E">
      <w:pPr>
        <w:numPr>
          <w:ilvl w:val="0"/>
          <w:numId w:val="3"/>
        </w:numPr>
        <w:spacing w:line="540" w:lineRule="exact"/>
        <w:ind w:left="0" w:leftChars="0" w:firstLine="567" w:firstLineChars="0"/>
        <w:rPr>
          <w:rFonts w:hint="eastAsia" w:ascii="楷体" w:hAnsi="楷体" w:eastAsia="楷体"/>
          <w:b/>
          <w:spacing w:val="-4"/>
          <w:sz w:val="32"/>
          <w:szCs w:val="32"/>
        </w:rPr>
      </w:pPr>
      <w:r>
        <w:rPr>
          <w:rFonts w:hint="eastAsia" w:ascii="楷体" w:hAnsi="楷体" w:eastAsia="楷体"/>
          <w:b/>
          <w:spacing w:val="-4"/>
          <w:sz w:val="32"/>
          <w:szCs w:val="32"/>
        </w:rPr>
        <w:t>项目效益情况。</w:t>
      </w:r>
    </w:p>
    <w:p w14:paraId="28413FAA">
      <w:pPr>
        <w:pStyle w:val="11"/>
        <w:numPr>
          <w:ilvl w:val="0"/>
          <w:numId w:val="0"/>
        </w:numPr>
        <w:ind w:left="567" w:leftChars="0" w:firstLine="313" w:firstLineChars="100"/>
        <w:rPr>
          <w:rStyle w:val="20"/>
          <w:rFonts w:hint="eastAsia" w:ascii="楷体" w:hAnsi="楷体" w:eastAsia="楷体"/>
          <w:spacing w:val="-4"/>
          <w:sz w:val="32"/>
          <w:szCs w:val="32"/>
        </w:rPr>
      </w:pPr>
      <w:r>
        <w:rPr>
          <w:rStyle w:val="20"/>
          <w:rFonts w:hint="eastAsia" w:ascii="楷体" w:hAnsi="楷体" w:eastAsia="楷体"/>
          <w:spacing w:val="-4"/>
          <w:sz w:val="32"/>
          <w:szCs w:val="32"/>
        </w:rPr>
        <w:t>无此项指标。</w:t>
      </w:r>
    </w:p>
    <w:p w14:paraId="0836DEBB">
      <w:pPr>
        <w:pStyle w:val="11"/>
        <w:numPr>
          <w:ilvl w:val="0"/>
          <w:numId w:val="5"/>
        </w:numPr>
        <w:ind w:left="1199" w:leftChars="422" w:hanging="313" w:hangingChars="100"/>
        <w:rPr>
          <w:rStyle w:val="20"/>
          <w:rFonts w:hint="eastAsia" w:ascii="楷体" w:hAnsi="楷体" w:eastAsia="楷体"/>
          <w:spacing w:val="-4"/>
          <w:sz w:val="32"/>
          <w:szCs w:val="32"/>
        </w:rPr>
      </w:pPr>
      <w:r>
        <w:rPr>
          <w:rStyle w:val="20"/>
          <w:rFonts w:hint="eastAsia" w:ascii="楷体" w:hAnsi="楷体" w:eastAsia="楷体"/>
          <w:spacing w:val="-4"/>
          <w:sz w:val="32"/>
          <w:szCs w:val="32"/>
        </w:rPr>
        <w:t>实施效益指标：</w:t>
      </w:r>
    </w:p>
    <w:p w14:paraId="07C04F3A">
      <w:pPr>
        <w:pStyle w:val="11"/>
        <w:numPr>
          <w:ilvl w:val="0"/>
          <w:numId w:val="0"/>
        </w:numPr>
        <w:ind w:leftChars="322" w:firstLine="313" w:firstLineChars="100"/>
        <w:rPr>
          <w:rStyle w:val="20"/>
          <w:rFonts w:hint="eastAsia" w:ascii="楷体" w:hAnsi="楷体" w:eastAsia="楷体"/>
          <w:spacing w:val="-4"/>
          <w:sz w:val="32"/>
          <w:szCs w:val="32"/>
        </w:rPr>
      </w:pPr>
      <w:r>
        <w:rPr>
          <w:rStyle w:val="20"/>
          <w:rFonts w:hint="eastAsia" w:ascii="楷体" w:hAnsi="楷体" w:eastAsia="楷体"/>
          <w:spacing w:val="-4"/>
          <w:sz w:val="32"/>
          <w:szCs w:val="32"/>
        </w:rPr>
        <w:t>无此项指标。</w:t>
      </w:r>
    </w:p>
    <w:p w14:paraId="4AA4F4D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14:paraId="5D4182C7">
      <w:pPr>
        <w:spacing w:line="540" w:lineRule="exact"/>
        <w:ind w:firstLine="567"/>
        <w:rPr>
          <w:rStyle w:val="20"/>
          <w:rFonts w:hint="eastAsia" w:ascii="楷体" w:hAnsi="楷体" w:eastAsia="楷体"/>
          <w:spacing w:val="-4"/>
          <w:sz w:val="32"/>
          <w:szCs w:val="32"/>
        </w:rPr>
      </w:pPr>
      <w:r>
        <w:rPr>
          <w:rStyle w:val="20"/>
          <w:rFonts w:hint="eastAsia" w:ascii="楷体" w:hAnsi="楷体" w:eastAsia="楷体"/>
          <w:spacing w:val="-4"/>
          <w:sz w:val="32"/>
          <w:szCs w:val="32"/>
        </w:rPr>
        <w:t>对于“满意度指标：</w:t>
      </w:r>
      <w:r>
        <w:rPr>
          <w:rStyle w:val="20"/>
          <w:rFonts w:hint="eastAsia" w:ascii="楷体" w:hAnsi="楷体" w:eastAsia="楷体"/>
          <w:spacing w:val="-4"/>
          <w:sz w:val="32"/>
          <w:szCs w:val="32"/>
        </w:rPr>
        <w:cr/>
      </w:r>
      <w:r>
        <w:rPr>
          <w:rStyle w:val="20"/>
          <w:rFonts w:hint="eastAsia" w:ascii="楷体" w:hAnsi="楷体" w:eastAsia="楷体"/>
          <w:spacing w:val="-4"/>
          <w:sz w:val="32"/>
          <w:szCs w:val="32"/>
        </w:rPr>
        <w:t>根据调查，满意度为95%，根据评分标准，得10分。</w:t>
      </w:r>
    </w:p>
    <w:p w14:paraId="6325FF76">
      <w:pPr>
        <w:spacing w:line="540" w:lineRule="exact"/>
        <w:ind w:firstLine="567"/>
        <w:rPr>
          <w:rStyle w:val="20"/>
          <w:rFonts w:hint="eastAsia" w:ascii="楷体" w:hAnsi="楷体" w:eastAsia="楷体"/>
          <w:spacing w:val="-4"/>
          <w:sz w:val="32"/>
          <w:szCs w:val="32"/>
        </w:rPr>
      </w:pPr>
    </w:p>
    <w:p w14:paraId="02AC965F">
      <w:pPr>
        <w:spacing w:line="540" w:lineRule="exact"/>
        <w:ind w:firstLine="640"/>
        <w:rPr>
          <w:rStyle w:val="20"/>
          <w:rFonts w:ascii="黑体" w:hAnsi="黑体" w:eastAsia="黑体"/>
          <w:spacing w:val="-4"/>
          <w:sz w:val="32"/>
          <w:szCs w:val="32"/>
        </w:rPr>
      </w:pPr>
      <w:r>
        <w:rPr>
          <w:rStyle w:val="20"/>
          <w:rFonts w:hint="eastAsia" w:ascii="黑体" w:hAnsi="黑体" w:eastAsia="黑体"/>
          <w:b w:val="0"/>
          <w:spacing w:val="-4"/>
          <w:sz w:val="32"/>
          <w:szCs w:val="32"/>
          <w:lang w:eastAsia="zh-CN"/>
        </w:rPr>
        <w:t>五</w:t>
      </w:r>
      <w:r>
        <w:rPr>
          <w:rStyle w:val="20"/>
          <w:rFonts w:hint="eastAsia" w:ascii="黑体" w:hAnsi="黑体" w:eastAsia="黑体"/>
          <w:b w:val="0"/>
          <w:spacing w:val="-4"/>
          <w:sz w:val="32"/>
          <w:szCs w:val="32"/>
        </w:rPr>
        <w:t>、</w:t>
      </w:r>
      <w:r>
        <w:rPr>
          <w:rStyle w:val="20"/>
          <w:rFonts w:ascii="黑体" w:hAnsi="黑体" w:eastAsia="黑体"/>
          <w:b w:val="0"/>
          <w:spacing w:val="-4"/>
          <w:sz w:val="32"/>
          <w:szCs w:val="32"/>
        </w:rPr>
        <w:t>主要经验及做法、存在的问题及原因分析</w:t>
      </w:r>
    </w:p>
    <w:p w14:paraId="17D109F3">
      <w:pPr>
        <w:spacing w:line="540" w:lineRule="exact"/>
        <w:ind w:firstLine="567" w:firstLineChars="181"/>
        <w:rPr>
          <w:rFonts w:hint="eastAsia" w:ascii="楷体" w:hAnsi="楷体" w:eastAsia="楷体" w:cs="Times New Roman"/>
          <w:b/>
          <w:spacing w:val="-4"/>
          <w:sz w:val="32"/>
          <w:szCs w:val="32"/>
        </w:rPr>
      </w:pPr>
      <w:r>
        <w:rPr>
          <w:rFonts w:hint="eastAsia" w:ascii="楷体" w:hAnsi="楷体" w:eastAsia="楷体" w:cs="Times New Roman"/>
          <w:b/>
          <w:spacing w:val="-4"/>
          <w:sz w:val="32"/>
          <w:szCs w:val="32"/>
        </w:rPr>
        <w:t>总结财政厅实施预算绩效管理工作，还存在以下问题：</w:t>
      </w:r>
    </w:p>
    <w:p w14:paraId="2AB66D24">
      <w:pPr>
        <w:spacing w:line="540" w:lineRule="exact"/>
        <w:ind w:firstLine="567" w:firstLineChars="181"/>
        <w:rPr>
          <w:rFonts w:hint="eastAsia" w:ascii="楷体" w:hAnsi="楷体" w:eastAsia="楷体" w:cs="Times New Roman"/>
          <w:b/>
          <w:spacing w:val="-4"/>
          <w:sz w:val="32"/>
          <w:szCs w:val="32"/>
          <w:lang w:eastAsia="zh-CN"/>
        </w:rPr>
      </w:pPr>
      <w:r>
        <w:rPr>
          <w:rFonts w:hint="eastAsia" w:ascii="楷体" w:hAnsi="楷体" w:eastAsia="楷体" w:cs="Times New Roman"/>
          <w:b/>
          <w:spacing w:val="-4"/>
          <w:sz w:val="32"/>
          <w:szCs w:val="32"/>
          <w:lang w:eastAsia="zh-CN"/>
        </w:rPr>
        <w:t>将继续</w:t>
      </w:r>
      <w:r>
        <w:rPr>
          <w:rFonts w:hint="eastAsia" w:ascii="楷体" w:hAnsi="楷体" w:eastAsia="楷体" w:cs="Times New Roman"/>
          <w:b/>
          <w:spacing w:val="-4"/>
          <w:sz w:val="32"/>
          <w:szCs w:val="32"/>
        </w:rPr>
        <w:t>转变思想观念，牢固树立绩效意识</w:t>
      </w:r>
      <w:r>
        <w:rPr>
          <w:rFonts w:hint="eastAsia" w:ascii="楷体" w:hAnsi="楷体" w:eastAsia="楷体" w:cs="Times New Roman"/>
          <w:b/>
          <w:spacing w:val="-4"/>
          <w:sz w:val="32"/>
          <w:szCs w:val="32"/>
          <w:lang w:eastAsia="zh-CN"/>
        </w:rPr>
        <w:t>。</w:t>
      </w:r>
      <w:r>
        <w:rPr>
          <w:rFonts w:hint="eastAsia" w:ascii="楷体" w:hAnsi="楷体" w:eastAsia="楷体" w:cs="Times New Roman"/>
          <w:b/>
          <w:spacing w:val="-4"/>
          <w:sz w:val="32"/>
          <w:szCs w:val="32"/>
        </w:rPr>
        <w:t>主动承担起绩效管理的主体责任，建立健全绩效管理机制，将绩效管理作为规范和提升</w:t>
      </w:r>
      <w:r>
        <w:rPr>
          <w:rFonts w:hint="eastAsia" w:ascii="楷体" w:hAnsi="楷体" w:eastAsia="楷体" w:cs="Times New Roman"/>
          <w:b/>
          <w:spacing w:val="-4"/>
          <w:sz w:val="32"/>
          <w:szCs w:val="32"/>
          <w:lang w:eastAsia="zh-CN"/>
        </w:rPr>
        <w:t>财政</w:t>
      </w:r>
      <w:r>
        <w:rPr>
          <w:rFonts w:hint="eastAsia" w:ascii="楷体" w:hAnsi="楷体" w:eastAsia="楷体" w:cs="Times New Roman"/>
          <w:b/>
          <w:spacing w:val="-4"/>
          <w:sz w:val="32"/>
          <w:szCs w:val="32"/>
        </w:rPr>
        <w:t>管理水平的重要手段和工具</w:t>
      </w:r>
      <w:r>
        <w:rPr>
          <w:rFonts w:hint="eastAsia" w:ascii="楷体" w:hAnsi="楷体" w:eastAsia="楷体" w:cs="Times New Roman"/>
          <w:b/>
          <w:spacing w:val="-4"/>
          <w:sz w:val="32"/>
          <w:szCs w:val="32"/>
          <w:lang w:eastAsia="zh-CN"/>
        </w:rPr>
        <w:t>。</w:t>
      </w:r>
    </w:p>
    <w:p w14:paraId="2B53842F">
      <w:pPr>
        <w:spacing w:line="540" w:lineRule="exact"/>
        <w:ind w:firstLine="567" w:firstLineChars="181"/>
        <w:rPr>
          <w:rFonts w:hint="eastAsia" w:ascii="楷体" w:hAnsi="楷体" w:eastAsia="楷体" w:cs="Times New Roman"/>
          <w:b/>
          <w:spacing w:val="-4"/>
          <w:sz w:val="32"/>
          <w:szCs w:val="32"/>
          <w:lang w:val="zh-CN" w:eastAsia="zh-CN"/>
        </w:rPr>
      </w:pPr>
      <w:r>
        <w:rPr>
          <w:rFonts w:hint="eastAsia" w:ascii="楷体" w:hAnsi="楷体" w:eastAsia="楷体" w:cs="Times New Roman"/>
          <w:b/>
          <w:spacing w:val="-4"/>
          <w:sz w:val="32"/>
          <w:szCs w:val="32"/>
          <w:lang w:val="zh-CN"/>
        </w:rPr>
        <w:t>（二）</w:t>
      </w:r>
      <w:r>
        <w:rPr>
          <w:rFonts w:hint="eastAsia" w:ascii="楷体" w:hAnsi="楷体" w:eastAsia="楷体" w:cs="Times New Roman"/>
          <w:b/>
          <w:spacing w:val="-4"/>
          <w:sz w:val="32"/>
          <w:szCs w:val="32"/>
          <w:lang w:val="zh-CN" w:eastAsia="zh-CN"/>
        </w:rPr>
        <w:t>预算绩效管理需进一步提高。在预算绩效管理工作中，存在对全面实施预算绩效管理的认识还需进一步提高，项目申报、实施等环节与预算绩效管理各个环节联系不够紧密；部分项目执行在下半年，绩效监控预算节点执行率有时未达到监控要求。</w:t>
      </w:r>
    </w:p>
    <w:p w14:paraId="2F1BBC24">
      <w:pPr>
        <w:spacing w:line="540" w:lineRule="exact"/>
        <w:ind w:firstLine="567" w:firstLineChars="181"/>
        <w:rPr>
          <w:rFonts w:hint="eastAsia" w:ascii="楷体" w:hAnsi="楷体" w:eastAsia="楷体" w:cs="Times New Roman"/>
          <w:b/>
          <w:spacing w:val="-4"/>
          <w:sz w:val="32"/>
          <w:szCs w:val="32"/>
          <w:lang w:eastAsia="zh-CN"/>
        </w:rPr>
      </w:pPr>
      <w:r>
        <w:rPr>
          <w:rFonts w:hint="eastAsia" w:ascii="楷体" w:hAnsi="楷体" w:eastAsia="楷体" w:cs="Times New Roman"/>
          <w:b/>
          <w:spacing w:val="-4"/>
          <w:sz w:val="32"/>
          <w:szCs w:val="32"/>
          <w:lang w:eastAsia="zh-CN"/>
        </w:rPr>
        <w:t>（三）</w:t>
      </w:r>
      <w:r>
        <w:rPr>
          <w:rFonts w:hint="eastAsia" w:ascii="楷体" w:hAnsi="楷体" w:eastAsia="楷体" w:cs="Times New Roman"/>
          <w:b/>
          <w:spacing w:val="-4"/>
          <w:sz w:val="32"/>
          <w:szCs w:val="32"/>
        </w:rPr>
        <w:t>进一步加强工作的前瞻性和预见性，提升项目执行率，加快推进项目开展进度。</w:t>
      </w:r>
    </w:p>
    <w:p w14:paraId="01464EFB">
      <w:pPr>
        <w:pStyle w:val="11"/>
        <w:numPr>
          <w:ilvl w:val="0"/>
          <w:numId w:val="0"/>
        </w:numPr>
        <w:ind w:left="567" w:leftChars="0" w:firstLine="210" w:firstLineChars="100"/>
      </w:pPr>
    </w:p>
    <w:p w14:paraId="45BB2BE9"/>
    <w:p w14:paraId="5D0DBD89">
      <w:pPr>
        <w:numPr>
          <w:ilvl w:val="0"/>
          <w:numId w:val="6"/>
        </w:numPr>
        <w:ind w:firstLine="624" w:firstLineChars="200"/>
        <w:rPr>
          <w:rStyle w:val="20"/>
          <w:rFonts w:ascii="黑体" w:hAnsi="黑体" w:eastAsia="黑体"/>
          <w:b w:val="0"/>
          <w:spacing w:val="-4"/>
          <w:sz w:val="32"/>
          <w:szCs w:val="32"/>
        </w:rPr>
      </w:pPr>
      <w:r>
        <w:rPr>
          <w:rStyle w:val="20"/>
          <w:rFonts w:ascii="黑体" w:hAnsi="黑体" w:eastAsia="黑体"/>
          <w:b w:val="0"/>
          <w:spacing w:val="-4"/>
          <w:sz w:val="32"/>
          <w:szCs w:val="32"/>
        </w:rPr>
        <w:t>有关建议</w:t>
      </w:r>
    </w:p>
    <w:p w14:paraId="37009D17">
      <w:pPr>
        <w:pStyle w:val="16"/>
        <w:keepNext w:val="0"/>
        <w:keepLines w:val="0"/>
        <w:pageBreakBefore w:val="0"/>
        <w:widowControl/>
        <w:kinsoku/>
        <w:wordWrap/>
        <w:overflowPunct/>
        <w:topLinePunct w:val="0"/>
        <w:autoSpaceDE/>
        <w:autoSpaceDN/>
        <w:bidi w:val="0"/>
        <w:adjustRightInd/>
        <w:snapToGrid/>
        <w:spacing w:line="560" w:lineRule="exact"/>
        <w:ind w:firstLine="627" w:firstLineChars="200"/>
        <w:jc w:val="both"/>
        <w:textAlignment w:val="auto"/>
        <w:rPr>
          <w:rFonts w:hint="eastAsia" w:ascii="楷体" w:hAnsi="楷体" w:eastAsia="楷体" w:cs="Times New Roman"/>
          <w:b/>
          <w:spacing w:val="-4"/>
          <w:kern w:val="2"/>
          <w:sz w:val="32"/>
          <w:szCs w:val="32"/>
          <w:lang w:val="zh-CN" w:eastAsia="zh-CN" w:bidi="ar-SA"/>
        </w:rPr>
      </w:pPr>
      <w:r>
        <w:rPr>
          <w:rFonts w:hint="eastAsia" w:ascii="楷体" w:hAnsi="楷体" w:eastAsia="楷体" w:cs="Times New Roman"/>
          <w:b/>
          <w:spacing w:val="-4"/>
          <w:kern w:val="2"/>
          <w:sz w:val="32"/>
          <w:szCs w:val="32"/>
          <w:lang w:val="en-US" w:eastAsia="zh-CN" w:bidi="ar-SA"/>
        </w:rPr>
        <w:t>今后我们将着重预算编制及执行，着力绩效评价，进一步强化绩效管理，提高绩效管理水平。</w:t>
      </w:r>
      <w:r>
        <w:rPr>
          <w:rFonts w:hint="eastAsia" w:ascii="楷体" w:hAnsi="楷体" w:eastAsia="楷体" w:cs="Times New Roman"/>
          <w:b/>
          <w:spacing w:val="-4"/>
          <w:kern w:val="2"/>
          <w:sz w:val="32"/>
          <w:szCs w:val="32"/>
          <w:lang w:val="en-US" w:eastAsia="zh-CN" w:bidi="ar-SA"/>
        </w:rPr>
        <w:br w:type="textWrapping"/>
      </w:r>
      <w:r>
        <w:rPr>
          <w:rFonts w:hint="eastAsia" w:ascii="楷体" w:hAnsi="楷体" w:eastAsia="楷体" w:cs="Times New Roman"/>
          <w:b/>
          <w:spacing w:val="-4"/>
          <w:kern w:val="2"/>
          <w:sz w:val="32"/>
          <w:szCs w:val="32"/>
          <w:lang w:val="en-US" w:eastAsia="zh-CN" w:bidi="ar-SA"/>
        </w:rPr>
        <w:t xml:space="preserve">    （一）强化绩效理念。进一步明确如何参照考核体系，科学合理设定绩效目标，充分发挥预算绩效管理工作效用。树立“花钱必问效，无效必问责”的预算绩效管理理念，切实提高绩效评价在日常管理中的重要作用。加大与其他部门单位的交流，不断完善管理措施，确保财政资金安全、高效使用。履行绩效管理主体责任，严格落实全面实施预算绩效管理各项工作任务，完善内部管理制度，从重资金安排转向重预算编制、执行和监管全过程绩效管理，切实提高预算绩效管理工作水平。</w:t>
      </w:r>
      <w:r>
        <w:rPr>
          <w:rFonts w:hint="eastAsia" w:ascii="楷体" w:hAnsi="楷体" w:eastAsia="楷体" w:cs="Times New Roman"/>
          <w:b/>
          <w:spacing w:val="-4"/>
          <w:kern w:val="2"/>
          <w:sz w:val="32"/>
          <w:szCs w:val="32"/>
          <w:lang w:val="en-US" w:eastAsia="zh-CN" w:bidi="ar-SA"/>
        </w:rPr>
        <w:cr/>
      </w:r>
      <w:r>
        <w:rPr>
          <w:rFonts w:hint="eastAsia" w:ascii="楷体" w:hAnsi="楷体" w:eastAsia="楷体" w:cs="Times New Roman"/>
          <w:b/>
          <w:spacing w:val="-4"/>
          <w:kern w:val="2"/>
          <w:sz w:val="32"/>
          <w:szCs w:val="32"/>
          <w:lang w:val="en-US" w:eastAsia="zh-CN" w:bidi="ar-SA"/>
        </w:rPr>
        <w:t xml:space="preserve">    （二）</w:t>
      </w:r>
      <w:r>
        <w:rPr>
          <w:rFonts w:hint="eastAsia" w:ascii="楷体" w:hAnsi="楷体" w:eastAsia="楷体" w:cs="Times New Roman"/>
          <w:b/>
          <w:spacing w:val="-4"/>
          <w:kern w:val="2"/>
          <w:sz w:val="32"/>
          <w:szCs w:val="32"/>
          <w:lang w:val="zh-CN" w:eastAsia="zh-CN" w:bidi="ar-SA"/>
        </w:rPr>
        <w:t>加强预算绩效管理，</w:t>
      </w:r>
      <w:r>
        <w:rPr>
          <w:rFonts w:hint="eastAsia" w:ascii="楷体" w:hAnsi="楷体" w:eastAsia="楷体" w:cs="Times New Roman"/>
          <w:b/>
          <w:spacing w:val="-4"/>
          <w:kern w:val="2"/>
          <w:sz w:val="32"/>
          <w:szCs w:val="32"/>
          <w:lang w:val="en-US" w:eastAsia="zh-CN" w:bidi="ar-SA"/>
        </w:rPr>
        <w:t>进一步提高绩效管理水平，</w:t>
      </w:r>
      <w:r>
        <w:rPr>
          <w:rFonts w:hint="eastAsia" w:ascii="楷体" w:hAnsi="楷体" w:eastAsia="楷体" w:cs="Times New Roman"/>
          <w:b/>
          <w:spacing w:val="-4"/>
          <w:kern w:val="2"/>
          <w:sz w:val="32"/>
          <w:szCs w:val="32"/>
          <w:lang w:val="zh-CN" w:eastAsia="zh-CN" w:bidi="ar-SA"/>
        </w:rPr>
        <w:t>科学合理设定绩效目标，充分发挥预算绩效管理工作效用。统筹安排编制预算，提高预算编制科学性和合理性，优化资金结构。</w:t>
      </w:r>
    </w:p>
    <w:p w14:paraId="3F53C3EE">
      <w:pPr>
        <w:pStyle w:val="16"/>
        <w:keepNext w:val="0"/>
        <w:keepLines w:val="0"/>
        <w:pageBreakBefore w:val="0"/>
        <w:widowControl/>
        <w:kinsoku/>
        <w:wordWrap/>
        <w:overflowPunct/>
        <w:topLinePunct w:val="0"/>
        <w:autoSpaceDE/>
        <w:autoSpaceDN/>
        <w:bidi w:val="0"/>
        <w:adjustRightInd/>
        <w:snapToGrid/>
        <w:spacing w:line="560" w:lineRule="exact"/>
        <w:ind w:firstLine="627" w:firstLineChars="200"/>
        <w:jc w:val="both"/>
        <w:textAlignment w:val="auto"/>
        <w:rPr>
          <w:rFonts w:hint="eastAsia" w:ascii="楷体" w:hAnsi="楷体" w:eastAsia="楷体" w:cs="Times New Roman"/>
          <w:b/>
          <w:spacing w:val="-4"/>
          <w:kern w:val="2"/>
          <w:sz w:val="32"/>
          <w:szCs w:val="32"/>
          <w:lang w:val="en-US" w:eastAsia="zh-CN" w:bidi="ar-SA"/>
        </w:rPr>
      </w:pPr>
      <w:r>
        <w:rPr>
          <w:rFonts w:hint="eastAsia" w:ascii="楷体" w:hAnsi="楷体" w:eastAsia="楷体" w:cs="Times New Roman"/>
          <w:b/>
          <w:spacing w:val="-4"/>
          <w:kern w:val="2"/>
          <w:sz w:val="32"/>
          <w:szCs w:val="32"/>
          <w:lang w:val="en-US" w:eastAsia="zh-CN" w:bidi="ar-SA"/>
        </w:rPr>
        <w:t>（三）加强项目管理的力度。提高参与项目人员的绩效认知和调查统计能力，把问题及时收集反馈到管理层面，把苗头问题尽量解决在发生的初期，或遏制在问题未发生之时，以免造成不良结果，努力实现年初制定的整体支出绩效目标，强化项目经费的全过程监督，推进项目经费执行的公开。</w:t>
      </w:r>
    </w:p>
    <w:p w14:paraId="022F6C4C">
      <w:pPr>
        <w:keepNext w:val="0"/>
        <w:keepLines w:val="0"/>
        <w:pageBreakBefore w:val="0"/>
        <w:kinsoku/>
        <w:wordWrap/>
        <w:overflowPunct/>
        <w:topLinePunct w:val="0"/>
        <w:autoSpaceDE/>
        <w:autoSpaceDN/>
        <w:bidi w:val="0"/>
        <w:adjustRightInd/>
        <w:spacing w:line="576" w:lineRule="exact"/>
        <w:ind w:firstLine="627" w:firstLineChars="200"/>
        <w:jc w:val="left"/>
        <w:textAlignment w:val="auto"/>
      </w:pPr>
      <w:r>
        <w:rPr>
          <w:rFonts w:hint="eastAsia" w:ascii="楷体" w:hAnsi="楷体" w:eastAsia="楷体" w:cs="Times New Roman"/>
          <w:b/>
          <w:spacing w:val="-4"/>
          <w:kern w:val="2"/>
          <w:sz w:val="32"/>
          <w:szCs w:val="32"/>
          <w:lang w:val="en-US" w:eastAsia="zh-CN" w:bidi="ar-SA"/>
        </w:rPr>
        <w:t>（四）规范绩效公开。严格落实绩效信息公开责任，项目支出绩效目标坚决做到与部门预算同步公开，项目支出绩效自评报告坚决做到与部门决算公布公开。应用评价结果是绩效管理落到实处，取得实效的关键，也是全部工作的落脚点。要进一步强化绩效评价结果与预算安排挂钩机制，逐项审核项目支出，坚决做到将政策和项目支出预算绩效与项目资金安排挂钩，对绩效评价结果差的项目资金一律削减。</w:t>
      </w:r>
    </w:p>
    <w:p w14:paraId="1E577729">
      <w:pPr>
        <w:spacing w:line="540" w:lineRule="exact"/>
        <w:ind w:firstLine="627" w:firstLineChars="200"/>
        <w:rPr>
          <w:rStyle w:val="20"/>
          <w:rFonts w:ascii="楷体" w:hAnsi="楷体" w:eastAsia="楷体"/>
          <w:spacing w:val="-4"/>
          <w:sz w:val="32"/>
          <w:szCs w:val="32"/>
        </w:rPr>
      </w:pPr>
    </w:p>
    <w:p w14:paraId="73D27599">
      <w:pPr>
        <w:spacing w:line="540" w:lineRule="exact"/>
        <w:ind w:firstLine="567"/>
        <w:rPr>
          <w:rStyle w:val="20"/>
          <w:rFonts w:ascii="黑体" w:hAnsi="黑体" w:eastAsia="黑体"/>
          <w:b w:val="0"/>
          <w:spacing w:val="-4"/>
          <w:sz w:val="32"/>
          <w:szCs w:val="32"/>
        </w:rPr>
      </w:pPr>
      <w:r>
        <w:rPr>
          <w:rStyle w:val="20"/>
          <w:rFonts w:hint="eastAsia" w:ascii="黑体" w:hAnsi="黑体" w:eastAsia="黑体"/>
          <w:b w:val="0"/>
          <w:spacing w:val="-4"/>
          <w:sz w:val="32"/>
          <w:szCs w:val="32"/>
          <w:lang w:eastAsia="zh-CN"/>
        </w:rPr>
        <w:t>七</w:t>
      </w:r>
      <w:r>
        <w:rPr>
          <w:rStyle w:val="20"/>
          <w:rFonts w:hint="eastAsia" w:ascii="黑体" w:hAnsi="黑体" w:eastAsia="黑体"/>
          <w:b w:val="0"/>
          <w:spacing w:val="-4"/>
          <w:sz w:val="32"/>
          <w:szCs w:val="32"/>
        </w:rPr>
        <w:t>、其他需要说明的问题</w:t>
      </w:r>
    </w:p>
    <w:p w14:paraId="676A2EC4">
      <w:pPr>
        <w:spacing w:line="54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我单位对上述项目支出绩效评价报告内反映内容的真实性、完整性负责，接受上级部门及社会公众监督。</w:t>
      </w:r>
    </w:p>
    <w:p w14:paraId="785468CC">
      <w:pPr>
        <w:spacing w:line="540" w:lineRule="exact"/>
        <w:ind w:firstLine="567"/>
        <w:rPr>
          <w:rStyle w:val="20"/>
          <w:rFonts w:ascii="仿宋" w:hAnsi="仿宋" w:eastAsia="仿宋"/>
          <w:b w:val="0"/>
          <w:spacing w:val="-4"/>
          <w:sz w:val="32"/>
          <w:szCs w:val="32"/>
        </w:rPr>
      </w:pPr>
    </w:p>
    <w:p w14:paraId="686F4CBE">
      <w:pPr>
        <w:spacing w:line="540" w:lineRule="exact"/>
        <w:ind w:firstLine="567"/>
        <w:rPr>
          <w:rStyle w:val="20"/>
          <w:rFonts w:ascii="仿宋" w:hAnsi="仿宋" w:eastAsia="仿宋"/>
          <w:b w:val="0"/>
          <w:spacing w:val="-4"/>
          <w:sz w:val="32"/>
          <w:szCs w:val="32"/>
        </w:rPr>
      </w:pPr>
    </w:p>
    <w:p w14:paraId="41E2B892">
      <w:pPr>
        <w:spacing w:line="540" w:lineRule="exact"/>
        <w:ind w:firstLine="567"/>
        <w:rPr>
          <w:rStyle w:val="20"/>
          <w:rFonts w:ascii="仿宋" w:hAnsi="仿宋" w:eastAsia="仿宋"/>
          <w:b w:val="0"/>
          <w:spacing w:val="-4"/>
          <w:sz w:val="32"/>
          <w:szCs w:val="32"/>
        </w:rPr>
      </w:pPr>
    </w:p>
    <w:p w14:paraId="20A782A6">
      <w:pPr>
        <w:spacing w:line="540" w:lineRule="exact"/>
        <w:ind w:firstLine="567"/>
        <w:rPr>
          <w:rStyle w:val="20"/>
          <w:rFonts w:ascii="仿宋" w:hAnsi="仿宋" w:eastAsia="仿宋"/>
          <w:b w:val="0"/>
          <w:spacing w:val="-4"/>
          <w:sz w:val="32"/>
          <w:szCs w:val="32"/>
        </w:rPr>
      </w:pPr>
    </w:p>
    <w:p w14:paraId="2C79E4A1">
      <w:pPr>
        <w:spacing w:line="540" w:lineRule="exact"/>
        <w:ind w:firstLine="567"/>
        <w:rPr>
          <w:rStyle w:val="20"/>
          <w:rFonts w:ascii="仿宋" w:hAnsi="仿宋" w:eastAsia="仿宋"/>
          <w:b w:val="0"/>
          <w:spacing w:val="-4"/>
          <w:sz w:val="32"/>
          <w:szCs w:val="32"/>
        </w:rPr>
      </w:pPr>
    </w:p>
    <w:p w14:paraId="55BFC69E">
      <w:pPr>
        <w:spacing w:line="540" w:lineRule="exact"/>
        <w:ind w:firstLine="567"/>
        <w:rPr>
          <w:rStyle w:val="20"/>
          <w:rFonts w:ascii="仿宋" w:hAnsi="仿宋" w:eastAsia="仿宋"/>
          <w:b w:val="0"/>
          <w:spacing w:val="-4"/>
          <w:sz w:val="32"/>
          <w:szCs w:val="32"/>
        </w:rPr>
      </w:pPr>
    </w:p>
    <w:p w14:paraId="00BC4292">
      <w:pPr>
        <w:spacing w:line="540" w:lineRule="exact"/>
        <w:ind w:firstLine="567"/>
        <w:rPr>
          <w:rStyle w:val="20"/>
          <w:rFonts w:ascii="仿宋" w:hAnsi="仿宋" w:eastAsia="仿宋"/>
          <w:b w:val="0"/>
          <w:spacing w:val="-4"/>
          <w:sz w:val="32"/>
          <w:szCs w:val="32"/>
        </w:rPr>
      </w:pPr>
    </w:p>
    <w:p w14:paraId="6E8EE1FA">
      <w:pPr>
        <w:spacing w:line="540" w:lineRule="exact"/>
        <w:ind w:firstLine="567"/>
        <w:rPr>
          <w:rStyle w:val="20"/>
          <w:rFonts w:ascii="仿宋" w:hAnsi="仿宋" w:eastAsia="仿宋"/>
          <w:b w:val="0"/>
          <w:spacing w:val="-4"/>
          <w:sz w:val="32"/>
          <w:szCs w:val="32"/>
        </w:rPr>
      </w:pPr>
    </w:p>
    <w:p w14:paraId="3B11430E">
      <w:pPr>
        <w:spacing w:line="540" w:lineRule="exact"/>
        <w:ind w:firstLine="567"/>
        <w:rPr>
          <w:rStyle w:val="20"/>
          <w:rFonts w:ascii="仿宋" w:hAnsi="仿宋" w:eastAsia="仿宋"/>
          <w:b w:val="0"/>
          <w:spacing w:val="-4"/>
          <w:sz w:val="32"/>
          <w:szCs w:val="32"/>
        </w:rPr>
      </w:pPr>
    </w:p>
    <w:p w14:paraId="72657905">
      <w:pPr>
        <w:spacing w:line="540" w:lineRule="exact"/>
        <w:ind w:firstLine="567"/>
        <w:rPr>
          <w:rStyle w:val="20"/>
          <w:rFonts w:ascii="仿宋" w:hAnsi="仿宋" w:eastAsia="仿宋"/>
          <w:b w:val="0"/>
          <w:spacing w:val="-4"/>
          <w:sz w:val="32"/>
          <w:szCs w:val="32"/>
        </w:rPr>
      </w:pPr>
    </w:p>
    <w:p w14:paraId="43B97487">
      <w:pPr>
        <w:spacing w:line="540" w:lineRule="exact"/>
        <w:ind w:firstLine="567"/>
        <w:rPr>
          <w:rStyle w:val="20"/>
          <w:rFonts w:ascii="仿宋" w:hAnsi="仿宋" w:eastAsia="仿宋"/>
          <w:b w:val="0"/>
          <w:spacing w:val="-4"/>
          <w:sz w:val="32"/>
          <w:szCs w:val="32"/>
        </w:rPr>
      </w:pPr>
    </w:p>
    <w:p w14:paraId="48589E47">
      <w:pPr>
        <w:spacing w:line="540" w:lineRule="exact"/>
        <w:ind w:firstLine="567"/>
        <w:rPr>
          <w:rStyle w:val="20"/>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8DE5CB-4300-474C-B8F0-2A820CBD61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2" w:fontKey="{B84A784C-D636-435B-9936-531FC4495AF1}"/>
  </w:font>
  <w:font w:name="方正小标宋_GBK">
    <w:panose1 w:val="02000000000000000000"/>
    <w:charset w:val="86"/>
    <w:family w:val="script"/>
    <w:pitch w:val="default"/>
    <w:sig w:usb0="A00002BF" w:usb1="38CF7CFA" w:usb2="00082016" w:usb3="00000000" w:csb0="00040001" w:csb1="00000000"/>
    <w:embedRegular r:id="rId3" w:fontKey="{0A04DBCC-0B6A-43AA-80CD-6EBDDF72201C}"/>
  </w:font>
  <w:font w:name="仿宋_GB2312">
    <w:panose1 w:val="02010609030101010101"/>
    <w:charset w:val="86"/>
    <w:family w:val="modern"/>
    <w:pitch w:val="default"/>
    <w:sig w:usb0="00000001" w:usb1="080E0000" w:usb2="00000000" w:usb3="00000000" w:csb0="00040000" w:csb1="00000000"/>
    <w:embedRegular r:id="rId4" w:fontKey="{0B9633A0-B7F3-4CCD-B5E5-8A5DBF82EB1B}"/>
  </w:font>
  <w:font w:name="楷体">
    <w:panose1 w:val="02010609060101010101"/>
    <w:charset w:val="86"/>
    <w:family w:val="modern"/>
    <w:pitch w:val="default"/>
    <w:sig w:usb0="800002BF" w:usb1="38CF7CFA" w:usb2="00000016" w:usb3="00000000" w:csb0="00040001" w:csb1="00000000"/>
    <w:embedRegular r:id="rId5" w:fontKey="{DE0EEB80-C834-4E33-90C5-41A23AA3054C}"/>
  </w:font>
  <w:font w:name="仿宋">
    <w:panose1 w:val="02010609060101010101"/>
    <w:charset w:val="86"/>
    <w:family w:val="modern"/>
    <w:pitch w:val="default"/>
    <w:sig w:usb0="800002BF" w:usb1="38CF7CFA" w:usb2="00000016" w:usb3="00000000" w:csb0="00040001" w:csb1="00000000"/>
    <w:embedRegular r:id="rId6" w:fontKey="{7DC1FF30-224D-4D89-A5F3-BCE0003CEB13}"/>
  </w:font>
  <w:font w:name="CESI仿宋-GB2312">
    <w:altName w:val="仿宋"/>
    <w:panose1 w:val="02000500000000000000"/>
    <w:charset w:val="86"/>
    <w:family w:val="auto"/>
    <w:pitch w:val="default"/>
    <w:sig w:usb0="00000000" w:usb1="00000000" w:usb2="00000010" w:usb3="00000000" w:csb0="0004000F" w:csb1="00000000"/>
    <w:embedRegular r:id="rId7" w:fontKey="{77B4EDE3-B7B1-45A4-956D-237075AFA4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5CCA490">
        <w:pPr>
          <w:pStyle w:val="13"/>
          <w:jc w:val="center"/>
        </w:pPr>
        <w:r>
          <w:fldChar w:fldCharType="begin"/>
        </w:r>
        <w:r>
          <w:instrText xml:space="preserve">PAGE   \* MERGEFORMAT</w:instrText>
        </w:r>
        <w:r>
          <w:fldChar w:fldCharType="separate"/>
        </w:r>
        <w:r>
          <w:rPr>
            <w:lang w:val="zh-CN"/>
          </w:rPr>
          <w:t>1</w:t>
        </w:r>
        <w:r>
          <w:fldChar w:fldCharType="end"/>
        </w:r>
      </w:p>
    </w:sdtContent>
  </w:sdt>
  <w:p w14:paraId="5FCCEDAB">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529A8"/>
    <w:multiLevelType w:val="singleLevel"/>
    <w:tmpl w:val="B84529A8"/>
    <w:lvl w:ilvl="0" w:tentative="0">
      <w:start w:val="2"/>
      <w:numFmt w:val="decimal"/>
      <w:lvlText w:val="%1."/>
      <w:lvlJc w:val="left"/>
      <w:pPr>
        <w:tabs>
          <w:tab w:val="left" w:pos="312"/>
        </w:tabs>
      </w:pPr>
    </w:lvl>
  </w:abstractNum>
  <w:abstractNum w:abstractNumId="1">
    <w:nsid w:val="38351947"/>
    <w:multiLevelType w:val="singleLevel"/>
    <w:tmpl w:val="38351947"/>
    <w:lvl w:ilvl="0" w:tentative="0">
      <w:start w:val="1"/>
      <w:numFmt w:val="decimal"/>
      <w:suff w:val="nothing"/>
      <w:lvlText w:val="（%1）"/>
      <w:lvlJc w:val="left"/>
    </w:lvl>
  </w:abstractNum>
  <w:abstractNum w:abstractNumId="2">
    <w:nsid w:val="54DDFFD3"/>
    <w:multiLevelType w:val="singleLevel"/>
    <w:tmpl w:val="54DDFFD3"/>
    <w:lvl w:ilvl="0" w:tentative="0">
      <w:start w:val="6"/>
      <w:numFmt w:val="chineseCounting"/>
      <w:suff w:val="nothing"/>
      <w:lvlText w:val="%1、"/>
      <w:lvlJc w:val="left"/>
      <w:rPr>
        <w:rFonts w:hint="eastAsia"/>
      </w:rPr>
    </w:lvl>
  </w:abstractNum>
  <w:abstractNum w:abstractNumId="3">
    <w:nsid w:val="62387534"/>
    <w:multiLevelType w:val="singleLevel"/>
    <w:tmpl w:val="62387534"/>
    <w:lvl w:ilvl="0" w:tentative="0">
      <w:start w:val="1"/>
      <w:numFmt w:val="decimal"/>
      <w:lvlText w:val="%1."/>
      <w:lvlJc w:val="left"/>
      <w:pPr>
        <w:tabs>
          <w:tab w:val="left" w:pos="312"/>
        </w:tabs>
      </w:pPr>
    </w:lvl>
  </w:abstractNum>
  <w:abstractNum w:abstractNumId="4">
    <w:nsid w:val="6BB2B31C"/>
    <w:multiLevelType w:val="singleLevel"/>
    <w:tmpl w:val="6BB2B31C"/>
    <w:lvl w:ilvl="0" w:tentative="0">
      <w:start w:val="2"/>
      <w:numFmt w:val="chineseCounting"/>
      <w:suff w:val="nothing"/>
      <w:lvlText w:val="（%1）"/>
      <w:lvlJc w:val="left"/>
      <w:rPr>
        <w:rFonts w:hint="eastAsia"/>
      </w:rPr>
    </w:lvl>
  </w:abstractNum>
  <w:abstractNum w:abstractNumId="5">
    <w:nsid w:val="7419BCAC"/>
    <w:multiLevelType w:val="singleLevel"/>
    <w:tmpl w:val="7419BCAC"/>
    <w:lvl w:ilvl="0" w:tentative="0">
      <w:start w:val="4"/>
      <w:numFmt w:val="decimal"/>
      <w:lvlText w:val="%1."/>
      <w:lvlJc w:val="left"/>
      <w:pPr>
        <w:tabs>
          <w:tab w:val="left" w:pos="312"/>
        </w:tabs>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5226C67"/>
    <w:rsid w:val="06FB40B0"/>
    <w:rsid w:val="0CB44F22"/>
    <w:rsid w:val="1EA9515C"/>
    <w:rsid w:val="26335A3C"/>
    <w:rsid w:val="2E321854"/>
    <w:rsid w:val="4D2606A1"/>
    <w:rsid w:val="5589371A"/>
    <w:rsid w:val="5A91028C"/>
    <w:rsid w:val="61F83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Body Text Indent 2"/>
    <w:basedOn w:val="1"/>
    <w:next w:val="1"/>
    <w:qFormat/>
    <w:uiPriority w:val="0"/>
    <w:pPr>
      <w:spacing w:line="480" w:lineRule="auto"/>
      <w:ind w:left="420" w:leftChars="200"/>
    </w:pPr>
    <w:rPr>
      <w:rFonts w:ascii="Calibri" w:hAnsi="Calibri" w:eastAsia="宋体" w:cs="Times New Roman"/>
      <w:szCs w:val="24"/>
    </w:rPr>
  </w:style>
  <w:style w:type="paragraph" w:styleId="12">
    <w:name w:val="Balloon Text"/>
    <w:basedOn w:val="1"/>
    <w:link w:val="47"/>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semiHidden/>
    <w:unhideWhenUsed/>
    <w:qFormat/>
    <w:uiPriority w:val="99"/>
    <w:rPr>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2"/>
    <w:semiHidden/>
    <w:qFormat/>
    <w:uiPriority w:val="9"/>
    <w:rPr>
      <w:rFonts w:asciiTheme="majorHAnsi" w:hAnsiTheme="majorHAnsi" w:eastAsiaTheme="majorEastAsia"/>
      <w:b/>
      <w:bCs/>
      <w:i/>
      <w:iCs/>
      <w:sz w:val="28"/>
      <w:szCs w:val="28"/>
    </w:rPr>
  </w:style>
  <w:style w:type="character" w:customStyle="1" w:styleId="24">
    <w:name w:val="标题 3 字符"/>
    <w:basedOn w:val="19"/>
    <w:link w:val="4"/>
    <w:semiHidden/>
    <w:qFormat/>
    <w:uiPriority w:val="9"/>
    <w:rPr>
      <w:rFonts w:asciiTheme="majorHAnsi" w:hAnsiTheme="majorHAnsi" w:eastAsiaTheme="majorEastAsia"/>
      <w:b/>
      <w:bCs/>
      <w:sz w:val="26"/>
      <w:szCs w:val="26"/>
    </w:rPr>
  </w:style>
  <w:style w:type="character" w:customStyle="1" w:styleId="25">
    <w:name w:val="标题 4 字符"/>
    <w:basedOn w:val="19"/>
    <w:link w:val="5"/>
    <w:qFormat/>
    <w:uiPriority w:val="9"/>
    <w:rPr>
      <w:b/>
      <w:bCs/>
      <w:sz w:val="28"/>
      <w:szCs w:val="28"/>
    </w:rPr>
  </w:style>
  <w:style w:type="character" w:customStyle="1" w:styleId="26">
    <w:name w:val="标题 5 字符"/>
    <w:basedOn w:val="19"/>
    <w:link w:val="6"/>
    <w:semiHidden/>
    <w:qFormat/>
    <w:uiPriority w:val="9"/>
    <w:rPr>
      <w:b/>
      <w:bCs/>
      <w:i/>
      <w:iCs/>
      <w:sz w:val="26"/>
      <w:szCs w:val="26"/>
    </w:rPr>
  </w:style>
  <w:style w:type="character" w:customStyle="1" w:styleId="27">
    <w:name w:val="标题 6 字符"/>
    <w:basedOn w:val="19"/>
    <w:link w:val="7"/>
    <w:semiHidden/>
    <w:qFormat/>
    <w:uiPriority w:val="9"/>
    <w:rPr>
      <w:b/>
      <w:bCs/>
    </w:rPr>
  </w:style>
  <w:style w:type="character" w:customStyle="1" w:styleId="28">
    <w:name w:val="标题 7 字符"/>
    <w:basedOn w:val="19"/>
    <w:link w:val="8"/>
    <w:semiHidden/>
    <w:qFormat/>
    <w:uiPriority w:val="9"/>
    <w:rPr>
      <w:sz w:val="24"/>
      <w:szCs w:val="24"/>
    </w:rPr>
  </w:style>
  <w:style w:type="character" w:customStyle="1" w:styleId="29">
    <w:name w:val="标题 8 字符"/>
    <w:basedOn w:val="19"/>
    <w:link w:val="9"/>
    <w:semiHidden/>
    <w:qFormat/>
    <w:uiPriority w:val="9"/>
    <w:rPr>
      <w:i/>
      <w:iCs/>
      <w:sz w:val="24"/>
      <w:szCs w:val="24"/>
    </w:rPr>
  </w:style>
  <w:style w:type="character" w:customStyle="1" w:styleId="30">
    <w:name w:val="标题 9 字符"/>
    <w:basedOn w:val="19"/>
    <w:link w:val="10"/>
    <w:semiHidden/>
    <w:qFormat/>
    <w:uiPriority w:val="9"/>
    <w:rPr>
      <w:rFonts w:asciiTheme="majorHAnsi" w:hAnsiTheme="majorHAnsi" w:eastAsiaTheme="majorEastAsia"/>
    </w:rPr>
  </w:style>
  <w:style w:type="character" w:customStyle="1" w:styleId="31">
    <w:name w:val="标题 字符"/>
    <w:basedOn w:val="19"/>
    <w:link w:val="17"/>
    <w:qFormat/>
    <w:uiPriority w:val="10"/>
    <w:rPr>
      <w:rFonts w:asciiTheme="majorHAnsi" w:hAnsiTheme="majorHAnsi" w:eastAsiaTheme="majorEastAsia"/>
      <w:b/>
      <w:bCs/>
      <w:kern w:val="28"/>
      <w:sz w:val="32"/>
      <w:szCs w:val="32"/>
    </w:rPr>
  </w:style>
  <w:style w:type="character" w:customStyle="1" w:styleId="32">
    <w:name w:val="副标题 字符"/>
    <w:basedOn w:val="19"/>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4"/>
    <w:qFormat/>
    <w:uiPriority w:val="99"/>
    <w:rPr>
      <w:rFonts w:ascii="Calibri" w:hAnsi="Calibri" w:eastAsia="宋体"/>
      <w:kern w:val="2"/>
      <w:sz w:val="18"/>
      <w:szCs w:val="18"/>
    </w:rPr>
  </w:style>
  <w:style w:type="character" w:customStyle="1" w:styleId="46">
    <w:name w:val="页脚 字符"/>
    <w:basedOn w:val="19"/>
    <w:link w:val="13"/>
    <w:qFormat/>
    <w:uiPriority w:val="99"/>
    <w:rPr>
      <w:rFonts w:ascii="Calibri" w:hAnsi="Calibri" w:eastAsia="宋体"/>
      <w:kern w:val="2"/>
      <w:sz w:val="18"/>
      <w:szCs w:val="18"/>
    </w:rPr>
  </w:style>
  <w:style w:type="character" w:customStyle="1" w:styleId="47">
    <w:name w:val="批注框文本 字符"/>
    <w:basedOn w:val="19"/>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6086</Words>
  <Characters>6298</Characters>
  <Lines>5</Lines>
  <Paragraphs>1</Paragraphs>
  <TotalTime>19</TotalTime>
  <ScaleCrop>false</ScaleCrop>
  <LinksUpToDate>false</LinksUpToDate>
  <CharactersWithSpaces>6369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cp:lastModifiedBy>
  <cp:lastPrinted>2018-12-31T10:56:00Z</cp:lastPrinted>
  <dcterms:modified xsi:type="dcterms:W3CDTF">2025-08-29T10:06:46Z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F291B04F936343FD98070B7EA0BEDDF1</vt:lpwstr>
  </property>
  <property fmtid="{D5CDD505-2E9C-101B-9397-08002B2CF9AE}" pid="4" name="KSOTemplateDocerSaveRecord">
    <vt:lpwstr>eyJoZGlkIjoiMzEwNTM5NzYwMDRjMzkwZTVkZjY2ODkwMGIxNGU0OTUiLCJ1c2VySWQiOiIyNDE2NzgwOTkifQ==</vt:lpwstr>
  </property>
</Properties>
</file>