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《新疆维吾尔自治区行政事业单位国有资产配置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管理办法》政策解读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1.问：制定印发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《新疆维吾尔自治区行政事业单位国有资产配置管理办法》的背景及意义是什么？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答：按照财政部《关于做好&lt;行政事业性国有资产管理条例&gt;贯彻实施工作的通知》有关做好相关办法“立改废”工作的要求，为切实贯彻落实《行政事业性国有资产管理条例》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 w:bidi="ar-SA"/>
        </w:rPr>
        <w:t>（国务院令738号）的相关规定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严格执行资产配置标准，建立健全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“以存量定增量”的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资产配置机制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不断提升自治区资产管理水平，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相关政策，结合自治区实际，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自治区财政厅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研究制定了《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新疆维吾尔自治区行政事业单位国有资产配置管理办法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新疆维吾尔自治区行政事业单位国有资产配置管理办法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 w:bidi="ar-SA"/>
        </w:rPr>
        <w:t>发挥存量资产的效用，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 w:bidi="ar-SA"/>
        </w:rPr>
        <w:t>规定优先通过存量资产调剂和共享共用的方式解决配置需求，避免造成资产闲置浪费。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 w:bidi="ar-SA"/>
        </w:rPr>
        <w:t>落实资产管理与预算管理、绩效管理相结合的要求，在编制资产配置相关预算的同时提出资产配置绩效目标，新增资产配置预算编制与部门预算编制同步审核、一并批复。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 w:bidi="ar-SA"/>
        </w:rPr>
        <w:t>强化资产配置预算的约束性，明确资产配置预算是单位年度资产配置的上限指标，相关预算一经批复不得调整，因特殊原因需要追加资产配置预算的，单位应当按照预算调整程序报批。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 w:bidi="ar-SA"/>
        </w:rPr>
        <w:t>增强资产配置与政府采购协同性。配置资产纳入政府采购范围的，严格按照政府采购有关规定执行。未经批准，单位不得自行配置或实施政府采购。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2.问：制定印发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《新疆维吾尔自治区行政事业单位国有资产配置管理办法》的依据是什么？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答：《行政事业性国有资产管理条例》（国务院令738号）、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《中央行政事业单位国有资产配置管理办法》（财资〔2018〕98号）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和关于政府过紧日子的相关要求。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《新疆维吾尔自治区行政事业单位国有资产配置管理办法》的主要内容是什么？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《新疆维吾尔自治区行政事业单位国有资产配置管理办法》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 w:bidi="ar-SA"/>
        </w:rPr>
        <w:t>共计6章33条，包括：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 w:bidi="ar-SA"/>
        </w:rPr>
        <w:t>第一章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 w:bidi="ar-SA"/>
        </w:rPr>
        <w:t>总则，明确办法的制定依据、适用范围、配置原则、资金来源和财政部门职责等;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 w:bidi="ar-SA"/>
        </w:rPr>
        <w:t>第二章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资产配置标准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 w:bidi="ar-SA"/>
        </w:rPr>
        <w:t>和要求，规定配置标准的定义、内容、调整等；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 w:bidi="ar-SA"/>
        </w:rPr>
        <w:t>第三章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资产配置方式，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 w:bidi="ar-SA"/>
        </w:rPr>
        <w:t>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调剂、租用、购置、建设、接受捐赠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 w:bidi="ar-SA"/>
        </w:rPr>
        <w:t>配置方式;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 w:bidi="ar-SA"/>
        </w:rPr>
        <w:t>第四章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配置预算管理和预算执行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 w:bidi="ar-SA"/>
        </w:rPr>
        <w:t>，规定配置预算审核程序、预算执行、预算调整等;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 w:bidi="ar-SA"/>
        </w:rPr>
        <w:t>第五章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 w:bidi="ar-SA"/>
        </w:rPr>
        <w:t>监督检查，明确财政部门、主管部门和行政事业单位的监管职责和处理情形;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 w:bidi="ar-SA"/>
        </w:rPr>
        <w:t>第六章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 w:bidi="ar-SA"/>
        </w:rPr>
        <w:t>附则。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F10B6"/>
    <w:rsid w:val="1AAE391D"/>
    <w:rsid w:val="27C51EA4"/>
    <w:rsid w:val="2C8772DC"/>
    <w:rsid w:val="2CAE10B4"/>
    <w:rsid w:val="39956012"/>
    <w:rsid w:val="4B6E071D"/>
    <w:rsid w:val="4CD858E6"/>
    <w:rsid w:val="4E154BA9"/>
    <w:rsid w:val="53517AD6"/>
    <w:rsid w:val="551F10B6"/>
    <w:rsid w:val="5FB57487"/>
    <w:rsid w:val="6B212713"/>
    <w:rsid w:val="6FB45CDD"/>
    <w:rsid w:val="7292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autoSpaceDE w:val="0"/>
      <w:autoSpaceDN w:val="0"/>
      <w:adjustRightInd w:val="0"/>
      <w:spacing w:line="590" w:lineRule="atLeast"/>
      <w:jc w:val="left"/>
    </w:pPr>
    <w:rPr>
      <w:rFonts w:ascii="Calibri" w:hAnsi="Calibri" w:eastAsia="方正仿宋_GBK" w:cs="Times New Roman"/>
      <w:snapToGrid w:val="0"/>
      <w:spacing w:val="-25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2023-09-03T11:28:00Z</dcterms:created>
  <dc:creator>阿力米热·阿迪力</dc:creator>
  <cp:lastModifiedBy>阿力米热·阿迪力</cp:lastModifiedBy>
  <cp:lastPrinted>2023-09-12T05:08:33Z</cp:lastPrinted>
  <dcterms:modified xsi:type="dcterms:W3CDTF">2023-09-13T02:40:26Z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