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tLeast"/>
        <w:ind w:left="0" w:right="0"/>
        <w:jc w:val="center"/>
        <w:rPr>
          <w:b/>
          <w:sz w:val="36"/>
          <w:szCs w:val="36"/>
        </w:rPr>
      </w:pPr>
      <w:r>
        <w:rPr>
          <w:b/>
          <w:color w:val="333333"/>
          <w:sz w:val="36"/>
          <w:szCs w:val="36"/>
        </w:rPr>
        <w:t>GK202</w:t>
      </w:r>
      <w:r>
        <w:rPr>
          <w:rFonts w:hint="eastAsia"/>
          <w:b/>
          <w:color w:val="333333"/>
          <w:sz w:val="36"/>
          <w:szCs w:val="36"/>
          <w:lang w:val="en-US" w:eastAsia="zh-CN"/>
        </w:rPr>
        <w:t>1</w:t>
      </w:r>
      <w:r>
        <w:rPr>
          <w:b/>
          <w:color w:val="333333"/>
          <w:sz w:val="36"/>
          <w:szCs w:val="36"/>
        </w:rPr>
        <w:t>-0</w:t>
      </w:r>
      <w:r>
        <w:rPr>
          <w:rFonts w:hint="eastAsia"/>
          <w:b/>
          <w:color w:val="333333"/>
          <w:sz w:val="36"/>
          <w:szCs w:val="36"/>
          <w:lang w:val="en-US" w:eastAsia="zh-CN"/>
        </w:rPr>
        <w:t>01</w:t>
      </w:r>
      <w:r>
        <w:rPr>
          <w:b/>
          <w:color w:val="333333"/>
          <w:sz w:val="36"/>
          <w:szCs w:val="36"/>
        </w:rPr>
        <w:t>新疆</w:t>
      </w:r>
      <w:r>
        <w:rPr>
          <w:rFonts w:hint="eastAsia"/>
          <w:b/>
          <w:color w:val="333333"/>
          <w:sz w:val="36"/>
          <w:szCs w:val="36"/>
          <w:lang w:val="en-US" w:eastAsia="zh-CN"/>
        </w:rPr>
        <w:t>工伤保险基金财政专户开设项目</w:t>
      </w:r>
      <w:r>
        <w:rPr>
          <w:b/>
          <w:color w:val="333333"/>
          <w:sz w:val="36"/>
          <w:szCs w:val="36"/>
        </w:rPr>
        <w:t>中标公告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rFonts w:hint="default" w:eastAsia="微软雅黑"/>
          <w:sz w:val="24"/>
          <w:szCs w:val="24"/>
          <w:lang w:val="en-US" w:eastAsia="zh-CN"/>
        </w:rPr>
      </w:pPr>
      <w:r>
        <w:rPr>
          <w:rStyle w:val="6"/>
          <w:rFonts w:ascii="微软雅黑" w:hAnsi="微软雅黑" w:eastAsia="微软雅黑" w:cs="微软雅黑"/>
          <w:color w:val="333333"/>
          <w:sz w:val="24"/>
          <w:szCs w:val="24"/>
        </w:rPr>
        <w:t>一、项目编号：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GK20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21-001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二、项目名称：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新疆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工伤保险基金财政专户开设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三、中标（成交）信息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1.中标信息</w:t>
      </w:r>
    </w:p>
    <w:tbl>
      <w:tblPr>
        <w:tblW w:w="78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1136"/>
        <w:gridCol w:w="2465"/>
        <w:gridCol w:w="1373"/>
        <w:gridCol w:w="24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2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13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新疆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工伤保险基金财政专户开设</w:t>
            </w:r>
          </w:p>
        </w:tc>
        <w:tc>
          <w:tcPr>
            <w:tcW w:w="2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新疆天山农村商业银行股份有限公司</w:t>
            </w:r>
          </w:p>
        </w:tc>
        <w:tc>
          <w:tcPr>
            <w:tcW w:w="13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新疆乌鲁木齐市水磨沟区南湖东路37号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91650000076053838R</w:t>
            </w:r>
          </w:p>
        </w:tc>
      </w:tr>
    </w:tbl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10" w:lineRule="atLeast"/>
        <w:ind w:right="0" w:rightChars="0"/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pP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br w:type="page"/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10" w:lineRule="atLeast"/>
        <w:ind w:right="0" w:rightChars="0"/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四、</w:t>
      </w: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主要标的信息</w:t>
      </w:r>
    </w:p>
    <w:tbl>
      <w:tblPr>
        <w:tblStyle w:val="4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078"/>
        <w:gridCol w:w="1117"/>
        <w:gridCol w:w="1144"/>
        <w:gridCol w:w="1197"/>
        <w:gridCol w:w="141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资本充足率（2019年末）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不良贷款率（2019年末）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拨备覆盖率（2019年末）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流动性覆盖率（2019年末）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流动性比例（2019 年末）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 年在自治区境内信贷投放总额(亿元）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 年在自治区境内信贷投放总额增幅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2019年末在自治区境内存贷比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15.02%</w:t>
            </w: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3.26%</w:t>
            </w: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187.81%</w:t>
            </w: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125.46%</w:t>
            </w: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54.27%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2276.14</w:t>
            </w: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color w:val="000000"/>
                <w:kern w:val="0"/>
                <w:lang w:val="en-US" w:eastAsia="zh-CN"/>
              </w:rPr>
            </w:pPr>
            <w:r>
              <w:rPr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20.01%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color w:val="000000"/>
                <w:kern w:val="0"/>
                <w:lang w:val="en-US" w:eastAsia="zh-CN"/>
              </w:rPr>
            </w:pPr>
            <w:r>
              <w:rPr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84.22%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2020 年支持自治区个体工商户复工复产小额信贷投放总额（亿元）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 年支持自治区涉农领域贷款投放总额（亿元）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 年在自治区境内支持小微企业贷款投放总额（亿元）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 年支持自治区扶贫领域贷款投放总额（亿元）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2019 年支持自治区民营企业发展贷款投放总额（亿元）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在自治区境内缴纳税收总额（亿元）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PMingLiU" w:hAnsi="PMingLiU" w:eastAsia="PMingLiU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PMingLiU" w:hAnsi="PMingLiU" w:eastAsia="PMingLiU" w:cs="宋体"/>
                <w:color w:val="000000"/>
                <w:kern w:val="0"/>
                <w:sz w:val="22"/>
                <w:szCs w:val="22"/>
              </w:rPr>
              <w:t>在自治区境内资产总额（亿元）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46.41%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46.15%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61.59%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2.43%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36.38%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22.91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4851.46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10" w:lineRule="atLeast"/>
        <w:ind w:right="0" w:rightChars="0"/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五、评审专家（单一来源采购人员）名单：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杨晶</w:t>
      </w:r>
      <w:r>
        <w:rPr>
          <w:rFonts w:hint="eastAsia"/>
          <w:lang w:val="en-US" w:eastAsia="zh-CN"/>
        </w:rPr>
        <w:t xml:space="preserve"> 张蓉 尚嵘 罗毅 王华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1.代理服务收费标准：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val="en-US" w:eastAsia="zh-CN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2.代理服务收费金额（元）：0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七、公告期限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自本公告发布之日起1个工作日。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八、其他补充事宜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24"/>
          <w:szCs w:val="24"/>
        </w:rPr>
        <w:t>九、对本次公告内容提出询问，请按以下方式联系：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名称：新疆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eastAsia="zh-CN"/>
        </w:rPr>
        <w:t>财政厅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eastAsia="zh-CN"/>
        </w:rPr>
        <w:t>明德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路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联系人：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eastAsia="zh-CN"/>
        </w:rPr>
        <w:t>戴文菁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lang w:val="en-US" w:eastAsia="zh-CN"/>
        </w:rPr>
        <w:t>0991-2359876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2.集中采购机构信息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 xml:space="preserve">名称：新疆维吾尔自治区政务服务和公共资源交易中心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地址：乌鲁木齐市水磨沟区准噶尔街299号益民大厦4楼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联系人：郜峰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联系方式：0991-3550536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3.同级政府采购监督管理部门名称：自治区财政厅政府采购管理处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 xml:space="preserve">联系人：包文泉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>监督投诉电话：0991-2359482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</w:rPr>
        <w:t xml:space="preserve">地址：乌鲁木齐市明德路16号财政厅政府采购管理处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30546"/>
    <w:rsid w:val="6B1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TML Definition"/>
    <w:basedOn w:val="5"/>
    <w:uiPriority w:val="0"/>
  </w:style>
  <w:style w:type="character" w:styleId="9">
    <w:name w:val="HTML Typewriter"/>
    <w:basedOn w:val="5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0000FF"/>
      <w:u w:val="none"/>
    </w:rPr>
  </w:style>
  <w:style w:type="character" w:styleId="13">
    <w:name w:val="HTML Code"/>
    <w:basedOn w:val="5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5"/>
    <w:uiPriority w:val="0"/>
  </w:style>
  <w:style w:type="character" w:styleId="15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uiPriority w:val="0"/>
    <w:rPr>
      <w:rFonts w:hint="default" w:ascii="monospace" w:hAnsi="monospace" w:eastAsia="monospace" w:cs="monospace"/>
    </w:rPr>
  </w:style>
  <w:style w:type="character" w:customStyle="1" w:styleId="17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2021-02-20T08:06:54Z</dcterms:created>
  <dc:creator>Administrator</dc:creator>
  <cp:lastModifiedBy>Administrator</cp:lastModifiedBy>
  <dcterms:modified xsi:type="dcterms:W3CDTF">2021-02-20T08:30:35Z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