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Theme="majorEastAsia" w:hAnsiTheme="majorEastAsia" w:eastAsiaTheme="majorEastAsia" w:cstheme="majorEastAsia"/>
          <w:b/>
          <w:bCs/>
          <w:color w:val="auto"/>
          <w:kern w:val="0"/>
          <w:sz w:val="32"/>
          <w:szCs w:val="32"/>
          <w:lang w:val="en-US" w:eastAsia="zh-CN"/>
        </w:rPr>
      </w:pPr>
      <w:r>
        <w:rPr>
          <w:rFonts w:hint="eastAsia" w:asciiTheme="majorEastAsia" w:hAnsiTheme="majorEastAsia" w:eastAsiaTheme="majorEastAsia" w:cstheme="majorEastAsia"/>
          <w:b/>
          <w:bCs/>
          <w:color w:val="auto"/>
          <w:kern w:val="0"/>
          <w:sz w:val="32"/>
          <w:szCs w:val="32"/>
          <w:lang w:val="en-US" w:eastAsia="zh-CN"/>
        </w:rPr>
        <w:t xml:space="preserve">附件5 </w:t>
      </w:r>
    </w:p>
    <w:p>
      <w:pPr>
        <w:jc w:val="center"/>
        <w:rPr>
          <w:rFonts w:hint="default" w:ascii="Times New Roman" w:hAnsi="Times New Roman" w:eastAsia="黑体" w:cs="Times New Roman"/>
          <w:b/>
          <w:color w:val="auto"/>
          <w:sz w:val="44"/>
          <w:szCs w:val="44"/>
        </w:rPr>
      </w:pPr>
    </w:p>
    <w:p>
      <w:pPr>
        <w:jc w:val="center"/>
        <w:rPr>
          <w:rFonts w:hint="default" w:ascii="Times New Roman" w:hAnsi="Times New Roman" w:eastAsia="黑体" w:cs="Times New Roman"/>
          <w:b/>
          <w:color w:val="auto"/>
          <w:sz w:val="44"/>
          <w:szCs w:val="44"/>
        </w:rPr>
      </w:pPr>
    </w:p>
    <w:p>
      <w:pPr>
        <w:widowControl/>
        <w:kinsoku w:val="0"/>
        <w:autoSpaceDE w:val="0"/>
        <w:autoSpaceDN w:val="0"/>
        <w:adjustRightInd w:val="0"/>
        <w:snapToGrid w:val="0"/>
        <w:jc w:val="center"/>
        <w:textAlignment w:val="baseline"/>
        <w:rPr>
          <w:rFonts w:hint="default" w:ascii="Times New Roman" w:hAnsi="Times New Roman" w:eastAsia="宋体" w:cs="Times New Roman"/>
          <w:b/>
          <w:bCs/>
          <w:snapToGrid w:val="0"/>
          <w:color w:val="auto"/>
          <w:spacing w:val="-5"/>
          <w:kern w:val="0"/>
          <w:sz w:val="44"/>
          <w:szCs w:val="44"/>
          <w:lang w:val="en-US" w:eastAsia="zh-CN"/>
        </w:rPr>
      </w:pPr>
      <w:r>
        <w:rPr>
          <w:rFonts w:hint="default" w:ascii="Times New Roman" w:hAnsi="Times New Roman" w:eastAsia="方正小标宋_GBK" w:cs="Times New Roman"/>
          <w:b w:val="0"/>
          <w:bCs w:val="0"/>
          <w:snapToGrid w:val="0"/>
          <w:color w:val="auto"/>
          <w:spacing w:val="-5"/>
          <w:kern w:val="0"/>
          <w:sz w:val="40"/>
          <w:szCs w:val="40"/>
          <w:lang w:val="en-US" w:eastAsia="zh-CN"/>
        </w:rPr>
        <w:t>新疆维吾尔自治区农业防灾减灾资金转移支付2023年度绩效自评报告</w:t>
      </w:r>
    </w:p>
    <w:p>
      <w:pPr>
        <w:widowControl/>
        <w:kinsoku w:val="0"/>
        <w:autoSpaceDE w:val="0"/>
        <w:autoSpaceDN w:val="0"/>
        <w:adjustRightInd w:val="0"/>
        <w:snapToGrid w:val="0"/>
        <w:jc w:val="center"/>
        <w:textAlignment w:val="baseline"/>
        <w:rPr>
          <w:rFonts w:hint="default" w:ascii="Times New Roman" w:hAnsi="Times New Roman" w:eastAsia="方正小标宋_GBK" w:cs="Times New Roman"/>
          <w:b w:val="0"/>
          <w:bCs w:val="0"/>
          <w:snapToGrid w:val="0"/>
          <w:color w:val="auto"/>
          <w:spacing w:val="-5"/>
          <w:kern w:val="0"/>
          <w:sz w:val="40"/>
          <w:szCs w:val="40"/>
          <w:lang w:val="en-US" w:eastAsia="zh-CN"/>
        </w:rPr>
      </w:pPr>
    </w:p>
    <w:p>
      <w:pPr>
        <w:spacing w:line="540" w:lineRule="exact"/>
        <w:jc w:val="center"/>
        <w:rPr>
          <w:rFonts w:hint="default" w:ascii="Times New Roman" w:hAnsi="Times New Roman" w:cs="Times New Roman"/>
          <w:b/>
          <w:bCs/>
          <w:color w:val="auto"/>
          <w:kern w:val="0"/>
          <w:szCs w:val="30"/>
        </w:rPr>
      </w:pPr>
    </w:p>
    <w:p>
      <w:pPr>
        <w:spacing w:line="540" w:lineRule="exact"/>
        <w:jc w:val="center"/>
        <w:rPr>
          <w:rFonts w:hint="default" w:ascii="Times New Roman" w:hAnsi="Times New Roman" w:cs="Times New Roman"/>
          <w:color w:val="auto"/>
          <w:kern w:val="0"/>
          <w:szCs w:val="30"/>
        </w:rPr>
      </w:pPr>
    </w:p>
    <w:p>
      <w:pPr>
        <w:spacing w:line="540" w:lineRule="exact"/>
        <w:jc w:val="center"/>
        <w:rPr>
          <w:rFonts w:hint="default" w:ascii="Times New Roman" w:hAnsi="Times New Roman" w:cs="Times New Roman"/>
          <w:color w:val="auto"/>
          <w:kern w:val="0"/>
          <w:szCs w:val="30"/>
        </w:rPr>
      </w:pPr>
    </w:p>
    <w:p>
      <w:pPr>
        <w:pStyle w:val="11"/>
        <w:ind w:left="600" w:firstLine="600"/>
        <w:rPr>
          <w:rFonts w:hint="default" w:ascii="Times New Roman" w:hAnsi="Times New Roman" w:cs="Times New Roman"/>
          <w:color w:val="auto"/>
          <w:kern w:val="0"/>
          <w:szCs w:val="30"/>
        </w:rPr>
      </w:pPr>
    </w:p>
    <w:p>
      <w:pPr>
        <w:pStyle w:val="11"/>
        <w:ind w:left="600" w:firstLine="600"/>
        <w:rPr>
          <w:rFonts w:hint="default" w:ascii="Times New Roman" w:hAnsi="Times New Roman" w:cs="Times New Roman"/>
          <w:color w:val="auto"/>
          <w:kern w:val="0"/>
          <w:szCs w:val="30"/>
        </w:rPr>
      </w:pPr>
    </w:p>
    <w:p>
      <w:pPr>
        <w:spacing w:line="540" w:lineRule="exact"/>
        <w:jc w:val="both"/>
        <w:rPr>
          <w:rFonts w:hint="default" w:ascii="Times New Roman" w:hAnsi="Times New Roman" w:cs="Times New Roman"/>
          <w:color w:val="auto"/>
          <w:kern w:val="0"/>
          <w:szCs w:val="30"/>
        </w:rPr>
      </w:pPr>
    </w:p>
    <w:p>
      <w:pPr>
        <w:pStyle w:val="3"/>
        <w:rPr>
          <w:rFonts w:hint="default" w:ascii="Times New Roman" w:hAnsi="Times New Roman" w:cs="Times New Roman"/>
          <w:color w:val="auto"/>
        </w:rPr>
      </w:pPr>
    </w:p>
    <w:p>
      <w:pPr>
        <w:pStyle w:val="3"/>
        <w:rPr>
          <w:rFonts w:hint="default" w:ascii="Times New Roman" w:hAnsi="Times New Roman" w:cs="Times New Roman"/>
          <w:color w:val="auto"/>
        </w:rPr>
      </w:pPr>
    </w:p>
    <w:p>
      <w:pPr>
        <w:spacing w:line="700" w:lineRule="exact"/>
        <w:ind w:firstLine="640" w:firstLineChars="200"/>
        <w:jc w:val="left"/>
        <w:rPr>
          <w:rFonts w:hint="default" w:ascii="Times New Roman" w:hAnsi="Times New Roman" w:eastAsia="方正小标宋_GBK" w:cs="Times New Roman"/>
          <w:b w:val="0"/>
          <w:bCs w:val="0"/>
          <w:color w:val="auto"/>
          <w:kern w:val="2"/>
          <w:sz w:val="32"/>
          <w:szCs w:val="32"/>
          <w:lang w:val="en-US" w:eastAsia="zh-CN" w:bidi="ar-SA"/>
        </w:rPr>
      </w:pPr>
    </w:p>
    <w:p>
      <w:pPr>
        <w:spacing w:line="700" w:lineRule="exact"/>
        <w:ind w:firstLine="642" w:firstLineChars="200"/>
        <w:jc w:val="left"/>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bCs/>
          <w:color w:val="auto"/>
          <w:kern w:val="2"/>
          <w:sz w:val="32"/>
          <w:szCs w:val="32"/>
          <w:lang w:val="en-US" w:eastAsia="zh-CN" w:bidi="ar-SA"/>
        </w:rPr>
        <w:t>项目名称：</w:t>
      </w:r>
      <w:r>
        <w:rPr>
          <w:rFonts w:hint="default" w:ascii="Times New Roman" w:hAnsi="Times New Roman" w:eastAsia="仿宋_GB2312" w:cs="Times New Roman"/>
          <w:b w:val="0"/>
          <w:bCs w:val="0"/>
          <w:color w:val="auto"/>
          <w:kern w:val="0"/>
          <w:sz w:val="32"/>
          <w:szCs w:val="32"/>
        </w:rPr>
        <w:t>农业防灾减灾资金</w:t>
      </w:r>
    </w:p>
    <w:p>
      <w:pPr>
        <w:spacing w:line="700" w:lineRule="exact"/>
        <w:ind w:firstLine="642" w:firstLineChars="200"/>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kern w:val="2"/>
          <w:sz w:val="32"/>
          <w:szCs w:val="32"/>
          <w:lang w:val="en-US" w:eastAsia="zh-CN" w:bidi="ar-SA"/>
        </w:rPr>
        <w:t>实施单位（公章）：</w:t>
      </w:r>
      <w:r>
        <w:rPr>
          <w:rFonts w:hint="default" w:ascii="Times New Roman" w:hAnsi="Times New Roman" w:eastAsia="仿宋_GB2312" w:cs="Times New Roman"/>
          <w:b w:val="0"/>
          <w:bCs w:val="0"/>
          <w:color w:val="auto"/>
          <w:sz w:val="32"/>
          <w:szCs w:val="32"/>
        </w:rPr>
        <w:t>各地州市农业农村局</w:t>
      </w:r>
      <w:r>
        <w:rPr>
          <w:rFonts w:hint="eastAsia" w:cs="Times New Roman"/>
          <w:b w:val="0"/>
          <w:bCs w:val="0"/>
          <w:color w:val="auto"/>
          <w:sz w:val="32"/>
          <w:szCs w:val="32"/>
          <w:lang w:eastAsia="zh-CN"/>
        </w:rPr>
        <w:t>、</w:t>
      </w:r>
      <w:r>
        <w:rPr>
          <w:rFonts w:hint="eastAsia" w:cs="Times New Roman"/>
          <w:b w:val="0"/>
          <w:bCs w:val="0"/>
          <w:color w:val="auto"/>
          <w:sz w:val="32"/>
          <w:szCs w:val="32"/>
          <w:lang w:val="en-US" w:eastAsia="zh-CN"/>
        </w:rPr>
        <w:t>畜牧兽医局</w:t>
      </w:r>
    </w:p>
    <w:p>
      <w:pPr>
        <w:spacing w:line="700" w:lineRule="exact"/>
        <w:ind w:firstLine="642" w:firstLineChars="200"/>
        <w:jc w:val="left"/>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bCs/>
          <w:color w:val="auto"/>
          <w:kern w:val="2"/>
          <w:sz w:val="32"/>
          <w:szCs w:val="32"/>
          <w:lang w:val="en-US" w:eastAsia="zh-CN" w:bidi="ar-SA"/>
        </w:rPr>
        <w:t>主管部门（公章）：</w:t>
      </w:r>
      <w:r>
        <w:rPr>
          <w:rFonts w:hint="default" w:ascii="Times New Roman" w:hAnsi="Times New Roman" w:eastAsia="仿宋_GB2312" w:cs="Times New Roman"/>
          <w:b w:val="0"/>
          <w:bCs w:val="0"/>
          <w:color w:val="auto"/>
          <w:kern w:val="0"/>
          <w:sz w:val="32"/>
          <w:szCs w:val="32"/>
        </w:rPr>
        <w:t>自治区农业农村厅</w:t>
      </w:r>
    </w:p>
    <w:p>
      <w:pPr>
        <w:spacing w:line="700" w:lineRule="exact"/>
        <w:ind w:firstLine="642" w:firstLineChars="200"/>
        <w:jc w:val="left"/>
        <w:rPr>
          <w:rFonts w:hint="default" w:ascii="Times New Roman" w:hAnsi="Times New Roman" w:eastAsia="仿宋_GB2312" w:cs="Times New Roman"/>
          <w:b w:val="0"/>
          <w:bCs w:val="0"/>
          <w:color w:val="auto"/>
          <w:kern w:val="0"/>
          <w:sz w:val="32"/>
          <w:szCs w:val="32"/>
          <w:highlight w:val="none"/>
          <w:lang w:val="en-US"/>
        </w:rPr>
      </w:pPr>
      <w:r>
        <w:rPr>
          <w:rFonts w:hint="default" w:ascii="Times New Roman" w:hAnsi="Times New Roman" w:eastAsia="仿宋_GB2312" w:cs="Times New Roman"/>
          <w:b/>
          <w:bCs/>
          <w:color w:val="auto"/>
          <w:kern w:val="2"/>
          <w:sz w:val="32"/>
          <w:szCs w:val="32"/>
          <w:highlight w:val="none"/>
          <w:lang w:val="en-US" w:eastAsia="zh-CN" w:bidi="ar-SA"/>
        </w:rPr>
        <w:t>项目负责人（签章）：</w:t>
      </w:r>
      <w:r>
        <w:rPr>
          <w:rFonts w:hint="default" w:ascii="Times New Roman" w:hAnsi="Times New Roman" w:eastAsia="仿宋_GB2312" w:cs="Times New Roman"/>
          <w:b w:val="0"/>
          <w:bCs w:val="0"/>
          <w:color w:val="auto"/>
          <w:kern w:val="2"/>
          <w:sz w:val="32"/>
          <w:szCs w:val="32"/>
          <w:highlight w:val="none"/>
          <w:lang w:val="en-US" w:eastAsia="zh-CN" w:bidi="ar-SA"/>
        </w:rPr>
        <w:t>王惠卿、汤义武</w:t>
      </w:r>
      <w:r>
        <w:rPr>
          <w:rFonts w:hint="eastAsia" w:cs="Times New Roman"/>
          <w:b w:val="0"/>
          <w:bCs w:val="0"/>
          <w:color w:val="auto"/>
          <w:kern w:val="2"/>
          <w:sz w:val="32"/>
          <w:szCs w:val="32"/>
          <w:highlight w:val="none"/>
          <w:lang w:val="en-US" w:eastAsia="zh-CN" w:bidi="ar-SA"/>
        </w:rPr>
        <w:t>、张加群</w:t>
      </w:r>
    </w:p>
    <w:p>
      <w:pPr>
        <w:spacing w:line="700" w:lineRule="exact"/>
        <w:ind w:firstLine="642"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2"/>
          <w:sz w:val="32"/>
          <w:szCs w:val="32"/>
          <w:lang w:val="en-US" w:eastAsia="zh-CN" w:bidi="ar-SA"/>
        </w:rPr>
        <w:t>填报时间：</w:t>
      </w:r>
      <w:r>
        <w:rPr>
          <w:rFonts w:hint="default" w:ascii="Times New Roman" w:hAnsi="Times New Roman" w:eastAsia="仿宋_GB2312" w:cs="Times New Roman"/>
          <w:b w:val="0"/>
          <w:bCs w:val="0"/>
          <w:color w:val="auto"/>
          <w:kern w:val="0"/>
          <w:sz w:val="32"/>
          <w:szCs w:val="32"/>
        </w:rPr>
        <w:t>202</w:t>
      </w:r>
      <w:r>
        <w:rPr>
          <w:rFonts w:hint="default" w:ascii="Times New Roman" w:hAnsi="Times New Roman" w:eastAsia="仿宋_GB2312" w:cs="Times New Roman"/>
          <w:b w:val="0"/>
          <w:bCs w:val="0"/>
          <w:color w:val="auto"/>
          <w:kern w:val="0"/>
          <w:sz w:val="32"/>
          <w:szCs w:val="32"/>
          <w:lang w:val="en-US" w:eastAsia="zh-CN"/>
        </w:rPr>
        <w:t>4</w:t>
      </w:r>
      <w:r>
        <w:rPr>
          <w:rFonts w:hint="default" w:ascii="Times New Roman" w:hAnsi="Times New Roman" w:eastAsia="仿宋_GB2312" w:cs="Times New Roman"/>
          <w:b w:val="0"/>
          <w:bCs w:val="0"/>
          <w:color w:val="auto"/>
          <w:kern w:val="0"/>
          <w:sz w:val="32"/>
          <w:szCs w:val="32"/>
        </w:rPr>
        <w:t>年</w:t>
      </w:r>
      <w:r>
        <w:rPr>
          <w:rFonts w:hint="default" w:ascii="Times New Roman" w:hAnsi="Times New Roman" w:eastAsia="仿宋_GB2312" w:cs="Times New Roman"/>
          <w:b w:val="0"/>
          <w:bCs w:val="0"/>
          <w:color w:val="auto"/>
          <w:kern w:val="0"/>
          <w:sz w:val="32"/>
          <w:szCs w:val="32"/>
          <w:lang w:val="en-US" w:eastAsia="zh-CN"/>
        </w:rPr>
        <w:t>3</w:t>
      </w:r>
      <w:r>
        <w:rPr>
          <w:rFonts w:hint="default" w:ascii="Times New Roman" w:hAnsi="Times New Roman" w:eastAsia="仿宋_GB2312" w:cs="Times New Roman"/>
          <w:b w:val="0"/>
          <w:bCs w:val="0"/>
          <w:color w:val="auto"/>
          <w:kern w:val="0"/>
          <w:sz w:val="32"/>
          <w:szCs w:val="32"/>
        </w:rPr>
        <w:t>月</w:t>
      </w:r>
      <w:r>
        <w:rPr>
          <w:rFonts w:hint="default" w:ascii="Times New Roman" w:hAnsi="Times New Roman" w:eastAsia="仿宋_GB2312" w:cs="Times New Roman"/>
          <w:b w:val="0"/>
          <w:bCs w:val="0"/>
          <w:color w:val="auto"/>
          <w:kern w:val="0"/>
          <w:sz w:val="32"/>
          <w:szCs w:val="32"/>
          <w:lang w:val="en-US" w:eastAsia="zh-CN"/>
        </w:rPr>
        <w:t>8</w:t>
      </w:r>
      <w:r>
        <w:rPr>
          <w:rFonts w:hint="default" w:ascii="Times New Roman" w:hAnsi="Times New Roman" w:eastAsia="仿宋_GB2312" w:cs="Times New Roman"/>
          <w:b w:val="0"/>
          <w:bCs w:val="0"/>
          <w:color w:val="auto"/>
          <w:kern w:val="0"/>
          <w:sz w:val="32"/>
          <w:szCs w:val="32"/>
        </w:rPr>
        <w:t>日</w:t>
      </w:r>
    </w:p>
    <w:p>
      <w:pPr>
        <w:jc w:val="center"/>
        <w:rPr>
          <w:rFonts w:hint="default" w:ascii="Times New Roman" w:hAnsi="Times New Roman" w:eastAsia="方正小标宋_GBK" w:cs="Times New Roman"/>
          <w:b/>
          <w:color w:val="auto"/>
          <w:sz w:val="32"/>
          <w:szCs w:val="32"/>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pPr>
        <w:widowControl/>
        <w:kinsoku w:val="0"/>
        <w:autoSpaceDE w:val="0"/>
        <w:autoSpaceDN w:val="0"/>
        <w:adjustRightInd w:val="0"/>
        <w:snapToGrid w:val="0"/>
        <w:jc w:val="center"/>
        <w:textAlignment w:val="baseline"/>
        <w:rPr>
          <w:rFonts w:hint="default" w:ascii="Times New Roman" w:hAnsi="Times New Roman" w:eastAsia="方正小标宋_GBK" w:cs="Times New Roman"/>
          <w:b w:val="0"/>
          <w:bCs w:val="0"/>
          <w:snapToGrid w:val="0"/>
          <w:color w:val="auto"/>
          <w:spacing w:val="-5"/>
          <w:kern w:val="0"/>
          <w:sz w:val="40"/>
          <w:szCs w:val="40"/>
        </w:rPr>
      </w:pPr>
      <w:r>
        <w:rPr>
          <w:rFonts w:hint="default" w:ascii="Times New Roman" w:hAnsi="Times New Roman" w:eastAsia="方正小标宋_GBK" w:cs="Times New Roman"/>
          <w:b w:val="0"/>
          <w:bCs w:val="0"/>
          <w:snapToGrid w:val="0"/>
          <w:color w:val="auto"/>
          <w:spacing w:val="-5"/>
          <w:kern w:val="0"/>
          <w:sz w:val="40"/>
          <w:szCs w:val="40"/>
        </w:rPr>
        <w:t>新疆</w:t>
      </w:r>
      <w:r>
        <w:rPr>
          <w:rFonts w:hint="default" w:ascii="Times New Roman" w:hAnsi="Times New Roman" w:eastAsia="方正小标宋_GBK" w:cs="Times New Roman"/>
          <w:b w:val="0"/>
          <w:bCs w:val="0"/>
          <w:snapToGrid w:val="0"/>
          <w:color w:val="auto"/>
          <w:spacing w:val="-5"/>
          <w:kern w:val="0"/>
          <w:sz w:val="40"/>
          <w:szCs w:val="40"/>
          <w:lang w:val="en-US" w:eastAsia="zh-CN"/>
        </w:rPr>
        <w:t>维吾尔自治区农业防灾减灾资金</w:t>
      </w:r>
      <w:r>
        <w:rPr>
          <w:rFonts w:hint="default" w:ascii="Times New Roman" w:hAnsi="Times New Roman" w:eastAsia="方正小标宋_GBK" w:cs="Times New Roman"/>
          <w:b w:val="0"/>
          <w:bCs w:val="0"/>
          <w:snapToGrid w:val="0"/>
          <w:color w:val="auto"/>
          <w:spacing w:val="-5"/>
          <w:kern w:val="0"/>
          <w:sz w:val="40"/>
          <w:szCs w:val="40"/>
        </w:rPr>
        <w:t>转移支付</w:t>
      </w:r>
    </w:p>
    <w:p>
      <w:pPr>
        <w:widowControl/>
        <w:kinsoku w:val="0"/>
        <w:autoSpaceDE w:val="0"/>
        <w:autoSpaceDN w:val="0"/>
        <w:adjustRightInd w:val="0"/>
        <w:snapToGrid w:val="0"/>
        <w:spacing w:afterAutospacing="0"/>
        <w:jc w:val="center"/>
        <w:textAlignment w:val="baseline"/>
        <w:rPr>
          <w:rFonts w:hint="default" w:ascii="Times New Roman" w:hAnsi="Times New Roman" w:eastAsia="方正小标宋_GBK" w:cs="Times New Roman"/>
          <w:b w:val="0"/>
          <w:bCs w:val="0"/>
          <w:snapToGrid w:val="0"/>
          <w:color w:val="auto"/>
          <w:spacing w:val="-5"/>
          <w:kern w:val="0"/>
          <w:sz w:val="40"/>
          <w:szCs w:val="40"/>
        </w:rPr>
      </w:pPr>
      <w:r>
        <w:rPr>
          <w:rFonts w:hint="default" w:ascii="Times New Roman" w:hAnsi="Times New Roman" w:eastAsia="方正小标宋_GBK" w:cs="Times New Roman"/>
          <w:b w:val="0"/>
          <w:bCs w:val="0"/>
          <w:snapToGrid w:val="0"/>
          <w:color w:val="auto"/>
          <w:spacing w:val="-5"/>
          <w:kern w:val="0"/>
          <w:sz w:val="40"/>
          <w:szCs w:val="40"/>
          <w:lang w:val="en-US" w:eastAsia="zh-CN"/>
        </w:rPr>
        <w:t>2023年度</w:t>
      </w:r>
      <w:r>
        <w:rPr>
          <w:rFonts w:hint="default" w:ascii="Times New Roman" w:hAnsi="Times New Roman" w:eastAsia="方正小标宋_GBK" w:cs="Times New Roman"/>
          <w:b w:val="0"/>
          <w:bCs w:val="0"/>
          <w:snapToGrid w:val="0"/>
          <w:color w:val="auto"/>
          <w:spacing w:val="-5"/>
          <w:kern w:val="0"/>
          <w:sz w:val="40"/>
          <w:szCs w:val="40"/>
        </w:rPr>
        <w:t>绩效自评报告</w:t>
      </w:r>
    </w:p>
    <w:p>
      <w:pPr>
        <w:pStyle w:val="3"/>
        <w:spacing w:before="0" w:beforeAutospacing="0" w:after="0" w:afterAutospacing="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rPr>
          <w:rFonts w:hint="default" w:ascii="Times New Roman" w:hAnsi="Times New Roman" w:cs="Times New Roman"/>
          <w:bCs/>
          <w:color w:val="auto"/>
          <w:sz w:val="32"/>
          <w:szCs w:val="32"/>
        </w:rPr>
      </w:pPr>
      <w:r>
        <w:rPr>
          <w:rFonts w:hint="default" w:ascii="Times New Roman" w:hAnsi="Times New Roman" w:cs="Times New Roman"/>
          <w:bCs/>
          <w:color w:val="auto"/>
          <w:sz w:val="32"/>
          <w:szCs w:val="32"/>
        </w:rPr>
        <w:t>贯彻落实党中央全面实施预算绩效管理决策部署，根据《财政部关于开展2023年度中央对地方转移支付预算执行情况绩效自评工作的通知》（财监〔202</w:t>
      </w:r>
      <w:r>
        <w:rPr>
          <w:rFonts w:hint="default" w:ascii="Times New Roman" w:hAnsi="Times New Roman" w:cs="Times New Roman"/>
          <w:bCs/>
          <w:color w:val="auto"/>
          <w:sz w:val="32"/>
          <w:szCs w:val="32"/>
          <w:lang w:val="en-US" w:eastAsia="zh-CN"/>
        </w:rPr>
        <w:t>4</w:t>
      </w:r>
      <w:r>
        <w:rPr>
          <w:rFonts w:hint="default" w:ascii="Times New Roman" w:hAnsi="Times New Roman" w:cs="Times New Roman"/>
          <w:bCs/>
          <w:color w:val="auto"/>
          <w:sz w:val="32"/>
          <w:szCs w:val="32"/>
        </w:rPr>
        <w:t>〕</w:t>
      </w:r>
      <w:r>
        <w:rPr>
          <w:rFonts w:hint="default" w:ascii="Times New Roman" w:hAnsi="Times New Roman" w:cs="Times New Roman"/>
          <w:bCs/>
          <w:color w:val="auto"/>
          <w:sz w:val="32"/>
          <w:szCs w:val="32"/>
          <w:lang w:val="en-US" w:eastAsia="zh-CN"/>
        </w:rPr>
        <w:t>3</w:t>
      </w:r>
      <w:r>
        <w:rPr>
          <w:rFonts w:hint="default" w:ascii="Times New Roman" w:hAnsi="Times New Roman" w:cs="Times New Roman"/>
          <w:bCs/>
          <w:color w:val="auto"/>
          <w:sz w:val="32"/>
          <w:szCs w:val="32"/>
        </w:rPr>
        <w:t>号），自治区农业农村厅、财政厅高度重视，严格按规范要求组织开展了202</w:t>
      </w:r>
      <w:r>
        <w:rPr>
          <w:rFonts w:hint="default" w:ascii="Times New Roman" w:hAnsi="Times New Roman" w:cs="Times New Roman"/>
          <w:bCs/>
          <w:color w:val="auto"/>
          <w:sz w:val="32"/>
          <w:szCs w:val="32"/>
          <w:lang w:val="en-US" w:eastAsia="zh-CN"/>
        </w:rPr>
        <w:t>3</w:t>
      </w:r>
      <w:r>
        <w:rPr>
          <w:rFonts w:hint="default" w:ascii="Times New Roman" w:hAnsi="Times New Roman" w:cs="Times New Roman"/>
          <w:bCs/>
          <w:color w:val="auto"/>
          <w:sz w:val="32"/>
          <w:szCs w:val="32"/>
        </w:rPr>
        <w:t>年度新疆</w:t>
      </w:r>
      <w:r>
        <w:rPr>
          <w:rFonts w:hint="default" w:ascii="Times New Roman" w:hAnsi="Times New Roman" w:cs="Times New Roman"/>
          <w:bCs/>
          <w:color w:val="auto"/>
          <w:sz w:val="32"/>
          <w:szCs w:val="32"/>
          <w:lang w:val="en-US" w:eastAsia="zh-CN"/>
        </w:rPr>
        <w:t>农业防灾减灾</w:t>
      </w:r>
      <w:r>
        <w:rPr>
          <w:rFonts w:hint="default" w:ascii="Times New Roman" w:hAnsi="Times New Roman" w:cs="Times New Roman"/>
          <w:bCs/>
          <w:color w:val="auto"/>
          <w:sz w:val="32"/>
          <w:szCs w:val="32"/>
        </w:rPr>
        <w:t>中央补助资金绩效自评工作，现将自评情况报告如下：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outlineLvl w:val="0"/>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（一）中央下达</w:t>
      </w:r>
      <w:r>
        <w:rPr>
          <w:rFonts w:hint="default" w:ascii="Times New Roman" w:hAnsi="Times New Roman" w:eastAsia="楷体" w:cs="Times New Roman"/>
          <w:b/>
          <w:bCs/>
          <w:color w:val="auto"/>
          <w:sz w:val="32"/>
          <w:szCs w:val="32"/>
          <w:lang w:val="en-US" w:eastAsia="zh-CN"/>
        </w:rPr>
        <w:t>农业防灾减灾</w:t>
      </w:r>
      <w:r>
        <w:rPr>
          <w:rFonts w:hint="default" w:ascii="Times New Roman" w:hAnsi="Times New Roman" w:eastAsia="楷体" w:cs="Times New Roman"/>
          <w:b/>
          <w:bCs/>
          <w:color w:val="auto"/>
          <w:sz w:val="32"/>
          <w:szCs w:val="32"/>
        </w:rPr>
        <w:t>专项转移支付预算和绩效目标情况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1</w:t>
      </w:r>
      <w:r>
        <w:rPr>
          <w:rFonts w:hint="default" w:cs="Times New Roman"/>
          <w:b/>
          <w:bCs/>
          <w:color w:val="auto"/>
          <w:sz w:val="32"/>
          <w:szCs w:val="32"/>
          <w:lang w:val="en"/>
        </w:rPr>
        <w:t>.</w:t>
      </w:r>
      <w:r>
        <w:rPr>
          <w:rFonts w:hint="default" w:ascii="Times New Roman" w:hAnsi="Times New Roman" w:cs="Times New Roman"/>
          <w:b/>
          <w:bCs/>
          <w:color w:val="auto"/>
          <w:sz w:val="32"/>
          <w:szCs w:val="32"/>
        </w:rPr>
        <w:t>下达预算情况</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202</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年度，财政部</w:t>
      </w:r>
      <w:r>
        <w:rPr>
          <w:rFonts w:hint="default" w:ascii="Times New Roman" w:hAnsi="Times New Roman" w:cs="Times New Roman"/>
          <w:color w:val="auto"/>
          <w:sz w:val="32"/>
          <w:szCs w:val="32"/>
          <w:lang w:val="en-US" w:eastAsia="zh-CN"/>
        </w:rPr>
        <w:t>下达我区农业防灾减灾资金43062万元</w:t>
      </w:r>
      <w:r>
        <w:rPr>
          <w:rFonts w:hint="default" w:ascii="Times New Roman" w:hAnsi="Times New Roman" w:cs="Times New Roman"/>
          <w:color w:val="auto"/>
          <w:sz w:val="32"/>
          <w:szCs w:val="32"/>
        </w:rPr>
        <w:t>，用于</w:t>
      </w:r>
      <w:r>
        <w:rPr>
          <w:rFonts w:hint="default" w:ascii="Times New Roman" w:hAnsi="Times New Roman" w:cs="Times New Roman"/>
          <w:color w:val="auto"/>
          <w:sz w:val="32"/>
          <w:szCs w:val="32"/>
          <w:lang w:val="en-US" w:eastAsia="zh-CN"/>
        </w:rPr>
        <w:t>农业防灾减灾，</w:t>
      </w:r>
      <w:r>
        <w:rPr>
          <w:rFonts w:hint="default" w:ascii="Times New Roman" w:hAnsi="Times New Roman" w:cs="Times New Roman"/>
          <w:color w:val="auto"/>
          <w:sz w:val="32"/>
          <w:szCs w:val="32"/>
        </w:rPr>
        <w:t>详细如下：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cs="Times New Roman"/>
          <w:color w:val="auto"/>
          <w:sz w:val="32"/>
          <w:szCs w:val="32"/>
          <w:lang w:val="en-US" w:eastAsia="zh-CN"/>
        </w:rPr>
        <w:t>2022年10月《关于提前下达2023年农业相关转移支付资金预算的通知》（财农〔2022〕82号）</w:t>
      </w:r>
      <w:r>
        <w:rPr>
          <w:rFonts w:hint="default" w:ascii="Times New Roman" w:hAnsi="Times New Roman" w:cs="Times New Roman"/>
          <w:color w:val="auto"/>
          <w:sz w:val="32"/>
          <w:szCs w:val="32"/>
        </w:rPr>
        <w:t>下达20397</w:t>
      </w:r>
      <w:r>
        <w:rPr>
          <w:rFonts w:hint="default" w:ascii="Times New Roman" w:hAnsi="Times New Roman" w:cs="Times New Roman"/>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202</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年</w:t>
      </w:r>
      <w:r>
        <w:rPr>
          <w:rFonts w:hint="default" w:ascii="Times New Roman" w:hAnsi="Times New Roman" w:cs="Times New Roman"/>
          <w:color w:val="auto"/>
          <w:sz w:val="32"/>
          <w:szCs w:val="32"/>
          <w:lang w:val="en-US" w:eastAsia="zh-CN"/>
        </w:rPr>
        <w:t>4</w:t>
      </w:r>
      <w:r>
        <w:rPr>
          <w:rFonts w:hint="default" w:ascii="Times New Roman" w:hAnsi="Times New Roman" w:cs="Times New Roman"/>
          <w:color w:val="auto"/>
          <w:sz w:val="32"/>
          <w:szCs w:val="32"/>
        </w:rPr>
        <w:t>月《关于下达2023年农业防灾减灾和水利救灾资金（动物防疫补助）预算的通知》（财农〔2023〕23号）下达9575</w:t>
      </w:r>
      <w:r>
        <w:rPr>
          <w:rFonts w:hint="default" w:ascii="Times New Roman" w:hAnsi="Times New Roman" w:cs="Times New Roman"/>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rPr>
        <w:t>202</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年</w:t>
      </w:r>
      <w:r>
        <w:rPr>
          <w:rFonts w:hint="default" w:ascii="Times New Roman" w:hAnsi="Times New Roman" w:cs="Times New Roman"/>
          <w:color w:val="auto"/>
          <w:sz w:val="32"/>
          <w:szCs w:val="32"/>
          <w:lang w:val="en-US" w:eastAsia="zh-CN"/>
        </w:rPr>
        <w:t>4</w:t>
      </w:r>
      <w:r>
        <w:rPr>
          <w:rFonts w:hint="default" w:ascii="Times New Roman" w:hAnsi="Times New Roman" w:cs="Times New Roman"/>
          <w:color w:val="auto"/>
          <w:sz w:val="32"/>
          <w:szCs w:val="32"/>
        </w:rPr>
        <w:t>月</w:t>
      </w:r>
      <w:r>
        <w:rPr>
          <w:rFonts w:hint="default" w:ascii="Times New Roman" w:hAnsi="Times New Roman" w:cs="Times New Roman"/>
          <w:color w:val="auto"/>
          <w:sz w:val="32"/>
          <w:szCs w:val="32"/>
          <w:lang w:val="en-US" w:eastAsia="zh-CN"/>
        </w:rPr>
        <w:t>《财政部关于下达2023年农业防灾减灾和水利救灾资金预算</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防灾救灾第一批</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的通知》（财农〔2023〕21）</w:t>
      </w:r>
      <w:r>
        <w:rPr>
          <w:rFonts w:hint="default" w:ascii="Times New Roman" w:hAnsi="Times New Roman" w:cs="Times New Roman"/>
          <w:color w:val="auto"/>
          <w:sz w:val="32"/>
          <w:szCs w:val="32"/>
        </w:rPr>
        <w:t>下达1330</w:t>
      </w:r>
      <w:r>
        <w:rPr>
          <w:rFonts w:hint="default" w:ascii="Times New Roman" w:hAnsi="Times New Roman" w:cs="Times New Roman"/>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rPr>
        <w:t>202</w:t>
      </w:r>
      <w:r>
        <w:rPr>
          <w:rFonts w:hint="default"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rPr>
        <w:t>年</w:t>
      </w:r>
      <w:r>
        <w:rPr>
          <w:rFonts w:hint="default" w:ascii="Times New Roman" w:hAnsi="Times New Roman" w:cs="Times New Roman"/>
          <w:color w:val="auto"/>
          <w:sz w:val="32"/>
          <w:szCs w:val="32"/>
          <w:highlight w:val="none"/>
          <w:lang w:val="en-US" w:eastAsia="zh-CN"/>
        </w:rPr>
        <w:t>6</w:t>
      </w:r>
      <w:r>
        <w:rPr>
          <w:rFonts w:hint="default" w:ascii="Times New Roman" w:hAnsi="Times New Roman" w:cs="Times New Roman"/>
          <w:color w:val="auto"/>
          <w:sz w:val="32"/>
          <w:szCs w:val="32"/>
          <w:highlight w:val="none"/>
        </w:rPr>
        <w:t>月</w:t>
      </w:r>
      <w:r>
        <w:rPr>
          <w:rFonts w:hint="default" w:ascii="Times New Roman" w:hAnsi="Times New Roman" w:cs="Times New Roman"/>
          <w:color w:val="auto"/>
          <w:sz w:val="32"/>
          <w:szCs w:val="32"/>
          <w:highlight w:val="none"/>
          <w:lang w:val="en-US" w:eastAsia="zh-CN"/>
        </w:rPr>
        <w:t>《财政部关于下达2023年农业防灾减灾和水利救灾资金预算（防灾减灾第四批）的通知》（财农〔2023〕47号）下达2140万元。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cs="Times New Roman"/>
          <w:color w:val="auto"/>
          <w:sz w:val="32"/>
          <w:szCs w:val="32"/>
          <w:highlight w:val="none"/>
        </w:rPr>
        <w:t>202</w:t>
      </w:r>
      <w:r>
        <w:rPr>
          <w:rFonts w:hint="default" w:ascii="Times New Roman" w:hAnsi="Times New Roman" w:cs="Times New Roman"/>
          <w:color w:val="auto"/>
          <w:sz w:val="32"/>
          <w:szCs w:val="32"/>
          <w:highlight w:val="none"/>
          <w:lang w:val="en-US" w:eastAsia="zh-CN"/>
        </w:rPr>
        <w:t>3</w:t>
      </w:r>
      <w:r>
        <w:rPr>
          <w:rFonts w:hint="default" w:ascii="Times New Roman" w:hAnsi="Times New Roman" w:cs="Times New Roman"/>
          <w:color w:val="auto"/>
          <w:sz w:val="32"/>
          <w:szCs w:val="32"/>
          <w:highlight w:val="none"/>
        </w:rPr>
        <w:t>年</w:t>
      </w:r>
      <w:r>
        <w:rPr>
          <w:rFonts w:hint="default" w:ascii="Times New Roman" w:hAnsi="Times New Roman" w:cs="Times New Roman"/>
          <w:color w:val="auto"/>
          <w:sz w:val="32"/>
          <w:szCs w:val="32"/>
          <w:highlight w:val="none"/>
          <w:lang w:val="en-US" w:eastAsia="zh-CN"/>
        </w:rPr>
        <w:t>12</w:t>
      </w:r>
      <w:r>
        <w:rPr>
          <w:rFonts w:hint="default" w:ascii="Times New Roman" w:hAnsi="Times New Roman" w:cs="Times New Roman"/>
          <w:color w:val="auto"/>
          <w:sz w:val="32"/>
          <w:szCs w:val="32"/>
          <w:highlight w:val="none"/>
        </w:rPr>
        <w:t>月《财政部关于下达2023年农业防灾减灾和水利救灾资金预算</w:t>
      </w:r>
      <w:r>
        <w:rPr>
          <w:rFonts w:hint="eastAsia"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防灾救灾第十一批</w:t>
      </w:r>
      <w:r>
        <w:rPr>
          <w:rFonts w:hint="eastAsia" w:ascii="Times New Roman" w:hAnsi="Times New Roman" w:cs="Times New Roman"/>
          <w:color w:val="auto"/>
          <w:sz w:val="32"/>
          <w:szCs w:val="32"/>
          <w:highlight w:val="none"/>
          <w:lang w:eastAsia="zh-CN"/>
        </w:rPr>
        <w:t>）</w:t>
      </w:r>
      <w:r>
        <w:rPr>
          <w:rFonts w:hint="default" w:ascii="Times New Roman" w:hAnsi="Times New Roman" w:cs="Times New Roman"/>
          <w:color w:val="auto"/>
          <w:sz w:val="32"/>
          <w:szCs w:val="32"/>
          <w:highlight w:val="none"/>
        </w:rPr>
        <w:t>的通知》（财农〔2023〕99号）</w:t>
      </w:r>
      <w:r>
        <w:rPr>
          <w:rFonts w:hint="default" w:ascii="Times New Roman" w:hAnsi="Times New Roman" w:cs="Times New Roman"/>
          <w:color w:val="auto"/>
          <w:sz w:val="32"/>
          <w:szCs w:val="32"/>
          <w:highlight w:val="none"/>
          <w:lang w:val="en-US" w:eastAsia="zh-CN"/>
        </w:rPr>
        <w:t>下达9620万元。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cs="Times New Roman"/>
          <w:b/>
          <w:bCs/>
          <w:color w:val="auto"/>
          <w:sz w:val="32"/>
          <w:szCs w:val="32"/>
          <w:highlight w:val="none"/>
        </w:rPr>
        <w:t>2</w:t>
      </w:r>
      <w:r>
        <w:rPr>
          <w:rFonts w:hint="default" w:cs="Times New Roman"/>
          <w:b/>
          <w:bCs/>
          <w:color w:val="auto"/>
          <w:sz w:val="32"/>
          <w:szCs w:val="32"/>
          <w:highlight w:val="none"/>
          <w:lang w:val="en"/>
        </w:rPr>
        <w:t>.</w:t>
      </w:r>
      <w:r>
        <w:rPr>
          <w:rFonts w:hint="default" w:ascii="Times New Roman" w:hAnsi="Times New Roman" w:cs="Times New Roman"/>
          <w:b/>
          <w:bCs/>
          <w:color w:val="auto"/>
          <w:sz w:val="32"/>
          <w:szCs w:val="32"/>
          <w:highlight w:val="none"/>
        </w:rPr>
        <w:t>下达绩效目标情况</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highlight w:val="none"/>
        </w:rPr>
      </w:pPr>
      <w:r>
        <w:rPr>
          <w:rFonts w:hint="default" w:ascii="Times New Roman" w:hAnsi="Times New Roman" w:cs="Times New Roman"/>
          <w:color w:val="auto"/>
          <w:sz w:val="32"/>
          <w:szCs w:val="32"/>
          <w:highlight w:val="none"/>
          <w:lang w:val="en-US" w:eastAsia="zh-CN"/>
        </w:rPr>
        <w:t>财政部</w:t>
      </w:r>
      <w:r>
        <w:rPr>
          <w:rFonts w:hint="default" w:ascii="Times New Roman" w:hAnsi="Times New Roman" w:cs="Times New Roman"/>
          <w:color w:val="auto"/>
          <w:sz w:val="32"/>
          <w:szCs w:val="32"/>
          <w:highlight w:val="none"/>
        </w:rPr>
        <w:t>随文下达新疆区域绩效目标</w:t>
      </w:r>
      <w:r>
        <w:rPr>
          <w:rFonts w:hint="default" w:ascii="Times New Roman" w:hAnsi="Times New Roman" w:cs="Times New Roman"/>
          <w:color w:val="auto"/>
          <w:sz w:val="32"/>
          <w:szCs w:val="32"/>
          <w:highlight w:val="none"/>
          <w:lang w:eastAsia="zh-CN"/>
        </w:rPr>
        <w:t>备案表</w:t>
      </w:r>
      <w:r>
        <w:rPr>
          <w:rFonts w:hint="default" w:ascii="Times New Roman" w:hAnsi="Times New Roman" w:cs="Times New Roman"/>
          <w:color w:val="auto"/>
          <w:sz w:val="32"/>
          <w:szCs w:val="32"/>
          <w:highlight w:val="none"/>
        </w:rPr>
        <w:t>，情况详见下表</w:t>
      </w:r>
      <w:r>
        <w:rPr>
          <w:rFonts w:hint="default" w:ascii="Times New Roman" w:hAnsi="Times New Roman" w:cs="Times New Roman"/>
          <w:color w:val="auto"/>
          <w:highlight w:val="none"/>
        </w:rPr>
        <w:t>：</w:t>
      </w:r>
    </w:p>
    <w:p>
      <w:pPr>
        <w:keepNext w:val="0"/>
        <w:keepLines w:val="0"/>
        <w:pageBreakBefore w:val="0"/>
        <w:widowControl w:val="0"/>
        <w:kinsoku/>
        <w:wordWrap/>
        <w:overflowPunct/>
        <w:topLinePunct w:val="0"/>
        <w:autoSpaceDE/>
        <w:autoSpaceDN/>
        <w:bidi w:val="0"/>
        <w:adjustRightInd/>
        <w:snapToGrid/>
        <w:spacing w:before="121" w:line="400" w:lineRule="exact"/>
        <w:jc w:val="center"/>
        <w:textAlignment w:val="auto"/>
        <w:outlineLvl w:val="0"/>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pacing w:val="-3"/>
          <w:sz w:val="28"/>
          <w:szCs w:val="28"/>
        </w:rPr>
        <w:t>农业防灾减灾和水利救灾资金</w:t>
      </w:r>
      <w:r>
        <w:rPr>
          <w:rFonts w:hint="default" w:ascii="Times New Roman" w:hAnsi="Times New Roman" w:eastAsia="宋体" w:cs="Times New Roman"/>
          <w:b/>
          <w:bCs/>
          <w:color w:val="auto"/>
          <w:spacing w:val="-3"/>
          <w:sz w:val="28"/>
          <w:szCs w:val="28"/>
          <w:lang w:eastAsia="zh-CN"/>
        </w:rPr>
        <w:t>（</w:t>
      </w:r>
      <w:r>
        <w:rPr>
          <w:rFonts w:hint="default" w:ascii="Times New Roman" w:hAnsi="Times New Roman" w:eastAsia="宋体" w:cs="Times New Roman"/>
          <w:b/>
          <w:bCs/>
          <w:color w:val="auto"/>
          <w:spacing w:val="-3"/>
          <w:sz w:val="28"/>
          <w:szCs w:val="28"/>
          <w:lang w:val="en-US" w:eastAsia="zh-CN"/>
        </w:rPr>
        <w:t>第一批</w:t>
      </w:r>
      <w:r>
        <w:rPr>
          <w:rFonts w:hint="default" w:ascii="Times New Roman" w:hAnsi="Times New Roman" w:eastAsia="宋体" w:cs="Times New Roman"/>
          <w:b/>
          <w:bCs/>
          <w:color w:val="auto"/>
          <w:spacing w:val="-3"/>
          <w:sz w:val="28"/>
          <w:szCs w:val="28"/>
          <w:lang w:eastAsia="zh-CN"/>
        </w:rPr>
        <w:t>）</w:t>
      </w:r>
      <w:r>
        <w:rPr>
          <w:rFonts w:hint="default" w:ascii="Times New Roman" w:hAnsi="Times New Roman" w:eastAsia="宋体" w:cs="Times New Roman"/>
          <w:b/>
          <w:bCs/>
          <w:color w:val="auto"/>
          <w:spacing w:val="-3"/>
          <w:sz w:val="28"/>
          <w:szCs w:val="28"/>
        </w:rPr>
        <w:t>区域绩效目标备案表</w:t>
      </w:r>
    </w:p>
    <w:tbl>
      <w:tblPr>
        <w:tblStyle w:val="16"/>
        <w:tblW w:w="9982" w:type="dxa"/>
        <w:tblInd w:w="-5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0"/>
        <w:gridCol w:w="900"/>
        <w:gridCol w:w="1818"/>
        <w:gridCol w:w="97"/>
        <w:gridCol w:w="2031"/>
        <w:gridCol w:w="1145"/>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4058" w:type="dxa"/>
            <w:gridSpan w:val="3"/>
            <w:vAlign w:val="center"/>
          </w:tcPr>
          <w:p>
            <w:pPr>
              <w:pStyle w:val="15"/>
              <w:spacing w:before="113"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专项名称</w:t>
            </w:r>
          </w:p>
        </w:tc>
        <w:tc>
          <w:tcPr>
            <w:tcW w:w="5924" w:type="dxa"/>
            <w:gridSpan w:val="4"/>
            <w:vAlign w:val="center"/>
          </w:tcPr>
          <w:p>
            <w:pPr>
              <w:pStyle w:val="15"/>
              <w:spacing w:before="113"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农业防灾减灾和水利救灾资金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4058" w:type="dxa"/>
            <w:gridSpan w:val="3"/>
            <w:vAlign w:val="center"/>
          </w:tcPr>
          <w:p>
            <w:pPr>
              <w:pStyle w:val="15"/>
              <w:spacing w:before="157"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3"/>
                <w:sz w:val="16"/>
                <w:szCs w:val="16"/>
              </w:rPr>
              <w:t>中央主管部门</w:t>
            </w:r>
          </w:p>
        </w:tc>
        <w:tc>
          <w:tcPr>
            <w:tcW w:w="2128" w:type="dxa"/>
            <w:gridSpan w:val="2"/>
            <w:vAlign w:val="center"/>
          </w:tcPr>
          <w:p>
            <w:pPr>
              <w:pStyle w:val="15"/>
              <w:spacing w:before="156"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农业农村部</w:t>
            </w:r>
          </w:p>
        </w:tc>
        <w:tc>
          <w:tcPr>
            <w:tcW w:w="1145" w:type="dxa"/>
            <w:vAlign w:val="center"/>
          </w:tcPr>
          <w:p>
            <w:pPr>
              <w:pStyle w:val="15"/>
              <w:spacing w:before="158"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专项实施期</w:t>
            </w:r>
          </w:p>
        </w:tc>
        <w:tc>
          <w:tcPr>
            <w:tcW w:w="2651" w:type="dxa"/>
            <w:vAlign w:val="center"/>
          </w:tcPr>
          <w:p>
            <w:pPr>
              <w:pStyle w:val="15"/>
              <w:spacing w:before="158"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6"/>
                <w:sz w:val="16"/>
                <w:szCs w:val="16"/>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058" w:type="dxa"/>
            <w:gridSpan w:val="3"/>
            <w:vAlign w:val="center"/>
          </w:tcPr>
          <w:p>
            <w:pPr>
              <w:pStyle w:val="15"/>
              <w:spacing w:before="147"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3"/>
                <w:sz w:val="16"/>
                <w:szCs w:val="16"/>
              </w:rPr>
              <w:t>省级财政部门</w:t>
            </w:r>
          </w:p>
        </w:tc>
        <w:tc>
          <w:tcPr>
            <w:tcW w:w="2128" w:type="dxa"/>
            <w:gridSpan w:val="2"/>
            <w:vAlign w:val="center"/>
          </w:tcPr>
          <w:p>
            <w:pPr>
              <w:pStyle w:val="15"/>
              <w:spacing w:before="37" w:line="210" w:lineRule="auto"/>
              <w:ind w:right="122"/>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新疆维吾尔自治区财政</w:t>
            </w:r>
            <w:r>
              <w:rPr>
                <w:rFonts w:hint="default" w:ascii="Times New Roman" w:hAnsi="Times New Roman" w:cs="Times New Roman"/>
                <w:color w:val="auto"/>
                <w:sz w:val="16"/>
                <w:szCs w:val="16"/>
              </w:rPr>
              <w:t>厅</w:t>
            </w:r>
          </w:p>
        </w:tc>
        <w:tc>
          <w:tcPr>
            <w:tcW w:w="1145" w:type="dxa"/>
            <w:vAlign w:val="center"/>
          </w:tcPr>
          <w:p>
            <w:pPr>
              <w:pStyle w:val="15"/>
              <w:spacing w:before="147"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3"/>
                <w:sz w:val="16"/>
                <w:szCs w:val="16"/>
              </w:rPr>
              <w:t>省级主管部门</w:t>
            </w:r>
          </w:p>
        </w:tc>
        <w:tc>
          <w:tcPr>
            <w:tcW w:w="2651" w:type="dxa"/>
            <w:vAlign w:val="center"/>
          </w:tcPr>
          <w:p>
            <w:pPr>
              <w:pStyle w:val="15"/>
              <w:spacing w:before="27" w:line="215" w:lineRule="auto"/>
              <w:ind w:left="518" w:right="53" w:hanging="470"/>
              <w:jc w:val="center"/>
              <w:rPr>
                <w:rFonts w:hint="default" w:ascii="Times New Roman" w:hAnsi="Times New Roman" w:cs="Times New Roman"/>
                <w:color w:val="auto"/>
                <w:spacing w:val="-1"/>
                <w:sz w:val="16"/>
                <w:szCs w:val="16"/>
              </w:rPr>
            </w:pPr>
            <w:r>
              <w:rPr>
                <w:rFonts w:hint="default" w:ascii="Times New Roman" w:hAnsi="Times New Roman" w:cs="Times New Roman"/>
                <w:color w:val="auto"/>
                <w:spacing w:val="-1"/>
                <w:sz w:val="16"/>
                <w:szCs w:val="16"/>
              </w:rPr>
              <w:t>新疆维吾尔自治区</w:t>
            </w:r>
          </w:p>
          <w:p>
            <w:pPr>
              <w:pStyle w:val="15"/>
              <w:spacing w:before="27" w:line="215" w:lineRule="auto"/>
              <w:ind w:left="518" w:right="53" w:hanging="470"/>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农</w:t>
            </w:r>
            <w:r>
              <w:rPr>
                <w:rFonts w:hint="default" w:ascii="Times New Roman" w:hAnsi="Times New Roman" w:cs="Times New Roman"/>
                <w:color w:val="auto"/>
                <w:spacing w:val="-2"/>
                <w:sz w:val="16"/>
                <w:szCs w:val="16"/>
              </w:rPr>
              <w:t>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40" w:type="dxa"/>
            <w:vMerge w:val="restart"/>
            <w:tcBorders>
              <w:bottom w:val="nil"/>
            </w:tcBorders>
            <w:vAlign w:val="center"/>
          </w:tcPr>
          <w:p>
            <w:pPr>
              <w:spacing w:line="255" w:lineRule="auto"/>
              <w:jc w:val="center"/>
              <w:rPr>
                <w:rFonts w:hint="default" w:ascii="Times New Roman" w:hAnsi="Times New Roman" w:cs="Times New Roman"/>
                <w:color w:val="auto"/>
                <w:sz w:val="16"/>
                <w:szCs w:val="16"/>
              </w:rPr>
            </w:pPr>
          </w:p>
          <w:p>
            <w:pPr>
              <w:pStyle w:val="15"/>
              <w:spacing w:before="62" w:line="269" w:lineRule="exact"/>
              <w:jc w:val="center"/>
              <w:rPr>
                <w:rFonts w:hint="default" w:ascii="Times New Roman" w:hAnsi="Times New Roman" w:eastAsia="宋体" w:cs="Times New Roman"/>
                <w:color w:val="auto"/>
                <w:sz w:val="16"/>
                <w:szCs w:val="16"/>
                <w:lang w:val="en-US" w:eastAsia="zh-CN"/>
              </w:rPr>
            </w:pPr>
            <w:r>
              <w:rPr>
                <w:rFonts w:hint="eastAsia" w:ascii="Times New Roman" w:hAnsi="Times New Roman" w:cs="Times New Roman"/>
                <w:color w:val="auto"/>
                <w:sz w:val="16"/>
                <w:szCs w:val="16"/>
                <w:lang w:val="en-US" w:eastAsia="zh-CN"/>
              </w:rPr>
              <w:t>资金情况</w:t>
            </w:r>
          </w:p>
        </w:tc>
        <w:tc>
          <w:tcPr>
            <w:tcW w:w="2718" w:type="dxa"/>
            <w:gridSpan w:val="2"/>
            <w:vAlign w:val="center"/>
          </w:tcPr>
          <w:p>
            <w:pPr>
              <w:pStyle w:val="15"/>
              <w:spacing w:before="157" w:line="219" w:lineRule="auto"/>
              <w:ind w:left="11"/>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年度金额：</w:t>
            </w:r>
          </w:p>
        </w:tc>
        <w:tc>
          <w:tcPr>
            <w:tcW w:w="5924" w:type="dxa"/>
            <w:gridSpan w:val="4"/>
            <w:vAlign w:val="center"/>
          </w:tcPr>
          <w:p>
            <w:pPr>
              <w:pStyle w:val="15"/>
              <w:spacing w:before="158"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1330万元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340" w:type="dxa"/>
            <w:vMerge w:val="continue"/>
            <w:tcBorders>
              <w:top w:val="nil"/>
              <w:bottom w:val="nil"/>
            </w:tcBorders>
            <w:vAlign w:val="center"/>
          </w:tcPr>
          <w:p>
            <w:pPr>
              <w:jc w:val="center"/>
              <w:rPr>
                <w:rFonts w:hint="default" w:ascii="Times New Roman" w:hAnsi="Times New Roman" w:cs="Times New Roman"/>
                <w:color w:val="auto"/>
                <w:sz w:val="16"/>
                <w:szCs w:val="16"/>
              </w:rPr>
            </w:pPr>
          </w:p>
        </w:tc>
        <w:tc>
          <w:tcPr>
            <w:tcW w:w="2718" w:type="dxa"/>
            <w:gridSpan w:val="2"/>
            <w:vAlign w:val="center"/>
          </w:tcPr>
          <w:p>
            <w:pPr>
              <w:pStyle w:val="15"/>
              <w:spacing w:before="168"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其中：中央补助</w:t>
            </w:r>
          </w:p>
        </w:tc>
        <w:tc>
          <w:tcPr>
            <w:tcW w:w="5924" w:type="dxa"/>
            <w:gridSpan w:val="4"/>
            <w:vAlign w:val="center"/>
          </w:tcPr>
          <w:p>
            <w:pPr>
              <w:pStyle w:val="15"/>
              <w:spacing w:before="168"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1330万元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40" w:type="dxa"/>
            <w:vMerge w:val="continue"/>
            <w:tcBorders>
              <w:top w:val="nil"/>
            </w:tcBorders>
            <w:vAlign w:val="center"/>
          </w:tcPr>
          <w:p>
            <w:pPr>
              <w:jc w:val="center"/>
              <w:rPr>
                <w:rFonts w:hint="default" w:ascii="Times New Roman" w:hAnsi="Times New Roman" w:cs="Times New Roman"/>
                <w:color w:val="auto"/>
                <w:sz w:val="16"/>
                <w:szCs w:val="16"/>
              </w:rPr>
            </w:pPr>
          </w:p>
        </w:tc>
        <w:tc>
          <w:tcPr>
            <w:tcW w:w="2718" w:type="dxa"/>
            <w:gridSpan w:val="2"/>
            <w:vAlign w:val="center"/>
          </w:tcPr>
          <w:p>
            <w:pPr>
              <w:pStyle w:val="15"/>
              <w:spacing w:before="158" w:line="221"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地方资金</w:t>
            </w:r>
          </w:p>
        </w:tc>
        <w:tc>
          <w:tcPr>
            <w:tcW w:w="5924" w:type="dxa"/>
            <w:gridSpan w:val="4"/>
            <w:vAlign w:val="center"/>
          </w:tcPr>
          <w:p>
            <w:pPr>
              <w:jc w:val="center"/>
              <w:rPr>
                <w:rFonts w:hint="default" w:ascii="Times New Roman" w:hAnsi="Times New Roman" w:cs="Times New Roman"/>
                <w:color w:val="auto"/>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340" w:type="dxa"/>
            <w:vAlign w:val="center"/>
          </w:tcPr>
          <w:p>
            <w:pPr>
              <w:pStyle w:val="15"/>
              <w:spacing w:before="299" w:line="216" w:lineRule="auto"/>
              <w:jc w:val="center"/>
              <w:rPr>
                <w:rFonts w:hint="default" w:ascii="Times New Roman" w:hAnsi="Times New Roman" w:cs="Times New Roman"/>
                <w:color w:val="auto"/>
                <w:sz w:val="16"/>
                <w:szCs w:val="16"/>
              </w:rPr>
            </w:pPr>
            <w:r>
              <w:rPr>
                <w:rFonts w:hint="default" w:ascii="Times New Roman" w:hAnsi="Times New Roman" w:cs="Times New Roman"/>
                <w:color w:val="auto"/>
                <w:sz w:val="16"/>
                <w:szCs w:val="16"/>
              </w:rPr>
              <w:t>年</w:t>
            </w:r>
            <w:r>
              <w:rPr>
                <w:rFonts w:hint="default" w:ascii="Times New Roman" w:hAnsi="Times New Roman" w:cs="Times New Roman"/>
                <w:color w:val="auto"/>
                <w:spacing w:val="-38"/>
                <w:sz w:val="16"/>
                <w:szCs w:val="16"/>
              </w:rPr>
              <w:t xml:space="preserve"> </w:t>
            </w:r>
            <w:r>
              <w:rPr>
                <w:rFonts w:hint="default" w:ascii="Times New Roman" w:hAnsi="Times New Roman" w:cs="Times New Roman"/>
                <w:color w:val="auto"/>
                <w:sz w:val="16"/>
                <w:szCs w:val="16"/>
              </w:rPr>
              <w:t>度</w:t>
            </w:r>
            <w:r>
              <w:rPr>
                <w:rFonts w:hint="default" w:ascii="Times New Roman" w:hAnsi="Times New Roman" w:cs="Times New Roman"/>
                <w:color w:val="auto"/>
                <w:spacing w:val="-38"/>
                <w:sz w:val="16"/>
                <w:szCs w:val="16"/>
              </w:rPr>
              <w:t xml:space="preserve"> </w:t>
            </w:r>
            <w:r>
              <w:rPr>
                <w:rFonts w:hint="default" w:ascii="Times New Roman" w:hAnsi="Times New Roman" w:cs="Times New Roman"/>
                <w:color w:val="auto"/>
                <w:sz w:val="16"/>
                <w:szCs w:val="16"/>
              </w:rPr>
              <w:t>目</w:t>
            </w:r>
            <w:r>
              <w:rPr>
                <w:rFonts w:hint="default" w:ascii="Times New Roman" w:hAnsi="Times New Roman" w:cs="Times New Roman"/>
                <w:color w:val="auto"/>
                <w:spacing w:val="-38"/>
                <w:sz w:val="16"/>
                <w:szCs w:val="16"/>
              </w:rPr>
              <w:t xml:space="preserve"> </w:t>
            </w:r>
            <w:r>
              <w:rPr>
                <w:rFonts w:hint="default" w:ascii="Times New Roman" w:hAnsi="Times New Roman" w:cs="Times New Roman"/>
                <w:color w:val="auto"/>
                <w:sz w:val="16"/>
                <w:szCs w:val="16"/>
              </w:rPr>
              <w:t>标</w:t>
            </w:r>
          </w:p>
        </w:tc>
        <w:tc>
          <w:tcPr>
            <w:tcW w:w="8642" w:type="dxa"/>
            <w:gridSpan w:val="6"/>
            <w:vAlign w:val="top"/>
          </w:tcPr>
          <w:p>
            <w:pPr>
              <w:pStyle w:val="15"/>
              <w:spacing w:before="187" w:line="232" w:lineRule="auto"/>
              <w:ind w:right="43"/>
              <w:jc w:val="both"/>
              <w:rPr>
                <w:rFonts w:hint="default" w:ascii="Times New Roman" w:hAnsi="Times New Roman" w:cs="Times New Roman"/>
                <w:color w:val="auto"/>
                <w:sz w:val="16"/>
                <w:szCs w:val="16"/>
              </w:rPr>
            </w:pPr>
            <w:r>
              <w:rPr>
                <w:rFonts w:hint="default" w:ascii="Times New Roman" w:hAnsi="Times New Roman" w:cs="Times New Roman"/>
                <w:color w:val="auto"/>
                <w:sz w:val="16"/>
                <w:szCs w:val="16"/>
              </w:rPr>
              <w:t>支持小麦、玉米重大病虫害以及农区蝗虫等农作物重大病虫疫情防控，重</w:t>
            </w:r>
            <w:r>
              <w:rPr>
                <w:rFonts w:hint="default" w:ascii="Times New Roman" w:hAnsi="Times New Roman" w:cs="Times New Roman"/>
                <w:color w:val="auto"/>
                <w:spacing w:val="-1"/>
                <w:sz w:val="16"/>
                <w:szCs w:val="16"/>
              </w:rPr>
              <w:t>发区域病虫疫情得到有</w:t>
            </w:r>
            <w:r>
              <w:rPr>
                <w:rFonts w:hint="default" w:ascii="Times New Roman" w:hAnsi="Times New Roman" w:cs="Times New Roman"/>
                <w:color w:val="auto"/>
                <w:sz w:val="16"/>
                <w:szCs w:val="16"/>
              </w:rPr>
              <w:t>效控制，新发突发重大农业植物疫情有效处置，不出现大面积绝收成灾，有力保障粮食安全和农</w:t>
            </w:r>
            <w:r>
              <w:rPr>
                <w:rFonts w:hint="default" w:ascii="Times New Roman" w:hAnsi="Times New Roman" w:cs="Times New Roman"/>
                <w:color w:val="auto"/>
                <w:spacing w:val="-2"/>
                <w:sz w:val="16"/>
                <w:szCs w:val="16"/>
              </w:rPr>
              <w:t>业生产安全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40" w:type="dxa"/>
            <w:vMerge w:val="restart"/>
            <w:tcBorders>
              <w:bottom w:val="nil"/>
            </w:tcBorders>
            <w:vAlign w:val="center"/>
          </w:tcPr>
          <w:p>
            <w:pPr>
              <w:pStyle w:val="15"/>
              <w:spacing w:before="298" w:line="217" w:lineRule="auto"/>
              <w:jc w:val="center"/>
              <w:rPr>
                <w:rFonts w:hint="default" w:ascii="Times New Roman" w:hAnsi="Times New Roman" w:cs="Times New Roman"/>
                <w:color w:val="auto"/>
                <w:sz w:val="16"/>
                <w:szCs w:val="16"/>
              </w:rPr>
            </w:pPr>
            <w:r>
              <w:rPr>
                <w:rFonts w:hint="default" w:ascii="Times New Roman" w:hAnsi="Times New Roman" w:cs="Times New Roman"/>
                <w:color w:val="auto"/>
                <w:sz w:val="16"/>
                <w:szCs w:val="16"/>
              </w:rPr>
              <w:t>绩效指标</w:t>
            </w:r>
          </w:p>
        </w:tc>
        <w:tc>
          <w:tcPr>
            <w:tcW w:w="900" w:type="dxa"/>
            <w:vAlign w:val="center"/>
          </w:tcPr>
          <w:p>
            <w:pPr>
              <w:pStyle w:val="15"/>
              <w:spacing w:before="210" w:line="193" w:lineRule="auto"/>
              <w:jc w:val="both"/>
              <w:rPr>
                <w:rFonts w:hint="eastAsia" w:ascii="Times New Roman" w:hAnsi="Times New Roman" w:eastAsia="宋体" w:cs="Times New Roman"/>
                <w:color w:val="auto"/>
                <w:sz w:val="16"/>
                <w:szCs w:val="16"/>
                <w:lang w:val="en-US" w:eastAsia="zh-CN"/>
              </w:rPr>
            </w:pPr>
            <w:r>
              <w:rPr>
                <w:rFonts w:hint="eastAsia" w:ascii="Times New Roman" w:hAnsi="Times New Roman" w:cs="Times New Roman"/>
                <w:color w:val="auto"/>
                <w:sz w:val="16"/>
                <w:szCs w:val="16"/>
                <w:lang w:val="en-US" w:eastAsia="zh-CN"/>
              </w:rPr>
              <w:t>一级指标</w:t>
            </w:r>
          </w:p>
        </w:tc>
        <w:tc>
          <w:tcPr>
            <w:tcW w:w="1915" w:type="dxa"/>
            <w:gridSpan w:val="2"/>
            <w:vAlign w:val="center"/>
          </w:tcPr>
          <w:p>
            <w:pPr>
              <w:pStyle w:val="15"/>
              <w:spacing w:before="61"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二级指标</w:t>
            </w:r>
          </w:p>
        </w:tc>
        <w:tc>
          <w:tcPr>
            <w:tcW w:w="3176" w:type="dxa"/>
            <w:gridSpan w:val="2"/>
            <w:vAlign w:val="center"/>
          </w:tcPr>
          <w:p>
            <w:pPr>
              <w:pStyle w:val="15"/>
              <w:spacing w:before="61"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三级指标</w:t>
            </w:r>
          </w:p>
        </w:tc>
        <w:tc>
          <w:tcPr>
            <w:tcW w:w="2651" w:type="dxa"/>
            <w:vAlign w:val="center"/>
          </w:tcPr>
          <w:p>
            <w:pPr>
              <w:pStyle w:val="15"/>
              <w:spacing w:before="62"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3"/>
                <w:sz w:val="16"/>
                <w:szCs w:val="16"/>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1340"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00" w:type="dxa"/>
            <w:vMerge w:val="restart"/>
            <w:tcBorders>
              <w:bottom w:val="nil"/>
            </w:tcBorders>
            <w:vAlign w:val="center"/>
          </w:tcPr>
          <w:p>
            <w:pPr>
              <w:spacing w:line="285" w:lineRule="auto"/>
              <w:jc w:val="center"/>
              <w:rPr>
                <w:rFonts w:hint="default" w:ascii="Times New Roman" w:hAnsi="Times New Roman" w:eastAsia="宋体" w:cs="Times New Roman"/>
                <w:color w:val="auto"/>
                <w:spacing w:val="-2"/>
                <w:kern w:val="2"/>
                <w:sz w:val="16"/>
                <w:szCs w:val="16"/>
                <w:lang w:val="en-US" w:eastAsia="zh-CN" w:bidi="ar-SA"/>
              </w:rPr>
            </w:pPr>
            <w:r>
              <w:rPr>
                <w:rFonts w:hint="eastAsia" w:ascii="Times New Roman" w:hAnsi="Times New Roman" w:eastAsia="宋体" w:cs="Times New Roman"/>
                <w:color w:val="auto"/>
                <w:spacing w:val="-2"/>
                <w:kern w:val="2"/>
                <w:sz w:val="16"/>
                <w:szCs w:val="16"/>
                <w:lang w:val="en-US" w:eastAsia="zh-CN" w:bidi="ar-SA"/>
              </w:rPr>
              <w:t>产出指标</w:t>
            </w:r>
          </w:p>
          <w:p>
            <w:pPr>
              <w:pStyle w:val="15"/>
              <w:spacing w:before="64" w:line="216" w:lineRule="auto"/>
              <w:ind w:left="1242"/>
              <w:jc w:val="center"/>
              <w:rPr>
                <w:rFonts w:hint="default" w:ascii="Times New Roman" w:hAnsi="Times New Roman" w:cs="Times New Roman"/>
                <w:color w:val="auto"/>
                <w:sz w:val="16"/>
                <w:szCs w:val="16"/>
              </w:rPr>
            </w:pPr>
          </w:p>
        </w:tc>
        <w:tc>
          <w:tcPr>
            <w:tcW w:w="1915" w:type="dxa"/>
            <w:gridSpan w:val="2"/>
            <w:vAlign w:val="center"/>
          </w:tcPr>
          <w:p>
            <w:pPr>
              <w:pStyle w:val="15"/>
              <w:spacing w:before="62"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数量指标</w:t>
            </w:r>
          </w:p>
        </w:tc>
        <w:tc>
          <w:tcPr>
            <w:tcW w:w="3176" w:type="dxa"/>
            <w:gridSpan w:val="2"/>
            <w:vAlign w:val="center"/>
          </w:tcPr>
          <w:p>
            <w:pPr>
              <w:pStyle w:val="15"/>
              <w:spacing w:before="61"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重大病虫疫情防控面积</w:t>
            </w:r>
          </w:p>
        </w:tc>
        <w:tc>
          <w:tcPr>
            <w:tcW w:w="2651" w:type="dxa"/>
            <w:vAlign w:val="center"/>
          </w:tcPr>
          <w:p>
            <w:pPr>
              <w:pStyle w:val="15"/>
              <w:spacing w:before="62"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4"/>
                <w:sz w:val="16"/>
                <w:szCs w:val="16"/>
              </w:rPr>
              <w:t>不少于</w:t>
            </w:r>
            <w:r>
              <w:rPr>
                <w:rFonts w:hint="default" w:ascii="Times New Roman" w:hAnsi="Times New Roman" w:cs="Times New Roman"/>
                <w:color w:val="auto"/>
                <w:spacing w:val="5"/>
                <w:sz w:val="16"/>
                <w:szCs w:val="16"/>
              </w:rPr>
              <w:t xml:space="preserve">   </w:t>
            </w:r>
            <w:r>
              <w:rPr>
                <w:rFonts w:hint="default" w:ascii="Times New Roman" w:hAnsi="Times New Roman" w:cs="Times New Roman"/>
                <w:color w:val="auto"/>
                <w:spacing w:val="-4"/>
                <w:sz w:val="16"/>
                <w:szCs w:val="16"/>
              </w:rPr>
              <w:t>万亩次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40"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00"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1915" w:type="dxa"/>
            <w:gridSpan w:val="2"/>
            <w:vMerge w:val="restart"/>
            <w:tcBorders>
              <w:bottom w:val="nil"/>
            </w:tcBorders>
            <w:vAlign w:val="center"/>
          </w:tcPr>
          <w:p>
            <w:pPr>
              <w:pStyle w:val="15"/>
              <w:spacing w:before="62"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质量指标</w:t>
            </w:r>
          </w:p>
        </w:tc>
        <w:tc>
          <w:tcPr>
            <w:tcW w:w="3176" w:type="dxa"/>
            <w:gridSpan w:val="2"/>
            <w:vAlign w:val="center"/>
          </w:tcPr>
          <w:p>
            <w:pPr>
              <w:pStyle w:val="15"/>
              <w:spacing w:before="61"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防控效果</w:t>
            </w:r>
          </w:p>
        </w:tc>
        <w:tc>
          <w:tcPr>
            <w:tcW w:w="2651" w:type="dxa"/>
            <w:vAlign w:val="center"/>
          </w:tcPr>
          <w:p>
            <w:pPr>
              <w:pStyle w:val="15"/>
              <w:spacing w:before="220" w:line="218" w:lineRule="auto"/>
              <w:ind w:right="53"/>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有效遏制暴发流行成</w:t>
            </w:r>
            <w:r>
              <w:rPr>
                <w:rFonts w:hint="default" w:ascii="Times New Roman" w:hAnsi="Times New Roman" w:cs="Times New Roman"/>
                <w:color w:val="auto"/>
                <w:sz w:val="16"/>
                <w:szCs w:val="16"/>
              </w:rPr>
              <w:t>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40"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00"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1915" w:type="dxa"/>
            <w:gridSpan w:val="2"/>
            <w:vMerge w:val="continue"/>
            <w:tcBorders>
              <w:top w:val="nil"/>
            </w:tcBorders>
            <w:vAlign w:val="center"/>
          </w:tcPr>
          <w:p>
            <w:pPr>
              <w:jc w:val="center"/>
              <w:rPr>
                <w:rFonts w:hint="default" w:ascii="Times New Roman" w:hAnsi="Times New Roman" w:cs="Times New Roman"/>
                <w:color w:val="auto"/>
                <w:sz w:val="16"/>
                <w:szCs w:val="16"/>
              </w:rPr>
            </w:pPr>
          </w:p>
        </w:tc>
        <w:tc>
          <w:tcPr>
            <w:tcW w:w="3176" w:type="dxa"/>
            <w:gridSpan w:val="2"/>
            <w:vAlign w:val="center"/>
          </w:tcPr>
          <w:p>
            <w:pPr>
              <w:pStyle w:val="15"/>
              <w:spacing w:before="62"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项目实施区统防统治覆盖率</w:t>
            </w:r>
          </w:p>
        </w:tc>
        <w:tc>
          <w:tcPr>
            <w:tcW w:w="2651" w:type="dxa"/>
            <w:vAlign w:val="center"/>
          </w:tcPr>
          <w:p>
            <w:pPr>
              <w:pStyle w:val="15"/>
              <w:spacing w:before="62"/>
              <w:jc w:val="center"/>
              <w:rPr>
                <w:rFonts w:hint="default" w:ascii="Times New Roman" w:hAnsi="Times New Roman" w:cs="Times New Roman"/>
                <w:color w:val="auto"/>
                <w:sz w:val="16"/>
                <w:szCs w:val="16"/>
              </w:rPr>
            </w:pPr>
            <w:r>
              <w:rPr>
                <w:rFonts w:hint="default" w:ascii="Times New Roman" w:hAnsi="Times New Roman" w:cs="Times New Roman"/>
                <w:color w:val="auto"/>
                <w:spacing w:val="-3"/>
                <w:sz w:val="16"/>
                <w:szCs w:val="16"/>
              </w:rPr>
              <w:t>&gt;43%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340"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00" w:type="dxa"/>
            <w:vMerge w:val="continue"/>
            <w:tcBorders>
              <w:top w:val="nil"/>
            </w:tcBorders>
            <w:textDirection w:val="tbRlV"/>
            <w:vAlign w:val="center"/>
          </w:tcPr>
          <w:p>
            <w:pPr>
              <w:jc w:val="center"/>
              <w:rPr>
                <w:rFonts w:hint="default" w:ascii="Times New Roman" w:hAnsi="Times New Roman" w:cs="Times New Roman"/>
                <w:color w:val="auto"/>
                <w:sz w:val="16"/>
                <w:szCs w:val="16"/>
              </w:rPr>
            </w:pPr>
          </w:p>
        </w:tc>
        <w:tc>
          <w:tcPr>
            <w:tcW w:w="1915" w:type="dxa"/>
            <w:gridSpan w:val="2"/>
            <w:vAlign w:val="center"/>
          </w:tcPr>
          <w:p>
            <w:pPr>
              <w:pStyle w:val="15"/>
              <w:spacing w:before="61"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时效指标</w:t>
            </w:r>
          </w:p>
        </w:tc>
        <w:tc>
          <w:tcPr>
            <w:tcW w:w="3176" w:type="dxa"/>
            <w:gridSpan w:val="2"/>
            <w:vAlign w:val="center"/>
          </w:tcPr>
          <w:p>
            <w:pPr>
              <w:pStyle w:val="15"/>
              <w:spacing w:before="61"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农作物病虫害防治组织实施时效</w:t>
            </w:r>
          </w:p>
        </w:tc>
        <w:tc>
          <w:tcPr>
            <w:tcW w:w="2651" w:type="dxa"/>
            <w:vAlign w:val="center"/>
          </w:tcPr>
          <w:p>
            <w:pPr>
              <w:pStyle w:val="15"/>
              <w:spacing w:before="202" w:line="222" w:lineRule="auto"/>
              <w:ind w:right="51"/>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在农作物病虫害防控期及时组织实施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1340"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00" w:type="dxa"/>
            <w:vMerge w:val="restart"/>
            <w:tcBorders>
              <w:bottom w:val="nil"/>
            </w:tcBorders>
            <w:vAlign w:val="center"/>
          </w:tcPr>
          <w:p>
            <w:pPr>
              <w:pStyle w:val="15"/>
              <w:spacing w:before="63" w:line="217" w:lineRule="auto"/>
              <w:jc w:val="center"/>
              <w:rPr>
                <w:rFonts w:hint="default" w:ascii="Times New Roman" w:hAnsi="Times New Roman" w:cs="Times New Roman"/>
                <w:color w:val="auto"/>
                <w:sz w:val="16"/>
                <w:szCs w:val="16"/>
              </w:rPr>
            </w:pPr>
            <w:r>
              <w:rPr>
                <w:rFonts w:hint="default" w:ascii="Times New Roman" w:hAnsi="Times New Roman" w:cs="Times New Roman"/>
                <w:color w:val="auto"/>
                <w:sz w:val="16"/>
                <w:szCs w:val="16"/>
              </w:rPr>
              <w:t>效益指标</w:t>
            </w:r>
          </w:p>
        </w:tc>
        <w:tc>
          <w:tcPr>
            <w:tcW w:w="1915" w:type="dxa"/>
            <w:gridSpan w:val="2"/>
            <w:vAlign w:val="center"/>
          </w:tcPr>
          <w:p>
            <w:pPr>
              <w:pStyle w:val="15"/>
              <w:spacing w:before="61"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成本指标</w:t>
            </w:r>
          </w:p>
        </w:tc>
        <w:tc>
          <w:tcPr>
            <w:tcW w:w="3176" w:type="dxa"/>
            <w:gridSpan w:val="2"/>
            <w:vAlign w:val="center"/>
          </w:tcPr>
          <w:p>
            <w:pPr>
              <w:pStyle w:val="15"/>
              <w:spacing w:before="62" w:line="218"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采购物资或服务价格</w:t>
            </w:r>
          </w:p>
        </w:tc>
        <w:tc>
          <w:tcPr>
            <w:tcW w:w="2651" w:type="dxa"/>
            <w:vAlign w:val="center"/>
          </w:tcPr>
          <w:p>
            <w:pPr>
              <w:pStyle w:val="15"/>
              <w:spacing w:before="62" w:line="218"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不超过市场价格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1340"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00"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1915" w:type="dxa"/>
            <w:gridSpan w:val="2"/>
            <w:vAlign w:val="center"/>
          </w:tcPr>
          <w:p>
            <w:pPr>
              <w:pStyle w:val="15"/>
              <w:spacing w:before="223" w:line="208" w:lineRule="auto"/>
              <w:ind w:right="85"/>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lang w:val="en-US" w:eastAsia="zh-CN"/>
              </w:rPr>
              <w:t>社会效益</w:t>
            </w:r>
            <w:r>
              <w:rPr>
                <w:rFonts w:hint="default" w:ascii="Times New Roman" w:hAnsi="Times New Roman" w:cs="Times New Roman"/>
                <w:color w:val="auto"/>
                <w:spacing w:val="-2"/>
                <w:sz w:val="16"/>
                <w:szCs w:val="16"/>
              </w:rPr>
              <w:t>指标</w:t>
            </w:r>
          </w:p>
        </w:tc>
        <w:tc>
          <w:tcPr>
            <w:tcW w:w="3176" w:type="dxa"/>
            <w:gridSpan w:val="2"/>
            <w:vAlign w:val="center"/>
          </w:tcPr>
          <w:p>
            <w:pPr>
              <w:pStyle w:val="15"/>
              <w:spacing w:before="62"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z w:val="16"/>
                <w:szCs w:val="16"/>
              </w:rPr>
              <w:t>防灾措施保障粮食安全和农业生产安全效果</w:t>
            </w:r>
          </w:p>
        </w:tc>
        <w:tc>
          <w:tcPr>
            <w:tcW w:w="2651" w:type="dxa"/>
            <w:vAlign w:val="center"/>
          </w:tcPr>
          <w:p>
            <w:pPr>
              <w:pStyle w:val="15"/>
              <w:spacing w:before="95" w:line="225" w:lineRule="auto"/>
              <w:ind w:left="48" w:right="31"/>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重发区域病虫害得到</w:t>
            </w:r>
            <w:r>
              <w:rPr>
                <w:rFonts w:hint="default" w:ascii="Times New Roman" w:hAnsi="Times New Roman" w:cs="Times New Roman"/>
                <w:color w:val="auto"/>
                <w:spacing w:val="-1"/>
                <w:sz w:val="16"/>
                <w:szCs w:val="16"/>
              </w:rPr>
              <w:t>有效控制，农作物不</w:t>
            </w:r>
            <w:r>
              <w:rPr>
                <w:rFonts w:hint="default" w:ascii="Times New Roman" w:hAnsi="Times New Roman" w:cs="Times New Roman"/>
                <w:color w:val="auto"/>
                <w:sz w:val="16"/>
                <w:szCs w:val="16"/>
              </w:rPr>
              <w:t>出现大范围成灾绝收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40"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00" w:type="dxa"/>
            <w:vMerge w:val="continue"/>
            <w:tcBorders>
              <w:top w:val="nil"/>
            </w:tcBorders>
            <w:textDirection w:val="tbRlV"/>
            <w:vAlign w:val="center"/>
          </w:tcPr>
          <w:p>
            <w:pPr>
              <w:jc w:val="center"/>
              <w:rPr>
                <w:rFonts w:hint="default" w:ascii="Times New Roman" w:hAnsi="Times New Roman" w:cs="Times New Roman"/>
                <w:color w:val="auto"/>
                <w:sz w:val="16"/>
                <w:szCs w:val="16"/>
              </w:rPr>
            </w:pPr>
          </w:p>
        </w:tc>
        <w:tc>
          <w:tcPr>
            <w:tcW w:w="1915" w:type="dxa"/>
            <w:gridSpan w:val="2"/>
            <w:vAlign w:val="center"/>
          </w:tcPr>
          <w:p>
            <w:pPr>
              <w:pStyle w:val="15"/>
              <w:spacing w:before="226" w:line="212" w:lineRule="auto"/>
              <w:ind w:right="85"/>
              <w:jc w:val="center"/>
              <w:rPr>
                <w:rFonts w:hint="default" w:ascii="Times New Roman" w:hAnsi="Times New Roman" w:cs="Times New Roman"/>
                <w:color w:val="auto"/>
                <w:sz w:val="16"/>
                <w:szCs w:val="16"/>
              </w:rPr>
            </w:pPr>
            <w:r>
              <w:rPr>
                <w:rFonts w:hint="default" w:ascii="Times New Roman" w:hAnsi="Times New Roman" w:cs="Times New Roman"/>
                <w:color w:val="auto"/>
                <w:spacing w:val="-3"/>
                <w:sz w:val="16"/>
                <w:szCs w:val="16"/>
              </w:rPr>
              <w:t>可持续影</w:t>
            </w:r>
            <w:r>
              <w:rPr>
                <w:rFonts w:hint="default" w:ascii="Times New Roman" w:hAnsi="Times New Roman" w:cs="Times New Roman"/>
                <w:color w:val="auto"/>
                <w:spacing w:val="2"/>
                <w:sz w:val="16"/>
                <w:szCs w:val="16"/>
              </w:rPr>
              <w:t>响指标</w:t>
            </w:r>
          </w:p>
        </w:tc>
        <w:tc>
          <w:tcPr>
            <w:tcW w:w="3176" w:type="dxa"/>
            <w:gridSpan w:val="2"/>
            <w:vAlign w:val="center"/>
          </w:tcPr>
          <w:p>
            <w:pPr>
              <w:pStyle w:val="15"/>
              <w:spacing w:before="62"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z w:val="16"/>
                <w:szCs w:val="16"/>
              </w:rPr>
              <w:t>有效保持重大病虫疫情灾情监测预警能力</w:t>
            </w:r>
          </w:p>
        </w:tc>
        <w:tc>
          <w:tcPr>
            <w:tcW w:w="2651" w:type="dxa"/>
            <w:vAlign w:val="center"/>
          </w:tcPr>
          <w:p>
            <w:pPr>
              <w:pStyle w:val="15"/>
              <w:spacing w:before="62"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3"/>
                <w:sz w:val="16"/>
                <w:szCs w:val="16"/>
              </w:rPr>
              <w:t>病虫害防控期内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1340" w:type="dxa"/>
            <w:vMerge w:val="continue"/>
            <w:tcBorders>
              <w:top w:val="nil"/>
            </w:tcBorders>
            <w:textDirection w:val="tbRlV"/>
            <w:vAlign w:val="center"/>
          </w:tcPr>
          <w:p>
            <w:pPr>
              <w:jc w:val="center"/>
              <w:rPr>
                <w:rFonts w:hint="default" w:ascii="Times New Roman" w:hAnsi="Times New Roman" w:cs="Times New Roman"/>
                <w:color w:val="auto"/>
                <w:sz w:val="16"/>
                <w:szCs w:val="16"/>
              </w:rPr>
            </w:pPr>
          </w:p>
        </w:tc>
        <w:tc>
          <w:tcPr>
            <w:tcW w:w="900" w:type="dxa"/>
            <w:vAlign w:val="center"/>
          </w:tcPr>
          <w:p>
            <w:pPr>
              <w:pStyle w:val="15"/>
              <w:spacing w:before="207" w:line="217" w:lineRule="auto"/>
              <w:ind w:right="55"/>
              <w:jc w:val="center"/>
              <w:rPr>
                <w:rFonts w:hint="default" w:ascii="Times New Roman" w:hAnsi="Times New Roman" w:cs="Times New Roman"/>
                <w:color w:val="auto"/>
                <w:sz w:val="16"/>
                <w:szCs w:val="16"/>
              </w:rPr>
            </w:pPr>
            <w:r>
              <w:rPr>
                <w:rFonts w:hint="default" w:ascii="Times New Roman" w:hAnsi="Times New Roman" w:cs="Times New Roman"/>
                <w:color w:val="auto"/>
                <w:spacing w:val="3"/>
                <w:sz w:val="16"/>
                <w:szCs w:val="16"/>
              </w:rPr>
              <w:t>满意度指</w:t>
            </w:r>
            <w:r>
              <w:rPr>
                <w:rFonts w:hint="default" w:ascii="Times New Roman" w:hAnsi="Times New Roman" w:cs="Times New Roman"/>
                <w:color w:val="auto"/>
                <w:sz w:val="16"/>
                <w:szCs w:val="16"/>
              </w:rPr>
              <w:t>标</w:t>
            </w:r>
          </w:p>
        </w:tc>
        <w:tc>
          <w:tcPr>
            <w:tcW w:w="1915" w:type="dxa"/>
            <w:gridSpan w:val="2"/>
            <w:vAlign w:val="center"/>
          </w:tcPr>
          <w:p>
            <w:pPr>
              <w:pStyle w:val="15"/>
              <w:spacing w:before="85" w:line="223" w:lineRule="auto"/>
              <w:ind w:right="64"/>
              <w:jc w:val="center"/>
              <w:rPr>
                <w:rFonts w:hint="eastAsia" w:ascii="Times New Roman" w:hAnsi="Times New Roman" w:eastAsia="宋体" w:cs="Times New Roman"/>
                <w:color w:val="auto"/>
                <w:sz w:val="16"/>
                <w:szCs w:val="16"/>
                <w:lang w:val="en-US" w:eastAsia="zh-CN"/>
              </w:rPr>
            </w:pPr>
            <w:r>
              <w:rPr>
                <w:rFonts w:hint="default" w:ascii="Times New Roman" w:hAnsi="Times New Roman" w:cs="Times New Roman"/>
                <w:color w:val="auto"/>
                <w:spacing w:val="3"/>
                <w:sz w:val="16"/>
                <w:szCs w:val="16"/>
              </w:rPr>
              <w:t>技术指导</w:t>
            </w:r>
            <w:r>
              <w:rPr>
                <w:rFonts w:hint="default" w:ascii="Times New Roman" w:hAnsi="Times New Roman" w:cs="Times New Roman"/>
                <w:color w:val="auto"/>
                <w:spacing w:val="-2"/>
                <w:sz w:val="16"/>
                <w:szCs w:val="16"/>
              </w:rPr>
              <w:t>对象满意</w:t>
            </w:r>
            <w:r>
              <w:rPr>
                <w:rFonts w:hint="eastAsia" w:ascii="Times New Roman" w:hAnsi="Times New Roman" w:cs="Times New Roman"/>
                <w:color w:val="auto"/>
                <w:spacing w:val="-2"/>
                <w:sz w:val="16"/>
                <w:szCs w:val="16"/>
                <w:lang w:val="en-US" w:eastAsia="zh-CN"/>
              </w:rPr>
              <w:t>指标</w:t>
            </w:r>
          </w:p>
        </w:tc>
        <w:tc>
          <w:tcPr>
            <w:tcW w:w="3176" w:type="dxa"/>
            <w:gridSpan w:val="2"/>
            <w:vAlign w:val="center"/>
          </w:tcPr>
          <w:p>
            <w:pPr>
              <w:pStyle w:val="15"/>
              <w:spacing w:before="62"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z w:val="16"/>
                <w:szCs w:val="16"/>
              </w:rPr>
              <w:t>受灾农民或防治服务组织满意度</w:t>
            </w:r>
          </w:p>
        </w:tc>
        <w:tc>
          <w:tcPr>
            <w:tcW w:w="2651" w:type="dxa"/>
            <w:vAlign w:val="center"/>
          </w:tcPr>
          <w:p>
            <w:pPr>
              <w:pStyle w:val="15"/>
              <w:spacing w:before="62" w:line="237"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6"/>
                <w:sz w:val="16"/>
                <w:szCs w:val="16"/>
              </w:rPr>
              <w:t>≥85%</w:t>
            </w:r>
          </w:p>
        </w:tc>
      </w:tr>
    </w:tbl>
    <w:p>
      <w:pPr>
        <w:rPr>
          <w:rFonts w:hint="default" w:ascii="Times New Roman" w:hAnsi="Times New Roman" w:cs="Times New Roman"/>
          <w:color w:val="auto"/>
          <w:highlight w:val="none"/>
        </w:rPr>
        <w:sectPr>
          <w:footerReference r:id="rId5" w:type="default"/>
          <w:pgSz w:w="11906" w:h="16838"/>
          <w:pgMar w:top="1440" w:right="1800" w:bottom="1440" w:left="1800" w:header="851" w:footer="992" w:gutter="0"/>
          <w:pgNumType w:fmt="decimal" w:start="1"/>
          <w:cols w:space="425" w:num="1"/>
          <w:docGrid w:type="lines" w:linePitch="312" w:charSpace="0"/>
        </w:sectPr>
      </w:pPr>
    </w:p>
    <w:p>
      <w:pPr>
        <w:spacing w:before="121" w:line="219" w:lineRule="auto"/>
        <w:jc w:val="center"/>
        <w:outlineLvl w:val="0"/>
        <w:rPr>
          <w:rFonts w:hint="default" w:ascii="Times New Roman" w:hAnsi="Times New Roman" w:eastAsia="宋体" w:cs="Times New Roman"/>
          <w:b/>
          <w:bCs/>
          <w:color w:val="auto"/>
          <w:spacing w:val="-3"/>
          <w:sz w:val="20"/>
          <w:szCs w:val="20"/>
        </w:rPr>
      </w:pPr>
      <w:r>
        <w:rPr>
          <w:rFonts w:hint="default" w:ascii="Times New Roman" w:hAnsi="Times New Roman" w:eastAsia="宋体" w:cs="Times New Roman"/>
          <w:b/>
          <w:bCs/>
          <w:color w:val="auto"/>
          <w:spacing w:val="-3"/>
          <w:sz w:val="28"/>
          <w:szCs w:val="28"/>
        </w:rPr>
        <w:t>农业防灾减灾和水利救灾资金</w:t>
      </w:r>
      <w:r>
        <w:rPr>
          <w:rFonts w:hint="default" w:ascii="Times New Roman" w:hAnsi="Times New Roman" w:eastAsia="宋体" w:cs="Times New Roman"/>
          <w:b/>
          <w:bCs/>
          <w:color w:val="auto"/>
          <w:spacing w:val="-3"/>
          <w:sz w:val="28"/>
          <w:szCs w:val="28"/>
          <w:lang w:eastAsia="zh-CN"/>
        </w:rPr>
        <w:t>（</w:t>
      </w:r>
      <w:r>
        <w:rPr>
          <w:rFonts w:hint="default" w:ascii="Times New Roman" w:hAnsi="Times New Roman" w:eastAsia="宋体" w:cs="Times New Roman"/>
          <w:b/>
          <w:bCs/>
          <w:color w:val="auto"/>
          <w:spacing w:val="-3"/>
          <w:sz w:val="28"/>
          <w:szCs w:val="28"/>
          <w:lang w:val="en-US" w:eastAsia="zh-CN"/>
        </w:rPr>
        <w:t>第四批</w:t>
      </w:r>
      <w:r>
        <w:rPr>
          <w:rFonts w:hint="default" w:ascii="Times New Roman" w:hAnsi="Times New Roman" w:eastAsia="宋体" w:cs="Times New Roman"/>
          <w:b/>
          <w:bCs/>
          <w:color w:val="auto"/>
          <w:spacing w:val="-3"/>
          <w:sz w:val="28"/>
          <w:szCs w:val="28"/>
          <w:lang w:eastAsia="zh-CN"/>
        </w:rPr>
        <w:t>）</w:t>
      </w:r>
      <w:r>
        <w:rPr>
          <w:rFonts w:hint="default" w:ascii="Times New Roman" w:hAnsi="Times New Roman" w:eastAsia="宋体" w:cs="Times New Roman"/>
          <w:b/>
          <w:bCs/>
          <w:color w:val="auto"/>
          <w:spacing w:val="-3"/>
          <w:sz w:val="28"/>
          <w:szCs w:val="28"/>
        </w:rPr>
        <w:t>区域绩效目标备案表</w:t>
      </w:r>
    </w:p>
    <w:tbl>
      <w:tblPr>
        <w:tblStyle w:val="16"/>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4"/>
        <w:gridCol w:w="919"/>
        <w:gridCol w:w="1259"/>
        <w:gridCol w:w="929"/>
        <w:gridCol w:w="2158"/>
        <w:gridCol w:w="1408"/>
        <w:gridCol w:w="1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3921" w:type="dxa"/>
            <w:gridSpan w:val="4"/>
            <w:vAlign w:val="center"/>
          </w:tcPr>
          <w:p>
            <w:pPr>
              <w:pStyle w:val="15"/>
              <w:spacing w:before="112"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专项名称</w:t>
            </w:r>
          </w:p>
        </w:tc>
        <w:tc>
          <w:tcPr>
            <w:tcW w:w="5429" w:type="dxa"/>
            <w:gridSpan w:val="3"/>
            <w:vAlign w:val="center"/>
          </w:tcPr>
          <w:p>
            <w:pPr>
              <w:pStyle w:val="15"/>
              <w:spacing w:before="112" w:line="219" w:lineRule="auto"/>
              <w:ind w:left="1604"/>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农业防灾减灾和水利救灾资金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3921" w:type="dxa"/>
            <w:gridSpan w:val="4"/>
            <w:vAlign w:val="center"/>
          </w:tcPr>
          <w:p>
            <w:pPr>
              <w:pStyle w:val="15"/>
              <w:spacing w:before="157" w:line="219" w:lineRule="auto"/>
              <w:ind w:left="1445"/>
              <w:jc w:val="both"/>
              <w:rPr>
                <w:rFonts w:hint="default" w:ascii="Times New Roman" w:hAnsi="Times New Roman" w:cs="Times New Roman"/>
                <w:color w:val="auto"/>
                <w:sz w:val="16"/>
                <w:szCs w:val="16"/>
              </w:rPr>
            </w:pPr>
            <w:r>
              <w:rPr>
                <w:rFonts w:hint="default" w:ascii="Times New Roman" w:hAnsi="Times New Roman" w:cs="Times New Roman"/>
                <w:color w:val="auto"/>
                <w:spacing w:val="3"/>
                <w:sz w:val="16"/>
                <w:szCs w:val="16"/>
              </w:rPr>
              <w:t>中央主管部门</w:t>
            </w:r>
          </w:p>
        </w:tc>
        <w:tc>
          <w:tcPr>
            <w:tcW w:w="2158" w:type="dxa"/>
            <w:vAlign w:val="center"/>
          </w:tcPr>
          <w:p>
            <w:pPr>
              <w:pStyle w:val="15"/>
              <w:spacing w:before="155"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农业农村部</w:t>
            </w:r>
          </w:p>
        </w:tc>
        <w:tc>
          <w:tcPr>
            <w:tcW w:w="1408" w:type="dxa"/>
            <w:vAlign w:val="center"/>
          </w:tcPr>
          <w:p>
            <w:pPr>
              <w:pStyle w:val="15"/>
              <w:spacing w:before="157"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专项实施期</w:t>
            </w:r>
          </w:p>
        </w:tc>
        <w:tc>
          <w:tcPr>
            <w:tcW w:w="1863" w:type="dxa"/>
            <w:vAlign w:val="center"/>
          </w:tcPr>
          <w:p>
            <w:pPr>
              <w:pStyle w:val="15"/>
              <w:spacing w:before="157"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3921" w:type="dxa"/>
            <w:gridSpan w:val="4"/>
            <w:vAlign w:val="center"/>
          </w:tcPr>
          <w:p>
            <w:pPr>
              <w:pStyle w:val="15"/>
              <w:spacing w:before="147" w:line="219" w:lineRule="auto"/>
              <w:ind w:left="1445"/>
              <w:jc w:val="both"/>
              <w:rPr>
                <w:rFonts w:hint="default" w:ascii="Times New Roman" w:hAnsi="Times New Roman" w:cs="Times New Roman"/>
                <w:color w:val="auto"/>
                <w:sz w:val="16"/>
                <w:szCs w:val="16"/>
              </w:rPr>
            </w:pPr>
            <w:r>
              <w:rPr>
                <w:rFonts w:hint="default" w:ascii="Times New Roman" w:hAnsi="Times New Roman" w:cs="Times New Roman"/>
                <w:color w:val="auto"/>
                <w:spacing w:val="3"/>
                <w:sz w:val="16"/>
                <w:szCs w:val="16"/>
              </w:rPr>
              <w:t>省级财政部门</w:t>
            </w:r>
          </w:p>
        </w:tc>
        <w:tc>
          <w:tcPr>
            <w:tcW w:w="2158" w:type="dxa"/>
            <w:vAlign w:val="center"/>
          </w:tcPr>
          <w:p>
            <w:pPr>
              <w:pStyle w:val="15"/>
              <w:spacing w:before="147"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新疆维吾尔自治区财政厅</w:t>
            </w:r>
          </w:p>
        </w:tc>
        <w:tc>
          <w:tcPr>
            <w:tcW w:w="1408" w:type="dxa"/>
            <w:vAlign w:val="center"/>
          </w:tcPr>
          <w:p>
            <w:pPr>
              <w:pStyle w:val="15"/>
              <w:spacing w:before="147"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3"/>
                <w:sz w:val="16"/>
                <w:szCs w:val="16"/>
              </w:rPr>
              <w:t>省级主管部门</w:t>
            </w:r>
          </w:p>
        </w:tc>
        <w:tc>
          <w:tcPr>
            <w:tcW w:w="1863" w:type="dxa"/>
            <w:vAlign w:val="center"/>
          </w:tcPr>
          <w:p>
            <w:pPr>
              <w:pStyle w:val="15"/>
              <w:spacing w:before="77" w:line="202" w:lineRule="auto"/>
              <w:ind w:right="82"/>
              <w:jc w:val="center"/>
              <w:rPr>
                <w:rFonts w:hint="default" w:ascii="Times New Roman" w:hAnsi="Times New Roman" w:cs="Times New Roman"/>
                <w:color w:val="auto"/>
                <w:spacing w:val="-1"/>
                <w:sz w:val="16"/>
                <w:szCs w:val="16"/>
              </w:rPr>
            </w:pPr>
            <w:r>
              <w:rPr>
                <w:rFonts w:hint="default" w:ascii="Times New Roman" w:hAnsi="Times New Roman" w:cs="Times New Roman"/>
                <w:color w:val="auto"/>
                <w:spacing w:val="-1"/>
                <w:sz w:val="16"/>
                <w:szCs w:val="16"/>
              </w:rPr>
              <w:t>新疆维吾尔自治区</w:t>
            </w:r>
          </w:p>
          <w:p>
            <w:pPr>
              <w:pStyle w:val="15"/>
              <w:spacing w:before="77" w:line="202" w:lineRule="auto"/>
              <w:ind w:right="82"/>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农业</w:t>
            </w:r>
            <w:r>
              <w:rPr>
                <w:rFonts w:hint="default" w:ascii="Times New Roman" w:hAnsi="Times New Roman" w:cs="Times New Roman"/>
                <w:color w:val="auto"/>
                <w:spacing w:val="1"/>
                <w:sz w:val="16"/>
                <w:szCs w:val="16"/>
              </w:rPr>
              <w:t xml:space="preserve"> </w:t>
            </w:r>
            <w:r>
              <w:rPr>
                <w:rFonts w:hint="default" w:ascii="Times New Roman" w:hAnsi="Times New Roman" w:cs="Times New Roman"/>
                <w:color w:val="auto"/>
                <w:spacing w:val="-2"/>
                <w:sz w:val="16"/>
                <w:szCs w:val="16"/>
              </w:rPr>
              <w:t>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14" w:type="dxa"/>
            <w:vMerge w:val="restart"/>
            <w:tcBorders>
              <w:bottom w:val="nil"/>
            </w:tcBorders>
            <w:vAlign w:val="center"/>
          </w:tcPr>
          <w:p>
            <w:pPr>
              <w:pStyle w:val="15"/>
              <w:spacing w:before="55" w:line="236" w:lineRule="auto"/>
              <w:ind w:right="111"/>
              <w:jc w:val="center"/>
              <w:rPr>
                <w:rFonts w:hint="eastAsia" w:ascii="Times New Roman" w:hAnsi="Times New Roman" w:eastAsia="宋体" w:cs="Times New Roman"/>
                <w:color w:val="auto"/>
                <w:sz w:val="16"/>
                <w:szCs w:val="16"/>
                <w:lang w:val="en-US" w:eastAsia="zh-CN"/>
              </w:rPr>
            </w:pPr>
            <w:r>
              <w:rPr>
                <w:rFonts w:hint="default" w:ascii="Times New Roman" w:hAnsi="Times New Roman" w:cs="Times New Roman"/>
                <w:color w:val="auto"/>
                <w:spacing w:val="3"/>
                <w:sz w:val="16"/>
                <w:szCs w:val="16"/>
              </w:rPr>
              <w:t>资金</w:t>
            </w:r>
            <w:r>
              <w:rPr>
                <w:rFonts w:hint="eastAsia" w:ascii="Times New Roman" w:hAnsi="Times New Roman" w:cs="Times New Roman"/>
                <w:color w:val="auto"/>
                <w:spacing w:val="3"/>
                <w:sz w:val="16"/>
                <w:szCs w:val="16"/>
                <w:lang w:val="en-US" w:eastAsia="zh-CN"/>
              </w:rPr>
              <w:t>情况</w:t>
            </w:r>
          </w:p>
        </w:tc>
        <w:tc>
          <w:tcPr>
            <w:tcW w:w="3107" w:type="dxa"/>
            <w:gridSpan w:val="3"/>
            <w:vAlign w:val="center"/>
          </w:tcPr>
          <w:p>
            <w:pPr>
              <w:pStyle w:val="15"/>
              <w:spacing w:before="157" w:line="219" w:lineRule="auto"/>
              <w:ind w:left="11"/>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年度金额：</w:t>
            </w:r>
          </w:p>
        </w:tc>
        <w:tc>
          <w:tcPr>
            <w:tcW w:w="5429" w:type="dxa"/>
            <w:gridSpan w:val="3"/>
            <w:vAlign w:val="center"/>
          </w:tcPr>
          <w:p>
            <w:pPr>
              <w:pStyle w:val="15"/>
              <w:spacing w:before="157" w:line="220" w:lineRule="auto"/>
              <w:ind w:left="2364"/>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2140万元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814" w:type="dxa"/>
            <w:vMerge w:val="continue"/>
            <w:tcBorders>
              <w:top w:val="nil"/>
              <w:bottom w:val="nil"/>
            </w:tcBorders>
            <w:vAlign w:val="center"/>
          </w:tcPr>
          <w:p>
            <w:pPr>
              <w:jc w:val="center"/>
              <w:rPr>
                <w:rFonts w:hint="default" w:ascii="Times New Roman" w:hAnsi="Times New Roman" w:cs="Times New Roman"/>
                <w:color w:val="auto"/>
                <w:sz w:val="16"/>
                <w:szCs w:val="16"/>
              </w:rPr>
            </w:pPr>
          </w:p>
        </w:tc>
        <w:tc>
          <w:tcPr>
            <w:tcW w:w="3107" w:type="dxa"/>
            <w:gridSpan w:val="3"/>
            <w:vAlign w:val="center"/>
          </w:tcPr>
          <w:p>
            <w:pPr>
              <w:pStyle w:val="15"/>
              <w:spacing w:before="167"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其中：中央补助</w:t>
            </w:r>
          </w:p>
        </w:tc>
        <w:tc>
          <w:tcPr>
            <w:tcW w:w="5429" w:type="dxa"/>
            <w:gridSpan w:val="3"/>
            <w:vAlign w:val="center"/>
          </w:tcPr>
          <w:p>
            <w:pPr>
              <w:pStyle w:val="15"/>
              <w:spacing w:before="167" w:line="220" w:lineRule="auto"/>
              <w:ind w:left="2364"/>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2140万元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814" w:type="dxa"/>
            <w:vMerge w:val="continue"/>
            <w:tcBorders>
              <w:top w:val="nil"/>
            </w:tcBorders>
            <w:vAlign w:val="center"/>
          </w:tcPr>
          <w:p>
            <w:pPr>
              <w:jc w:val="center"/>
              <w:rPr>
                <w:rFonts w:hint="default" w:ascii="Times New Roman" w:hAnsi="Times New Roman" w:cs="Times New Roman"/>
                <w:color w:val="auto"/>
                <w:sz w:val="16"/>
                <w:szCs w:val="16"/>
              </w:rPr>
            </w:pPr>
          </w:p>
        </w:tc>
        <w:tc>
          <w:tcPr>
            <w:tcW w:w="3107" w:type="dxa"/>
            <w:gridSpan w:val="3"/>
            <w:vAlign w:val="center"/>
          </w:tcPr>
          <w:p>
            <w:pPr>
              <w:pStyle w:val="15"/>
              <w:spacing w:before="148" w:line="221"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地方资金</w:t>
            </w:r>
          </w:p>
        </w:tc>
        <w:tc>
          <w:tcPr>
            <w:tcW w:w="5429" w:type="dxa"/>
            <w:gridSpan w:val="3"/>
            <w:vAlign w:val="center"/>
          </w:tcPr>
          <w:p>
            <w:pPr>
              <w:jc w:val="center"/>
              <w:rPr>
                <w:rFonts w:hint="default" w:ascii="Times New Roman" w:hAnsi="Times New Roman" w:cs="Times New Roman"/>
                <w:color w:val="auto"/>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jc w:val="center"/>
        </w:trPr>
        <w:tc>
          <w:tcPr>
            <w:tcW w:w="814" w:type="dxa"/>
            <w:vAlign w:val="center"/>
          </w:tcPr>
          <w:p>
            <w:pPr>
              <w:pStyle w:val="15"/>
              <w:spacing w:before="57" w:line="216" w:lineRule="auto"/>
              <w:jc w:val="center"/>
              <w:rPr>
                <w:rFonts w:hint="default" w:ascii="Times New Roman" w:hAnsi="Times New Roman" w:cs="Times New Roman"/>
                <w:color w:val="auto"/>
                <w:sz w:val="16"/>
                <w:szCs w:val="16"/>
              </w:rPr>
            </w:pPr>
            <w:r>
              <w:rPr>
                <w:rFonts w:hint="default" w:ascii="Times New Roman" w:hAnsi="Times New Roman" w:cs="Times New Roman"/>
                <w:color w:val="auto"/>
                <w:sz w:val="16"/>
                <w:szCs w:val="16"/>
              </w:rPr>
              <w:t>年</w:t>
            </w:r>
            <w:r>
              <w:rPr>
                <w:rFonts w:hint="default" w:ascii="Times New Roman" w:hAnsi="Times New Roman" w:cs="Times New Roman"/>
                <w:color w:val="auto"/>
                <w:spacing w:val="-28"/>
                <w:sz w:val="16"/>
                <w:szCs w:val="16"/>
              </w:rPr>
              <w:t xml:space="preserve"> </w:t>
            </w:r>
            <w:r>
              <w:rPr>
                <w:rFonts w:hint="default" w:ascii="Times New Roman" w:hAnsi="Times New Roman" w:cs="Times New Roman"/>
                <w:color w:val="auto"/>
                <w:sz w:val="16"/>
                <w:szCs w:val="16"/>
              </w:rPr>
              <w:t>度</w:t>
            </w:r>
            <w:r>
              <w:rPr>
                <w:rFonts w:hint="default" w:ascii="Times New Roman" w:hAnsi="Times New Roman" w:cs="Times New Roman"/>
                <w:color w:val="auto"/>
                <w:spacing w:val="-28"/>
                <w:sz w:val="16"/>
                <w:szCs w:val="16"/>
              </w:rPr>
              <w:t xml:space="preserve"> </w:t>
            </w:r>
            <w:r>
              <w:rPr>
                <w:rFonts w:hint="default" w:ascii="Times New Roman" w:hAnsi="Times New Roman" w:cs="Times New Roman"/>
                <w:color w:val="auto"/>
                <w:sz w:val="16"/>
                <w:szCs w:val="16"/>
              </w:rPr>
              <w:t>目</w:t>
            </w:r>
            <w:r>
              <w:rPr>
                <w:rFonts w:hint="default" w:ascii="Times New Roman" w:hAnsi="Times New Roman" w:cs="Times New Roman"/>
                <w:color w:val="auto"/>
                <w:spacing w:val="-28"/>
                <w:sz w:val="16"/>
                <w:szCs w:val="16"/>
              </w:rPr>
              <w:t xml:space="preserve"> </w:t>
            </w:r>
            <w:r>
              <w:rPr>
                <w:rFonts w:hint="default" w:ascii="Times New Roman" w:hAnsi="Times New Roman" w:cs="Times New Roman"/>
                <w:color w:val="auto"/>
                <w:sz w:val="16"/>
                <w:szCs w:val="16"/>
              </w:rPr>
              <w:t>标</w:t>
            </w:r>
          </w:p>
        </w:tc>
        <w:tc>
          <w:tcPr>
            <w:tcW w:w="8536" w:type="dxa"/>
            <w:gridSpan w:val="6"/>
            <w:vAlign w:val="center"/>
          </w:tcPr>
          <w:p>
            <w:pPr>
              <w:pStyle w:val="15"/>
              <w:spacing w:before="55" w:line="219" w:lineRule="auto"/>
              <w:ind w:left="51"/>
              <w:jc w:val="center"/>
              <w:rPr>
                <w:rFonts w:hint="default" w:ascii="Times New Roman" w:hAnsi="Times New Roman" w:cs="Times New Roman"/>
                <w:color w:val="auto"/>
                <w:sz w:val="16"/>
                <w:szCs w:val="16"/>
              </w:rPr>
            </w:pPr>
            <w:r>
              <w:rPr>
                <w:rFonts w:hint="default" w:ascii="Times New Roman" w:hAnsi="Times New Roman" w:cs="Times New Roman"/>
                <w:color w:val="auto"/>
                <w:sz w:val="16"/>
                <w:szCs w:val="16"/>
              </w:rPr>
              <w:t>目标：通过使用救灾资金，支持受灾地区恢复农业生产，保障全年农</w:t>
            </w:r>
            <w:r>
              <w:rPr>
                <w:rFonts w:hint="default" w:ascii="Times New Roman" w:hAnsi="Times New Roman" w:cs="Times New Roman"/>
                <w:color w:val="auto"/>
                <w:spacing w:val="-1"/>
                <w:sz w:val="16"/>
                <w:szCs w:val="16"/>
              </w:rPr>
              <w:t>业生产稳定。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814" w:type="dxa"/>
            <w:vMerge w:val="restart"/>
            <w:tcBorders>
              <w:bottom w:val="nil"/>
            </w:tcBorders>
            <w:vAlign w:val="center"/>
          </w:tcPr>
          <w:p>
            <w:pPr>
              <w:spacing w:line="254" w:lineRule="auto"/>
              <w:jc w:val="center"/>
              <w:rPr>
                <w:rFonts w:hint="default" w:ascii="Times New Roman" w:hAnsi="Times New Roman" w:cs="Times New Roman"/>
                <w:color w:val="auto"/>
                <w:sz w:val="16"/>
                <w:szCs w:val="16"/>
              </w:rPr>
            </w:pPr>
          </w:p>
          <w:p>
            <w:pPr>
              <w:pStyle w:val="15"/>
              <w:spacing w:before="56" w:line="217" w:lineRule="auto"/>
              <w:jc w:val="center"/>
              <w:rPr>
                <w:rFonts w:hint="default" w:ascii="Times New Roman" w:hAnsi="Times New Roman" w:eastAsia="宋体" w:cs="Times New Roman"/>
                <w:color w:val="auto"/>
                <w:sz w:val="16"/>
                <w:szCs w:val="16"/>
                <w:lang w:val="en-US" w:eastAsia="zh-CN"/>
              </w:rPr>
            </w:pPr>
            <w:r>
              <w:rPr>
                <w:rFonts w:hint="eastAsia" w:ascii="Times New Roman" w:hAnsi="Times New Roman" w:cs="Times New Roman"/>
                <w:color w:val="auto"/>
                <w:sz w:val="16"/>
                <w:szCs w:val="16"/>
                <w:lang w:val="en-US" w:eastAsia="zh-CN"/>
              </w:rPr>
              <w:t>绩效指标</w:t>
            </w:r>
          </w:p>
        </w:tc>
        <w:tc>
          <w:tcPr>
            <w:tcW w:w="919" w:type="dxa"/>
            <w:vAlign w:val="center"/>
          </w:tcPr>
          <w:p>
            <w:pPr>
              <w:pStyle w:val="15"/>
              <w:spacing w:before="60" w:line="229" w:lineRule="exact"/>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lang w:val="en-US" w:eastAsia="zh-CN"/>
              </w:rPr>
              <w:t>一</w:t>
            </w:r>
            <w:r>
              <w:rPr>
                <w:rFonts w:hint="default" w:ascii="Times New Roman" w:hAnsi="Times New Roman" w:cs="Times New Roman"/>
                <w:color w:val="auto"/>
                <w:spacing w:val="-2"/>
                <w:sz w:val="16"/>
                <w:szCs w:val="16"/>
              </w:rPr>
              <w:t>级指标</w:t>
            </w:r>
          </w:p>
        </w:tc>
        <w:tc>
          <w:tcPr>
            <w:tcW w:w="1259" w:type="dxa"/>
            <w:vAlign w:val="center"/>
          </w:tcPr>
          <w:p>
            <w:pPr>
              <w:pStyle w:val="15"/>
              <w:spacing w:before="169"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二级指标</w:t>
            </w:r>
          </w:p>
        </w:tc>
        <w:tc>
          <w:tcPr>
            <w:tcW w:w="4495" w:type="dxa"/>
            <w:gridSpan w:val="3"/>
            <w:vAlign w:val="center"/>
          </w:tcPr>
          <w:p>
            <w:pPr>
              <w:pStyle w:val="15"/>
              <w:spacing w:before="169"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三级指标</w:t>
            </w:r>
          </w:p>
        </w:tc>
        <w:tc>
          <w:tcPr>
            <w:tcW w:w="1863" w:type="dxa"/>
            <w:vAlign w:val="center"/>
          </w:tcPr>
          <w:p>
            <w:pPr>
              <w:pStyle w:val="15"/>
              <w:spacing w:before="169" w:line="219" w:lineRule="auto"/>
              <w:ind w:left="668"/>
              <w:jc w:val="both"/>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14"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19" w:type="dxa"/>
            <w:vMerge w:val="restart"/>
            <w:tcBorders>
              <w:bottom w:val="nil"/>
            </w:tcBorders>
            <w:vAlign w:val="center"/>
          </w:tcPr>
          <w:p>
            <w:pPr>
              <w:pStyle w:val="15"/>
              <w:spacing w:before="57" w:line="216" w:lineRule="auto"/>
              <w:jc w:val="center"/>
              <w:rPr>
                <w:rFonts w:hint="default" w:ascii="Times New Roman" w:hAnsi="Times New Roman" w:cs="Times New Roman"/>
                <w:color w:val="auto"/>
                <w:sz w:val="16"/>
                <w:szCs w:val="16"/>
                <w:lang w:val="en-US" w:eastAsia="zh-CN"/>
              </w:rPr>
            </w:pPr>
            <w:r>
              <w:rPr>
                <w:rFonts w:hint="eastAsia" w:ascii="Times New Roman" w:hAnsi="Times New Roman" w:cs="Times New Roman"/>
                <w:color w:val="auto"/>
                <w:sz w:val="16"/>
                <w:szCs w:val="16"/>
                <w:lang w:val="en-US" w:eastAsia="zh-CN"/>
              </w:rPr>
              <w:t>产出指标</w:t>
            </w:r>
          </w:p>
        </w:tc>
        <w:tc>
          <w:tcPr>
            <w:tcW w:w="1259" w:type="dxa"/>
            <w:vAlign w:val="center"/>
          </w:tcPr>
          <w:p>
            <w:pPr>
              <w:pStyle w:val="15"/>
              <w:spacing w:before="159"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数量指标</w:t>
            </w:r>
          </w:p>
        </w:tc>
        <w:tc>
          <w:tcPr>
            <w:tcW w:w="4495" w:type="dxa"/>
            <w:gridSpan w:val="3"/>
            <w:vAlign w:val="center"/>
          </w:tcPr>
          <w:p>
            <w:pPr>
              <w:pStyle w:val="15"/>
              <w:spacing w:before="159"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支持农作物防灾减灾和灾后恢复生产</w:t>
            </w:r>
          </w:p>
        </w:tc>
        <w:tc>
          <w:tcPr>
            <w:tcW w:w="1863" w:type="dxa"/>
            <w:vAlign w:val="center"/>
          </w:tcPr>
          <w:p>
            <w:pPr>
              <w:pStyle w:val="15"/>
              <w:spacing w:before="159" w:line="220" w:lineRule="auto"/>
              <w:ind w:left="588"/>
              <w:jc w:val="both"/>
              <w:rPr>
                <w:rFonts w:hint="default" w:ascii="Times New Roman" w:hAnsi="Times New Roman" w:cs="Times New Roman"/>
                <w:color w:val="auto"/>
                <w:sz w:val="16"/>
                <w:szCs w:val="16"/>
              </w:rPr>
            </w:pPr>
            <w:r>
              <w:rPr>
                <w:rFonts w:hint="default" w:ascii="Times New Roman" w:hAnsi="Times New Roman" w:cs="Times New Roman"/>
                <w:color w:val="auto"/>
                <w:spacing w:val="-9"/>
                <w:sz w:val="16"/>
                <w:szCs w:val="16"/>
              </w:rPr>
              <w:t>≥</w:t>
            </w:r>
            <w:r>
              <w:rPr>
                <w:rFonts w:hint="default" w:ascii="Times New Roman" w:hAnsi="Times New Roman" w:cs="Times New Roman"/>
                <w:color w:val="auto"/>
                <w:spacing w:val="17"/>
                <w:sz w:val="16"/>
                <w:szCs w:val="16"/>
              </w:rPr>
              <w:t xml:space="preserve">  </w:t>
            </w:r>
            <w:r>
              <w:rPr>
                <w:rFonts w:hint="default" w:ascii="Times New Roman" w:hAnsi="Times New Roman" w:cs="Times New Roman"/>
                <w:color w:val="auto"/>
                <w:spacing w:val="-9"/>
                <w:sz w:val="16"/>
                <w:szCs w:val="16"/>
              </w:rPr>
              <w:t>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814"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19" w:type="dxa"/>
            <w:vMerge w:val="continue"/>
            <w:tcBorders>
              <w:top w:val="nil"/>
              <w:bottom w:val="nil"/>
            </w:tcBorders>
            <w:textDirection w:val="tbRlV"/>
            <w:vAlign w:val="center"/>
          </w:tcPr>
          <w:p>
            <w:pPr>
              <w:pStyle w:val="15"/>
              <w:spacing w:before="57" w:line="216" w:lineRule="auto"/>
              <w:jc w:val="center"/>
              <w:rPr>
                <w:rFonts w:hint="default" w:ascii="Times New Roman" w:hAnsi="Times New Roman" w:cs="Times New Roman"/>
                <w:color w:val="auto"/>
                <w:sz w:val="16"/>
                <w:szCs w:val="16"/>
                <w:lang w:val="en-US" w:eastAsia="zh-CN"/>
              </w:rPr>
            </w:pPr>
          </w:p>
        </w:tc>
        <w:tc>
          <w:tcPr>
            <w:tcW w:w="1259" w:type="dxa"/>
            <w:vAlign w:val="center"/>
          </w:tcPr>
          <w:p>
            <w:pPr>
              <w:pStyle w:val="15"/>
              <w:spacing w:before="199"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质量指标</w:t>
            </w:r>
          </w:p>
        </w:tc>
        <w:tc>
          <w:tcPr>
            <w:tcW w:w="4495" w:type="dxa"/>
            <w:gridSpan w:val="3"/>
            <w:vAlign w:val="center"/>
          </w:tcPr>
          <w:p>
            <w:pPr>
              <w:pStyle w:val="15"/>
              <w:spacing w:before="199"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z w:val="16"/>
                <w:szCs w:val="16"/>
              </w:rPr>
              <w:t>用于农业生产救灾相关支出的比例</w:t>
            </w:r>
          </w:p>
        </w:tc>
        <w:tc>
          <w:tcPr>
            <w:tcW w:w="1863" w:type="dxa"/>
            <w:vAlign w:val="center"/>
          </w:tcPr>
          <w:p>
            <w:pPr>
              <w:pStyle w:val="15"/>
              <w:spacing w:before="241" w:line="184" w:lineRule="auto"/>
              <w:ind w:left="758"/>
              <w:jc w:val="both"/>
              <w:rPr>
                <w:rFonts w:hint="default" w:ascii="Times New Roman" w:hAnsi="Times New Roman" w:cs="Times New Roman"/>
                <w:color w:val="auto"/>
                <w:sz w:val="16"/>
                <w:szCs w:val="16"/>
              </w:rPr>
            </w:pPr>
            <w:r>
              <w:rPr>
                <w:rFonts w:hint="default" w:ascii="Times New Roman" w:hAnsi="Times New Roman" w:cs="Times New Roman"/>
                <w:color w:val="auto"/>
                <w:spacing w:val="-4"/>
                <w:sz w:val="16"/>
                <w:szCs w:val="16"/>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814"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19" w:type="dxa"/>
            <w:vMerge w:val="continue"/>
            <w:tcBorders>
              <w:top w:val="nil"/>
              <w:bottom w:val="nil"/>
            </w:tcBorders>
            <w:textDirection w:val="tbRlV"/>
            <w:vAlign w:val="center"/>
          </w:tcPr>
          <w:p>
            <w:pPr>
              <w:pStyle w:val="15"/>
              <w:spacing w:before="57" w:line="216" w:lineRule="auto"/>
              <w:jc w:val="center"/>
              <w:rPr>
                <w:rFonts w:hint="default" w:ascii="Times New Roman" w:hAnsi="Times New Roman" w:cs="Times New Roman"/>
                <w:color w:val="auto"/>
                <w:sz w:val="16"/>
                <w:szCs w:val="16"/>
                <w:lang w:val="en-US" w:eastAsia="zh-CN"/>
              </w:rPr>
            </w:pPr>
          </w:p>
        </w:tc>
        <w:tc>
          <w:tcPr>
            <w:tcW w:w="1259" w:type="dxa"/>
            <w:vMerge w:val="restart"/>
            <w:tcBorders>
              <w:bottom w:val="nil"/>
            </w:tcBorders>
            <w:vAlign w:val="center"/>
          </w:tcPr>
          <w:p>
            <w:pPr>
              <w:pStyle w:val="15"/>
              <w:spacing w:before="55"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时效指标</w:t>
            </w:r>
          </w:p>
        </w:tc>
        <w:tc>
          <w:tcPr>
            <w:tcW w:w="4495" w:type="dxa"/>
            <w:gridSpan w:val="3"/>
            <w:vAlign w:val="center"/>
          </w:tcPr>
          <w:p>
            <w:pPr>
              <w:pStyle w:val="15"/>
              <w:spacing w:before="200"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灾后生产恢复时效性</w:t>
            </w:r>
          </w:p>
        </w:tc>
        <w:tc>
          <w:tcPr>
            <w:tcW w:w="1863" w:type="dxa"/>
            <w:vAlign w:val="center"/>
          </w:tcPr>
          <w:p>
            <w:pPr>
              <w:pStyle w:val="15"/>
              <w:spacing w:before="200" w:line="219" w:lineRule="auto"/>
              <w:ind w:left="247"/>
              <w:jc w:val="both"/>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及时恢复正常生产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814"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19" w:type="dxa"/>
            <w:vMerge w:val="continue"/>
            <w:tcBorders>
              <w:top w:val="nil"/>
              <w:bottom w:val="nil"/>
            </w:tcBorders>
            <w:textDirection w:val="tbRlV"/>
            <w:vAlign w:val="center"/>
          </w:tcPr>
          <w:p>
            <w:pPr>
              <w:pStyle w:val="15"/>
              <w:spacing w:before="57" w:line="216" w:lineRule="auto"/>
              <w:jc w:val="center"/>
              <w:rPr>
                <w:rFonts w:hint="default" w:ascii="Times New Roman" w:hAnsi="Times New Roman" w:cs="Times New Roman"/>
                <w:color w:val="auto"/>
                <w:sz w:val="16"/>
                <w:szCs w:val="16"/>
                <w:lang w:val="en-US" w:eastAsia="zh-CN"/>
              </w:rPr>
            </w:pPr>
          </w:p>
        </w:tc>
        <w:tc>
          <w:tcPr>
            <w:tcW w:w="1259" w:type="dxa"/>
            <w:vMerge w:val="continue"/>
            <w:tcBorders>
              <w:top w:val="nil"/>
            </w:tcBorders>
            <w:vAlign w:val="center"/>
          </w:tcPr>
          <w:p>
            <w:pPr>
              <w:jc w:val="center"/>
              <w:rPr>
                <w:rFonts w:hint="default" w:ascii="Times New Roman" w:hAnsi="Times New Roman" w:cs="Times New Roman"/>
                <w:color w:val="auto"/>
                <w:sz w:val="16"/>
                <w:szCs w:val="16"/>
              </w:rPr>
            </w:pPr>
          </w:p>
        </w:tc>
        <w:tc>
          <w:tcPr>
            <w:tcW w:w="4495" w:type="dxa"/>
            <w:gridSpan w:val="3"/>
            <w:vAlign w:val="center"/>
          </w:tcPr>
          <w:p>
            <w:pPr>
              <w:pStyle w:val="15"/>
              <w:spacing w:before="200"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资金下达到省级6个月内预算执行率</w:t>
            </w:r>
          </w:p>
        </w:tc>
        <w:tc>
          <w:tcPr>
            <w:tcW w:w="1863" w:type="dxa"/>
            <w:vAlign w:val="center"/>
          </w:tcPr>
          <w:p>
            <w:pPr>
              <w:pStyle w:val="15"/>
              <w:spacing w:before="216" w:line="237" w:lineRule="auto"/>
              <w:ind w:left="668"/>
              <w:jc w:val="both"/>
              <w:rPr>
                <w:rFonts w:hint="default" w:ascii="Times New Roman" w:hAnsi="Times New Roman" w:cs="Times New Roman"/>
                <w:color w:val="auto"/>
                <w:sz w:val="16"/>
                <w:szCs w:val="16"/>
              </w:rPr>
            </w:pPr>
            <w:r>
              <w:rPr>
                <w:rFonts w:hint="default" w:ascii="Times New Roman" w:hAnsi="Times New Roman" w:cs="Times New Roman"/>
                <w:color w:val="auto"/>
                <w:spacing w:val="-12"/>
                <w:sz w:val="16"/>
                <w:szCs w:val="16"/>
              </w:rPr>
              <w:t>≥</w:t>
            </w:r>
            <w:r>
              <w:rPr>
                <w:rFonts w:hint="default" w:ascii="Times New Roman" w:hAnsi="Times New Roman" w:cs="Times New Roman"/>
                <w:color w:val="auto"/>
                <w:spacing w:val="9"/>
                <w:sz w:val="16"/>
                <w:szCs w:val="16"/>
              </w:rPr>
              <w:t xml:space="preserve">   </w:t>
            </w:r>
            <w:r>
              <w:rPr>
                <w:rFonts w:hint="default" w:ascii="Times New Roman" w:hAnsi="Times New Roman" w:cs="Times New Roman"/>
                <w:color w:val="auto"/>
                <w:spacing w:val="-12"/>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814"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19" w:type="dxa"/>
            <w:vMerge w:val="continue"/>
            <w:tcBorders>
              <w:top w:val="nil"/>
            </w:tcBorders>
            <w:textDirection w:val="tbRlV"/>
            <w:vAlign w:val="center"/>
          </w:tcPr>
          <w:p>
            <w:pPr>
              <w:pStyle w:val="15"/>
              <w:spacing w:before="57" w:line="216" w:lineRule="auto"/>
              <w:jc w:val="center"/>
              <w:rPr>
                <w:rFonts w:hint="default" w:ascii="Times New Roman" w:hAnsi="Times New Roman" w:cs="Times New Roman"/>
                <w:color w:val="auto"/>
                <w:sz w:val="16"/>
                <w:szCs w:val="16"/>
                <w:lang w:val="en-US" w:eastAsia="zh-CN"/>
              </w:rPr>
            </w:pPr>
          </w:p>
        </w:tc>
        <w:tc>
          <w:tcPr>
            <w:tcW w:w="1259" w:type="dxa"/>
            <w:vAlign w:val="center"/>
          </w:tcPr>
          <w:p>
            <w:pPr>
              <w:pStyle w:val="15"/>
              <w:spacing w:before="199"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成本指标</w:t>
            </w:r>
          </w:p>
        </w:tc>
        <w:tc>
          <w:tcPr>
            <w:tcW w:w="4495" w:type="dxa"/>
            <w:gridSpan w:val="3"/>
            <w:vAlign w:val="center"/>
          </w:tcPr>
          <w:p>
            <w:pPr>
              <w:pStyle w:val="15"/>
              <w:spacing w:before="199" w:line="218"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采购物资或服务价格</w:t>
            </w:r>
          </w:p>
        </w:tc>
        <w:tc>
          <w:tcPr>
            <w:tcW w:w="1863" w:type="dxa"/>
            <w:vAlign w:val="center"/>
          </w:tcPr>
          <w:p>
            <w:pPr>
              <w:pStyle w:val="15"/>
              <w:spacing w:before="199" w:line="218" w:lineRule="auto"/>
              <w:ind w:left="328"/>
              <w:jc w:val="both"/>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不超过市场价格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814"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19" w:type="dxa"/>
            <w:vMerge w:val="restart"/>
            <w:tcBorders>
              <w:bottom w:val="nil"/>
            </w:tcBorders>
            <w:vAlign w:val="center"/>
          </w:tcPr>
          <w:p>
            <w:pPr>
              <w:pStyle w:val="15"/>
              <w:spacing w:before="57" w:line="216" w:lineRule="auto"/>
              <w:jc w:val="center"/>
              <w:rPr>
                <w:rFonts w:hint="default" w:ascii="Times New Roman" w:hAnsi="Times New Roman" w:cs="Times New Roman"/>
                <w:color w:val="auto"/>
                <w:sz w:val="16"/>
                <w:szCs w:val="16"/>
                <w:lang w:val="en-US" w:eastAsia="zh-CN"/>
              </w:rPr>
            </w:pPr>
            <w:r>
              <w:rPr>
                <w:rFonts w:hint="eastAsia" w:ascii="Times New Roman" w:hAnsi="Times New Roman" w:cs="Times New Roman"/>
                <w:color w:val="auto"/>
                <w:sz w:val="16"/>
                <w:szCs w:val="16"/>
                <w:lang w:val="en-US" w:eastAsia="zh-CN"/>
              </w:rPr>
              <w:t>效益指标</w:t>
            </w:r>
          </w:p>
        </w:tc>
        <w:tc>
          <w:tcPr>
            <w:tcW w:w="1259" w:type="dxa"/>
            <w:vAlign w:val="center"/>
          </w:tcPr>
          <w:p>
            <w:pPr>
              <w:pStyle w:val="15"/>
              <w:spacing w:before="202"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经济效益指标</w:t>
            </w:r>
          </w:p>
        </w:tc>
        <w:tc>
          <w:tcPr>
            <w:tcW w:w="4495" w:type="dxa"/>
            <w:gridSpan w:val="3"/>
            <w:vAlign w:val="center"/>
          </w:tcPr>
          <w:p>
            <w:pPr>
              <w:pStyle w:val="15"/>
              <w:spacing w:before="200" w:line="218"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受灾地区主要农作物单产减幅</w:t>
            </w:r>
          </w:p>
        </w:tc>
        <w:tc>
          <w:tcPr>
            <w:tcW w:w="1863" w:type="dxa"/>
            <w:vAlign w:val="center"/>
          </w:tcPr>
          <w:p>
            <w:pPr>
              <w:pStyle w:val="15"/>
              <w:spacing w:before="217" w:line="236" w:lineRule="auto"/>
              <w:ind w:left="668"/>
              <w:jc w:val="both"/>
              <w:rPr>
                <w:rFonts w:hint="default" w:ascii="Times New Roman" w:hAnsi="Times New Roman" w:cs="Times New Roman"/>
                <w:color w:val="auto"/>
                <w:sz w:val="16"/>
                <w:szCs w:val="16"/>
              </w:rPr>
            </w:pPr>
            <w:r>
              <w:rPr>
                <w:rFonts w:hint="default" w:ascii="Times New Roman" w:hAnsi="Times New Roman" w:cs="Times New Roman"/>
                <w:color w:val="auto"/>
                <w:spacing w:val="-10"/>
                <w:sz w:val="16"/>
                <w:szCs w:val="16"/>
              </w:rPr>
              <w:t>≤</w:t>
            </w:r>
            <w:r>
              <w:rPr>
                <w:rFonts w:hint="default" w:ascii="Times New Roman" w:hAnsi="Times New Roman" w:cs="Times New Roman"/>
                <w:color w:val="auto"/>
                <w:spacing w:val="8"/>
                <w:sz w:val="16"/>
                <w:szCs w:val="16"/>
              </w:rPr>
              <w:t xml:space="preserve">   </w:t>
            </w:r>
            <w:r>
              <w:rPr>
                <w:rFonts w:hint="default" w:ascii="Times New Roman" w:hAnsi="Times New Roman" w:cs="Times New Roman"/>
                <w:color w:val="auto"/>
                <w:spacing w:val="-10"/>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814"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19"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1259" w:type="dxa"/>
            <w:vAlign w:val="center"/>
          </w:tcPr>
          <w:p>
            <w:pPr>
              <w:pStyle w:val="15"/>
              <w:spacing w:before="200"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社会效益指标</w:t>
            </w:r>
          </w:p>
        </w:tc>
        <w:tc>
          <w:tcPr>
            <w:tcW w:w="4495" w:type="dxa"/>
            <w:gridSpan w:val="3"/>
            <w:vAlign w:val="center"/>
          </w:tcPr>
          <w:p>
            <w:pPr>
              <w:pStyle w:val="15"/>
              <w:spacing w:before="202"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灾区农业生产秩序恢复</w:t>
            </w:r>
          </w:p>
        </w:tc>
        <w:tc>
          <w:tcPr>
            <w:tcW w:w="1863" w:type="dxa"/>
            <w:vAlign w:val="center"/>
          </w:tcPr>
          <w:p>
            <w:pPr>
              <w:pStyle w:val="15"/>
              <w:spacing w:before="200" w:line="219" w:lineRule="auto"/>
              <w:ind w:left="588"/>
              <w:jc w:val="both"/>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基本恢复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814"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19"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1259" w:type="dxa"/>
            <w:vAlign w:val="center"/>
          </w:tcPr>
          <w:p>
            <w:pPr>
              <w:pStyle w:val="15"/>
              <w:spacing w:before="213" w:line="220"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生态效益指标</w:t>
            </w:r>
          </w:p>
        </w:tc>
        <w:tc>
          <w:tcPr>
            <w:tcW w:w="4495" w:type="dxa"/>
            <w:gridSpan w:val="3"/>
            <w:vAlign w:val="center"/>
          </w:tcPr>
          <w:p>
            <w:pPr>
              <w:pStyle w:val="15"/>
              <w:spacing w:before="213"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灾区生产能力恢复</w:t>
            </w:r>
          </w:p>
        </w:tc>
        <w:tc>
          <w:tcPr>
            <w:tcW w:w="1863" w:type="dxa"/>
            <w:vAlign w:val="center"/>
          </w:tcPr>
          <w:p>
            <w:pPr>
              <w:pStyle w:val="15"/>
              <w:spacing w:before="211" w:line="219" w:lineRule="auto"/>
              <w:ind w:left="588"/>
              <w:jc w:val="both"/>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基本恢复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814"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19"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1259" w:type="dxa"/>
            <w:vMerge w:val="restart"/>
            <w:tcBorders>
              <w:bottom w:val="nil"/>
            </w:tcBorders>
            <w:vAlign w:val="center"/>
          </w:tcPr>
          <w:p>
            <w:pPr>
              <w:pStyle w:val="15"/>
              <w:spacing w:before="55" w:line="208" w:lineRule="auto"/>
              <w:ind w:right="124"/>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可持续影响指</w:t>
            </w:r>
            <w:r>
              <w:rPr>
                <w:rFonts w:hint="default" w:ascii="Times New Roman" w:hAnsi="Times New Roman" w:cs="Times New Roman"/>
                <w:color w:val="auto"/>
                <w:sz w:val="16"/>
                <w:szCs w:val="16"/>
              </w:rPr>
              <w:t>标</w:t>
            </w:r>
          </w:p>
        </w:tc>
        <w:tc>
          <w:tcPr>
            <w:tcW w:w="4495" w:type="dxa"/>
            <w:gridSpan w:val="3"/>
            <w:vAlign w:val="center"/>
          </w:tcPr>
          <w:p>
            <w:pPr>
              <w:pStyle w:val="15"/>
              <w:spacing w:before="204"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稳定受灾农作物播种面积</w:t>
            </w:r>
          </w:p>
        </w:tc>
        <w:tc>
          <w:tcPr>
            <w:tcW w:w="1863" w:type="dxa"/>
            <w:vAlign w:val="center"/>
          </w:tcPr>
          <w:p>
            <w:pPr>
              <w:pStyle w:val="15"/>
              <w:spacing w:before="204" w:line="219" w:lineRule="auto"/>
              <w:ind w:left="588"/>
              <w:jc w:val="both"/>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保持稳定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jc w:val="center"/>
        </w:trPr>
        <w:tc>
          <w:tcPr>
            <w:tcW w:w="814" w:type="dxa"/>
            <w:vMerge w:val="continue"/>
            <w:tcBorders>
              <w:top w:val="nil"/>
              <w:bottom w:val="nil"/>
            </w:tcBorders>
            <w:textDirection w:val="tbRlV"/>
            <w:vAlign w:val="center"/>
          </w:tcPr>
          <w:p>
            <w:pPr>
              <w:jc w:val="center"/>
              <w:rPr>
                <w:rFonts w:hint="default" w:ascii="Times New Roman" w:hAnsi="Times New Roman" w:cs="Times New Roman"/>
                <w:color w:val="auto"/>
                <w:sz w:val="16"/>
                <w:szCs w:val="16"/>
              </w:rPr>
            </w:pPr>
          </w:p>
        </w:tc>
        <w:tc>
          <w:tcPr>
            <w:tcW w:w="919" w:type="dxa"/>
            <w:vMerge w:val="continue"/>
            <w:tcBorders>
              <w:top w:val="nil"/>
            </w:tcBorders>
            <w:textDirection w:val="tbRlV"/>
            <w:vAlign w:val="center"/>
          </w:tcPr>
          <w:p>
            <w:pPr>
              <w:jc w:val="center"/>
              <w:rPr>
                <w:rFonts w:hint="default" w:ascii="Times New Roman" w:hAnsi="Times New Roman" w:cs="Times New Roman"/>
                <w:color w:val="auto"/>
                <w:sz w:val="16"/>
                <w:szCs w:val="16"/>
              </w:rPr>
            </w:pPr>
          </w:p>
        </w:tc>
        <w:tc>
          <w:tcPr>
            <w:tcW w:w="1259" w:type="dxa"/>
            <w:vMerge w:val="continue"/>
            <w:tcBorders>
              <w:top w:val="nil"/>
            </w:tcBorders>
            <w:vAlign w:val="center"/>
          </w:tcPr>
          <w:p>
            <w:pPr>
              <w:jc w:val="center"/>
              <w:rPr>
                <w:rFonts w:hint="default" w:ascii="Times New Roman" w:hAnsi="Times New Roman" w:cs="Times New Roman"/>
                <w:color w:val="auto"/>
                <w:sz w:val="16"/>
                <w:szCs w:val="16"/>
              </w:rPr>
            </w:pPr>
          </w:p>
        </w:tc>
        <w:tc>
          <w:tcPr>
            <w:tcW w:w="4495" w:type="dxa"/>
            <w:gridSpan w:val="3"/>
            <w:vAlign w:val="center"/>
          </w:tcPr>
          <w:p>
            <w:pPr>
              <w:pStyle w:val="15"/>
              <w:spacing w:before="205"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稳定农民生产积极性</w:t>
            </w:r>
          </w:p>
        </w:tc>
        <w:tc>
          <w:tcPr>
            <w:tcW w:w="1863" w:type="dxa"/>
            <w:vAlign w:val="center"/>
          </w:tcPr>
          <w:p>
            <w:pPr>
              <w:pStyle w:val="15"/>
              <w:spacing w:before="205" w:line="219" w:lineRule="auto"/>
              <w:ind w:left="588"/>
              <w:jc w:val="both"/>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保持稳定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814" w:type="dxa"/>
            <w:vMerge w:val="continue"/>
            <w:tcBorders>
              <w:top w:val="nil"/>
            </w:tcBorders>
            <w:textDirection w:val="tbRlV"/>
            <w:vAlign w:val="center"/>
          </w:tcPr>
          <w:p>
            <w:pPr>
              <w:jc w:val="center"/>
              <w:rPr>
                <w:rFonts w:hint="default" w:ascii="Times New Roman" w:hAnsi="Times New Roman" w:cs="Times New Roman"/>
                <w:color w:val="auto"/>
                <w:sz w:val="16"/>
                <w:szCs w:val="16"/>
              </w:rPr>
            </w:pPr>
          </w:p>
        </w:tc>
        <w:tc>
          <w:tcPr>
            <w:tcW w:w="919" w:type="dxa"/>
            <w:vAlign w:val="center"/>
          </w:tcPr>
          <w:p>
            <w:pPr>
              <w:pStyle w:val="15"/>
              <w:spacing w:before="106"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满意度</w:t>
            </w:r>
            <w:r>
              <w:rPr>
                <w:rFonts w:hint="default" w:ascii="Times New Roman" w:hAnsi="Times New Roman" w:cs="Times New Roman"/>
                <w:color w:val="auto"/>
                <w:spacing w:val="-3"/>
                <w:sz w:val="16"/>
                <w:szCs w:val="16"/>
              </w:rPr>
              <w:t>指标</w:t>
            </w:r>
          </w:p>
        </w:tc>
        <w:tc>
          <w:tcPr>
            <w:tcW w:w="1259" w:type="dxa"/>
            <w:vAlign w:val="center"/>
          </w:tcPr>
          <w:p>
            <w:pPr>
              <w:pStyle w:val="15"/>
              <w:spacing w:before="146" w:line="218" w:lineRule="auto"/>
              <w:ind w:right="124"/>
              <w:jc w:val="center"/>
              <w:rPr>
                <w:rFonts w:hint="default" w:ascii="Times New Roman" w:hAnsi="Times New Roman" w:cs="Times New Roman"/>
                <w:color w:val="auto"/>
                <w:sz w:val="16"/>
                <w:szCs w:val="16"/>
              </w:rPr>
            </w:pPr>
            <w:r>
              <w:rPr>
                <w:rFonts w:hint="default" w:ascii="Times New Roman" w:hAnsi="Times New Roman" w:cs="Times New Roman"/>
                <w:color w:val="auto"/>
                <w:spacing w:val="-2"/>
                <w:sz w:val="16"/>
                <w:szCs w:val="16"/>
              </w:rPr>
              <w:t>技术指导对象满意度指标</w:t>
            </w:r>
          </w:p>
        </w:tc>
        <w:tc>
          <w:tcPr>
            <w:tcW w:w="4495" w:type="dxa"/>
            <w:gridSpan w:val="3"/>
            <w:vAlign w:val="center"/>
          </w:tcPr>
          <w:p>
            <w:pPr>
              <w:pStyle w:val="15"/>
              <w:spacing w:before="206" w:line="219" w:lineRule="auto"/>
              <w:jc w:val="center"/>
              <w:rPr>
                <w:rFonts w:hint="default" w:ascii="Times New Roman" w:hAnsi="Times New Roman" w:cs="Times New Roman"/>
                <w:color w:val="auto"/>
                <w:sz w:val="16"/>
                <w:szCs w:val="16"/>
              </w:rPr>
            </w:pPr>
            <w:r>
              <w:rPr>
                <w:rFonts w:hint="default" w:ascii="Times New Roman" w:hAnsi="Times New Roman" w:cs="Times New Roman"/>
                <w:color w:val="auto"/>
                <w:spacing w:val="-1"/>
                <w:sz w:val="16"/>
                <w:szCs w:val="16"/>
              </w:rPr>
              <w:t>指导服务对象满意度</w:t>
            </w:r>
          </w:p>
        </w:tc>
        <w:tc>
          <w:tcPr>
            <w:tcW w:w="1863" w:type="dxa"/>
            <w:vAlign w:val="center"/>
          </w:tcPr>
          <w:p>
            <w:pPr>
              <w:pStyle w:val="15"/>
              <w:spacing w:before="222" w:line="237" w:lineRule="auto"/>
              <w:ind w:left="708"/>
              <w:jc w:val="both"/>
              <w:rPr>
                <w:rFonts w:hint="default" w:ascii="Times New Roman" w:hAnsi="Times New Roman" w:cs="Times New Roman"/>
                <w:color w:val="auto"/>
                <w:sz w:val="16"/>
                <w:szCs w:val="16"/>
              </w:rPr>
            </w:pPr>
            <w:r>
              <w:rPr>
                <w:rFonts w:hint="default" w:ascii="Times New Roman" w:hAnsi="Times New Roman" w:cs="Times New Roman"/>
                <w:color w:val="auto"/>
                <w:spacing w:val="-5"/>
                <w:sz w:val="16"/>
                <w:szCs w:val="16"/>
              </w:rPr>
              <w:t>≥85%</w:t>
            </w:r>
          </w:p>
        </w:tc>
      </w:tr>
    </w:tbl>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楷体" w:cs="Times New Roman"/>
          <w:b/>
          <w:bCs/>
          <w:color w:val="auto"/>
          <w:sz w:val="32"/>
          <w:szCs w:val="36"/>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21" w:line="240" w:lineRule="atLeast"/>
        <w:jc w:val="center"/>
        <w:textAlignment w:val="auto"/>
        <w:outlineLvl w:val="0"/>
        <w:rPr>
          <w:rFonts w:hint="default" w:ascii="Times New Roman" w:hAnsi="Times New Roman" w:eastAsia="宋体" w:cs="Times New Roman"/>
          <w:color w:val="auto"/>
          <w:sz w:val="28"/>
          <w:szCs w:val="28"/>
        </w:rPr>
      </w:pPr>
      <w:r>
        <w:rPr>
          <w:rFonts w:hint="default" w:ascii="Times New Roman" w:hAnsi="Times New Roman" w:eastAsia="宋体" w:cs="Times New Roman"/>
          <w:b/>
          <w:bCs/>
          <w:color w:val="auto"/>
          <w:spacing w:val="-3"/>
          <w:sz w:val="28"/>
          <w:szCs w:val="28"/>
        </w:rPr>
        <w:t>农业防灾减灾和水利救灾资金</w:t>
      </w:r>
      <w:r>
        <w:rPr>
          <w:rFonts w:hint="default" w:ascii="Times New Roman" w:hAnsi="Times New Roman" w:eastAsia="宋体" w:cs="Times New Roman"/>
          <w:b/>
          <w:bCs/>
          <w:color w:val="auto"/>
          <w:spacing w:val="-3"/>
          <w:sz w:val="28"/>
          <w:szCs w:val="28"/>
          <w:lang w:eastAsia="zh-CN"/>
        </w:rPr>
        <w:t>（</w:t>
      </w:r>
      <w:r>
        <w:rPr>
          <w:rFonts w:hint="default" w:ascii="Times New Roman" w:hAnsi="Times New Roman" w:eastAsia="宋体" w:cs="Times New Roman"/>
          <w:b/>
          <w:bCs/>
          <w:color w:val="auto"/>
          <w:spacing w:val="-3"/>
          <w:sz w:val="28"/>
          <w:szCs w:val="28"/>
          <w:lang w:val="en-US" w:eastAsia="zh-CN"/>
        </w:rPr>
        <w:t>第十一批</w:t>
      </w:r>
      <w:r>
        <w:rPr>
          <w:rFonts w:hint="default" w:ascii="Times New Roman" w:hAnsi="Times New Roman" w:eastAsia="宋体" w:cs="Times New Roman"/>
          <w:b/>
          <w:bCs/>
          <w:color w:val="auto"/>
          <w:spacing w:val="-3"/>
          <w:sz w:val="28"/>
          <w:szCs w:val="28"/>
          <w:lang w:eastAsia="zh-CN"/>
        </w:rPr>
        <w:t>）</w:t>
      </w:r>
      <w:r>
        <w:rPr>
          <w:rFonts w:hint="default" w:ascii="Times New Roman" w:hAnsi="Times New Roman" w:eastAsia="宋体" w:cs="Times New Roman"/>
          <w:b/>
          <w:bCs/>
          <w:color w:val="auto"/>
          <w:spacing w:val="-3"/>
          <w:sz w:val="28"/>
          <w:szCs w:val="28"/>
        </w:rPr>
        <w:t>区域绩效目标备案表</w:t>
      </w:r>
    </w:p>
    <w:tbl>
      <w:tblPr>
        <w:tblStyle w:val="12"/>
        <w:tblW w:w="10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2"/>
        <w:gridCol w:w="1833"/>
        <w:gridCol w:w="2114"/>
        <w:gridCol w:w="3217"/>
        <w:gridCol w:w="1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292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专项（项目）名称</w:t>
            </w:r>
          </w:p>
        </w:tc>
        <w:tc>
          <w:tcPr>
            <w:tcW w:w="715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农业防灾减灾和水利救灾资金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292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中央主管部门</w:t>
            </w:r>
          </w:p>
        </w:tc>
        <w:tc>
          <w:tcPr>
            <w:tcW w:w="21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农业农村部</w:t>
            </w:r>
          </w:p>
        </w:tc>
        <w:tc>
          <w:tcPr>
            <w:tcW w:w="32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专项实施期</w:t>
            </w:r>
          </w:p>
        </w:tc>
        <w:tc>
          <w:tcPr>
            <w:tcW w:w="1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jc w:val="center"/>
        </w:trPr>
        <w:tc>
          <w:tcPr>
            <w:tcW w:w="292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省级财政部门</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新疆维吾尔自治区财政厅</w:t>
            </w:r>
          </w:p>
        </w:tc>
        <w:tc>
          <w:tcPr>
            <w:tcW w:w="32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省级主管部门</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新疆维吾尔自治区农业农村厅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资金情况（万元）</w:t>
            </w:r>
          </w:p>
        </w:tc>
        <w:tc>
          <w:tcPr>
            <w:tcW w:w="18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年度金额总额</w:t>
            </w:r>
          </w:p>
        </w:tc>
        <w:tc>
          <w:tcPr>
            <w:tcW w:w="715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lang w:val="en-US"/>
              </w:rPr>
            </w:pPr>
            <w:r>
              <w:rPr>
                <w:rFonts w:hint="default" w:ascii="Times New Roman" w:hAnsi="Times New Roman" w:eastAsia="宋体" w:cs="Times New Roman"/>
                <w:i w:val="0"/>
                <w:iCs w:val="0"/>
                <w:snapToGrid w:val="0"/>
                <w:color w:val="auto"/>
                <w:kern w:val="0"/>
                <w:sz w:val="16"/>
                <w:szCs w:val="16"/>
                <w:u w:val="none"/>
                <w:lang w:val="en-US" w:eastAsia="zh-CN" w:bidi="ar"/>
              </w:rPr>
              <w:t>9620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16"/>
                <w:szCs w:val="16"/>
                <w:u w:val="none"/>
              </w:rPr>
            </w:pPr>
          </w:p>
        </w:tc>
        <w:tc>
          <w:tcPr>
            <w:tcW w:w="18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其中：中央补助</w:t>
            </w:r>
          </w:p>
        </w:tc>
        <w:tc>
          <w:tcPr>
            <w:tcW w:w="715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lang w:val="en-US"/>
              </w:rPr>
            </w:pPr>
            <w:r>
              <w:rPr>
                <w:rFonts w:hint="default" w:ascii="Times New Roman" w:hAnsi="Times New Roman" w:eastAsia="宋体" w:cs="Times New Roman"/>
                <w:i w:val="0"/>
                <w:iCs w:val="0"/>
                <w:snapToGrid w:val="0"/>
                <w:color w:val="auto"/>
                <w:kern w:val="0"/>
                <w:sz w:val="16"/>
                <w:szCs w:val="16"/>
                <w:u w:val="none"/>
                <w:lang w:val="en-US" w:eastAsia="zh-CN" w:bidi="ar"/>
              </w:rPr>
              <w:t>9620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16"/>
                <w:szCs w:val="16"/>
                <w:u w:val="none"/>
              </w:rPr>
            </w:pPr>
          </w:p>
        </w:tc>
        <w:tc>
          <w:tcPr>
            <w:tcW w:w="18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地方资金</w:t>
            </w:r>
          </w:p>
        </w:tc>
        <w:tc>
          <w:tcPr>
            <w:tcW w:w="715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年度目标</w:t>
            </w:r>
          </w:p>
        </w:tc>
        <w:tc>
          <w:tcPr>
            <w:tcW w:w="898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6"/>
                <w:szCs w:val="16"/>
                <w:u w:val="none"/>
              </w:rPr>
            </w:pPr>
            <w:r>
              <w:rPr>
                <w:rStyle w:val="24"/>
                <w:rFonts w:hint="default" w:ascii="Times New Roman" w:hAnsi="Times New Roman" w:eastAsia="宋体" w:cs="Times New Roman"/>
                <w:snapToGrid w:val="0"/>
                <w:color w:val="auto"/>
                <w:sz w:val="16"/>
                <w:szCs w:val="16"/>
                <w:lang w:val="en-US" w:eastAsia="zh-CN" w:bidi="ar"/>
              </w:rPr>
              <w:t>目标：通过使用救灾资金，调运和储备饲草料，减少灾害损失，确保全年畜牧业生产稳定。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绩效指标</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一级指标</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二级指标</w:t>
            </w:r>
          </w:p>
        </w:tc>
        <w:tc>
          <w:tcPr>
            <w:tcW w:w="3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三级指标</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18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产出指标</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数量指标</w:t>
            </w:r>
          </w:p>
        </w:tc>
        <w:tc>
          <w:tcPr>
            <w:tcW w:w="3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调运和储备饲草料</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Fonts w:hint="default" w:ascii="Times New Roman" w:hAnsi="Times New Roman" w:eastAsia="宋体" w:cs="Times New Roman"/>
                <w:b w:val="0"/>
                <w:bCs w:val="0"/>
                <w:i w:val="0"/>
                <w:iCs w:val="0"/>
                <w:snapToGrid w:val="0"/>
                <w:color w:val="auto"/>
                <w:kern w:val="0"/>
                <w:sz w:val="16"/>
                <w:szCs w:val="16"/>
                <w:u w:val="none"/>
                <w:lang w:val="en-US" w:eastAsia="zh-CN" w:bidi="ar"/>
              </w:rPr>
              <w:t xml:space="preserve">≥ </w:t>
            </w:r>
            <w:r>
              <w:rPr>
                <w:rStyle w:val="18"/>
                <w:rFonts w:hint="default" w:ascii="Times New Roman" w:hAnsi="Times New Roman" w:eastAsia="宋体" w:cs="Times New Roman"/>
                <w:b w:val="0"/>
                <w:bCs w:val="0"/>
                <w:snapToGrid w:val="0"/>
                <w:color w:val="auto"/>
                <w:sz w:val="16"/>
                <w:szCs w:val="16"/>
                <w:lang w:val="en-US" w:eastAsia="zh-CN" w:bidi="ar"/>
              </w:rPr>
              <w:t>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18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质量指标</w:t>
            </w:r>
          </w:p>
        </w:tc>
        <w:tc>
          <w:tcPr>
            <w:tcW w:w="3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用于农业防灾减灾救灾相关支出的比例</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Fonts w:hint="default" w:ascii="Times New Roman" w:hAnsi="Times New Roman" w:eastAsia="宋体" w:cs="Times New Roman"/>
                <w:b w:val="0"/>
                <w:bCs w:val="0"/>
                <w:i w:val="0"/>
                <w:iCs w:val="0"/>
                <w:snapToGrid w:val="0"/>
                <w:color w:val="auto"/>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18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时效指标</w:t>
            </w:r>
          </w:p>
        </w:tc>
        <w:tc>
          <w:tcPr>
            <w:tcW w:w="3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8"/>
                <w:rFonts w:hint="default" w:ascii="Times New Roman" w:hAnsi="Times New Roman" w:eastAsia="宋体" w:cs="Times New Roman"/>
                <w:b w:val="0"/>
                <w:bCs w:val="0"/>
                <w:snapToGrid w:val="0"/>
                <w:color w:val="auto"/>
                <w:sz w:val="16"/>
                <w:szCs w:val="16"/>
                <w:lang w:val="en-US" w:eastAsia="zh-CN" w:bidi="ar"/>
              </w:rPr>
            </w:pPr>
            <w:r>
              <w:rPr>
                <w:rStyle w:val="18"/>
                <w:rFonts w:hint="default" w:ascii="Times New Roman" w:hAnsi="Times New Roman" w:eastAsia="宋体" w:cs="Times New Roman"/>
                <w:b w:val="0"/>
                <w:bCs w:val="0"/>
                <w:snapToGrid w:val="0"/>
                <w:color w:val="auto"/>
                <w:sz w:val="16"/>
                <w:szCs w:val="16"/>
                <w:lang w:val="en-US" w:eastAsia="zh-CN" w:bidi="ar"/>
              </w:rPr>
              <w:t>救灾资金下达到省3个月内预算执行率</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8"/>
                <w:rFonts w:hint="default" w:ascii="Times New Roman" w:hAnsi="Times New Roman" w:eastAsia="宋体" w:cs="Times New Roman"/>
                <w:b w:val="0"/>
                <w:bCs w:val="0"/>
                <w:snapToGrid w:val="0"/>
                <w:color w:val="auto"/>
                <w:sz w:val="16"/>
                <w:szCs w:val="16"/>
                <w:lang w:val="en-US" w:eastAsia="zh-CN" w:bidi="ar"/>
              </w:rPr>
            </w:pPr>
            <w:r>
              <w:rPr>
                <w:rStyle w:val="18"/>
                <w:rFonts w:hint="default" w:ascii="Times New Roman" w:hAnsi="Times New Roman" w:eastAsia="宋体" w:cs="Times New Roman"/>
                <w:b w:val="0"/>
                <w:bCs w:val="0"/>
                <w:snapToGrid w:val="0"/>
                <w:color w:val="auto"/>
                <w:sz w:val="16"/>
                <w:szCs w:val="16"/>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18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成本指标</w:t>
            </w:r>
          </w:p>
        </w:tc>
        <w:tc>
          <w:tcPr>
            <w:tcW w:w="3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8"/>
                <w:rFonts w:hint="default" w:ascii="Times New Roman" w:hAnsi="Times New Roman" w:eastAsia="宋体" w:cs="Times New Roman"/>
                <w:b w:val="0"/>
                <w:bCs w:val="0"/>
                <w:snapToGrid w:val="0"/>
                <w:color w:val="auto"/>
                <w:sz w:val="16"/>
                <w:szCs w:val="16"/>
                <w:lang w:val="en-US" w:eastAsia="zh-CN" w:bidi="ar"/>
              </w:rPr>
            </w:pPr>
            <w:r>
              <w:rPr>
                <w:rStyle w:val="18"/>
                <w:rFonts w:hint="default" w:ascii="Times New Roman" w:hAnsi="Times New Roman" w:eastAsia="宋体" w:cs="Times New Roman"/>
                <w:b w:val="0"/>
                <w:bCs w:val="0"/>
                <w:snapToGrid w:val="0"/>
                <w:color w:val="auto"/>
                <w:sz w:val="16"/>
                <w:szCs w:val="16"/>
                <w:lang w:val="en-US" w:eastAsia="zh-CN" w:bidi="ar"/>
              </w:rPr>
              <w:t>采购物资或服务价格</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8"/>
                <w:rFonts w:hint="default" w:ascii="Times New Roman" w:hAnsi="Times New Roman" w:eastAsia="宋体" w:cs="Times New Roman"/>
                <w:b w:val="0"/>
                <w:bCs w:val="0"/>
                <w:snapToGrid w:val="0"/>
                <w:color w:val="auto"/>
                <w:sz w:val="16"/>
                <w:szCs w:val="16"/>
                <w:lang w:val="en-US" w:eastAsia="zh-CN" w:bidi="ar"/>
              </w:rPr>
            </w:pPr>
            <w:r>
              <w:rPr>
                <w:rStyle w:val="18"/>
                <w:rFonts w:hint="default" w:ascii="Times New Roman" w:hAnsi="Times New Roman" w:eastAsia="宋体" w:cs="Times New Roman"/>
                <w:b w:val="0"/>
                <w:bCs w:val="0"/>
                <w:snapToGrid w:val="0"/>
                <w:color w:val="auto"/>
                <w:sz w:val="16"/>
                <w:szCs w:val="16"/>
                <w:lang w:val="en-US" w:eastAsia="zh-CN" w:bidi="ar"/>
              </w:rPr>
              <w:t>不超过市场价格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183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效益指标</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经济效益指标</w:t>
            </w:r>
          </w:p>
        </w:tc>
        <w:tc>
          <w:tcPr>
            <w:tcW w:w="3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受灾地区主要畜产品存栏量减幅</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重灾区少减产、轻灾区不减产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183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社会效益指标</w:t>
            </w:r>
          </w:p>
        </w:tc>
        <w:tc>
          <w:tcPr>
            <w:tcW w:w="3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lang w:val="en-US"/>
              </w:rPr>
            </w:pPr>
            <w:r>
              <w:rPr>
                <w:rStyle w:val="18"/>
                <w:rFonts w:hint="default" w:ascii="Times New Roman" w:hAnsi="Times New Roman" w:eastAsia="宋体" w:cs="Times New Roman"/>
                <w:b w:val="0"/>
                <w:bCs w:val="0"/>
                <w:snapToGrid w:val="0"/>
                <w:color w:val="auto"/>
                <w:sz w:val="16"/>
                <w:szCs w:val="16"/>
                <w:lang w:val="en-US" w:eastAsia="zh-CN" w:bidi="ar"/>
              </w:rPr>
              <w:t>灾区畜牧业生产秩序恢复</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lang w:val="en-US"/>
              </w:rPr>
            </w:pPr>
            <w:r>
              <w:rPr>
                <w:rStyle w:val="18"/>
                <w:rFonts w:hint="default" w:ascii="Times New Roman" w:hAnsi="Times New Roman" w:eastAsia="宋体" w:cs="Times New Roman"/>
                <w:b w:val="0"/>
                <w:bCs w:val="0"/>
                <w:snapToGrid w:val="0"/>
                <w:color w:val="auto"/>
                <w:sz w:val="16"/>
                <w:szCs w:val="16"/>
                <w:lang w:val="en-US" w:eastAsia="zh-CN" w:bidi="ar"/>
              </w:rPr>
              <w:t>基本恢复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183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生态效益指标</w:t>
            </w:r>
          </w:p>
        </w:tc>
        <w:tc>
          <w:tcPr>
            <w:tcW w:w="3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灾区畜牧业生产能力恢复</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基本恢复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1833"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211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可持续影响指标</w:t>
            </w:r>
          </w:p>
        </w:tc>
        <w:tc>
          <w:tcPr>
            <w:tcW w:w="3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稳定农（牧）民畜牧业生产积极性</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lang w:val="en-US"/>
              </w:rPr>
            </w:pPr>
            <w:r>
              <w:rPr>
                <w:rStyle w:val="18"/>
                <w:rFonts w:hint="default" w:ascii="Times New Roman" w:hAnsi="Times New Roman" w:eastAsia="宋体" w:cs="Times New Roman"/>
                <w:b w:val="0"/>
                <w:bCs w:val="0"/>
                <w:snapToGrid w:val="0"/>
                <w:color w:val="auto"/>
                <w:sz w:val="16"/>
                <w:szCs w:val="16"/>
                <w:lang w:val="en-US" w:eastAsia="zh-CN" w:bidi="ar"/>
              </w:rPr>
              <w:t>保持稳定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1833"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211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8"/>
                <w:rFonts w:hint="default" w:ascii="Times New Roman" w:hAnsi="Times New Roman" w:eastAsia="宋体" w:cs="Times New Roman"/>
                <w:b w:val="0"/>
                <w:bCs w:val="0"/>
                <w:snapToGrid w:val="0"/>
                <w:color w:val="auto"/>
                <w:sz w:val="16"/>
                <w:szCs w:val="16"/>
                <w:lang w:val="en-US" w:eastAsia="zh-CN" w:bidi="ar"/>
              </w:rPr>
            </w:pPr>
          </w:p>
        </w:tc>
        <w:tc>
          <w:tcPr>
            <w:tcW w:w="3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8"/>
                <w:rFonts w:hint="default" w:ascii="Times New Roman" w:hAnsi="Times New Roman" w:eastAsia="宋体" w:cs="Times New Roman"/>
                <w:b w:val="0"/>
                <w:bCs w:val="0"/>
                <w:snapToGrid w:val="0"/>
                <w:color w:val="auto"/>
                <w:sz w:val="16"/>
                <w:szCs w:val="16"/>
                <w:lang w:val="en-US" w:eastAsia="zh-CN" w:bidi="ar"/>
              </w:rPr>
            </w:pPr>
            <w:r>
              <w:rPr>
                <w:rStyle w:val="18"/>
                <w:rFonts w:hint="default" w:ascii="Times New Roman" w:hAnsi="Times New Roman" w:eastAsia="宋体" w:cs="Times New Roman"/>
                <w:b w:val="0"/>
                <w:bCs w:val="0"/>
                <w:snapToGrid w:val="0"/>
                <w:color w:val="auto"/>
                <w:sz w:val="16"/>
                <w:szCs w:val="16"/>
                <w:lang w:val="en-US" w:eastAsia="zh-CN" w:bidi="ar"/>
              </w:rPr>
              <w:t>保证主要畜禽存栏量稳定</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8"/>
                <w:rFonts w:hint="default" w:ascii="Times New Roman" w:hAnsi="Times New Roman" w:eastAsia="宋体" w:cs="Times New Roman"/>
                <w:b w:val="0"/>
                <w:bCs w:val="0"/>
                <w:snapToGrid w:val="0"/>
                <w:color w:val="auto"/>
                <w:sz w:val="16"/>
                <w:szCs w:val="16"/>
                <w:lang w:val="en-US" w:eastAsia="zh-CN" w:bidi="ar"/>
              </w:rPr>
            </w:pPr>
            <w:r>
              <w:rPr>
                <w:rStyle w:val="18"/>
                <w:rFonts w:hint="default" w:ascii="Times New Roman" w:hAnsi="Times New Roman" w:eastAsia="宋体" w:cs="Times New Roman"/>
                <w:b w:val="0"/>
                <w:bCs w:val="0"/>
                <w:snapToGrid w:val="0"/>
                <w:color w:val="auto"/>
                <w:sz w:val="16"/>
                <w:szCs w:val="16"/>
                <w:lang w:val="en-US" w:eastAsia="zh-CN" w:bidi="ar"/>
              </w:rPr>
              <w:t>保持稳定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auto"/>
                <w:sz w:val="16"/>
                <w:szCs w:val="16"/>
                <w:u w:val="none"/>
              </w:rPr>
            </w:pP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满意度指标</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Style w:val="18"/>
                <w:rFonts w:hint="default" w:ascii="Times New Roman" w:hAnsi="Times New Roman" w:eastAsia="宋体" w:cs="Times New Roman"/>
                <w:b w:val="0"/>
                <w:bCs w:val="0"/>
                <w:snapToGrid w:val="0"/>
                <w:color w:val="auto"/>
                <w:sz w:val="16"/>
                <w:szCs w:val="16"/>
                <w:lang w:val="en-US" w:eastAsia="zh-CN" w:bidi="ar"/>
              </w:rPr>
              <w:t>技术指导对象满意度指标</w:t>
            </w:r>
          </w:p>
        </w:tc>
        <w:tc>
          <w:tcPr>
            <w:tcW w:w="3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lang w:val="en-US"/>
              </w:rPr>
            </w:pPr>
            <w:r>
              <w:rPr>
                <w:rStyle w:val="18"/>
                <w:rFonts w:hint="default" w:ascii="Times New Roman" w:hAnsi="Times New Roman" w:eastAsia="宋体" w:cs="Times New Roman"/>
                <w:b w:val="0"/>
                <w:bCs w:val="0"/>
                <w:snapToGrid w:val="0"/>
                <w:color w:val="auto"/>
                <w:sz w:val="16"/>
                <w:szCs w:val="16"/>
                <w:lang w:val="en-US" w:eastAsia="zh-CN" w:bidi="ar"/>
              </w:rPr>
              <w:t>指导服务对象满意度</w:t>
            </w:r>
          </w:p>
        </w:tc>
        <w:tc>
          <w:tcPr>
            <w:tcW w:w="1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6"/>
                <w:szCs w:val="16"/>
                <w:u w:val="none"/>
              </w:rPr>
            </w:pPr>
            <w:r>
              <w:rPr>
                <w:rFonts w:hint="default" w:ascii="Times New Roman" w:hAnsi="Times New Roman" w:eastAsia="宋体" w:cs="Times New Roman"/>
                <w:b w:val="0"/>
                <w:bCs w:val="0"/>
                <w:i w:val="0"/>
                <w:iCs w:val="0"/>
                <w:snapToGrid w:val="0"/>
                <w:color w:val="auto"/>
                <w:kern w:val="0"/>
                <w:sz w:val="16"/>
                <w:szCs w:val="16"/>
                <w:u w:val="none"/>
                <w:lang w:val="en-US" w:eastAsia="zh-CN" w:bidi="ar"/>
              </w:rPr>
              <w:t>≥85%</w:t>
            </w:r>
          </w:p>
        </w:tc>
      </w:tr>
    </w:tbl>
    <w:p>
      <w:pPr>
        <w:pStyle w:val="10"/>
        <w:rPr>
          <w:rFonts w:hint="default" w:ascii="Times New Roman" w:hAnsi="Times New Roman" w:cs="Times New Roman"/>
          <w:color w:val="auto"/>
        </w:rPr>
        <w:sectPr>
          <w:pgSz w:w="11906" w:h="16838"/>
          <w:pgMar w:top="1440" w:right="1800" w:bottom="1440" w:left="1800" w:header="851" w:footer="992" w:gutter="0"/>
          <w:pgNumType w:fmt="decimal"/>
          <w:cols w:space="425" w:num="1"/>
          <w:docGrid w:type="lines" w:linePitch="312" w:charSpace="0"/>
        </w:sectPr>
      </w:pPr>
    </w:p>
    <w:p>
      <w:pPr>
        <w:pStyle w:val="10"/>
        <w:rPr>
          <w:rFonts w:hint="default" w:ascii="Times New Roman" w:hAnsi="Times New Roman" w:cs="Times New Roman"/>
          <w:color w:val="auto"/>
        </w:rPr>
      </w:pPr>
      <w:r>
        <w:rPr>
          <w:rFonts w:hint="eastAsia" w:asciiTheme="minorEastAsia" w:hAnsiTheme="minorEastAsia" w:eastAsiaTheme="minorEastAsia" w:cstheme="minorEastAsia"/>
          <w:b/>
          <w:bCs/>
          <w:i w:val="0"/>
          <w:color w:val="000000"/>
          <w:kern w:val="0"/>
          <w:sz w:val="28"/>
          <w:szCs w:val="28"/>
          <w:u w:val="none"/>
          <w:lang w:val="en-US" w:eastAsia="zh-CN" w:bidi="ar"/>
        </w:rPr>
        <w:t>农业防灾减灾和水利救灾资金（动物防疫补助）区域绩效目标表</w:t>
      </w:r>
    </w:p>
    <w:tbl>
      <w:tblPr>
        <w:tblStyle w:val="12"/>
        <w:tblW w:w="9792" w:type="dxa"/>
        <w:tblInd w:w="-942" w:type="dxa"/>
        <w:shd w:val="clear" w:color="auto" w:fill="auto"/>
        <w:tblLayout w:type="fixed"/>
        <w:tblCellMar>
          <w:top w:w="0" w:type="dxa"/>
          <w:left w:w="0" w:type="dxa"/>
          <w:bottom w:w="0" w:type="dxa"/>
          <w:right w:w="0" w:type="dxa"/>
        </w:tblCellMar>
      </w:tblPr>
      <w:tblGrid>
        <w:gridCol w:w="1857"/>
        <w:gridCol w:w="960"/>
        <w:gridCol w:w="1065"/>
        <w:gridCol w:w="3690"/>
        <w:gridCol w:w="2220"/>
      </w:tblGrid>
      <w:tr>
        <w:tblPrEx>
          <w:tblCellMar>
            <w:top w:w="0" w:type="dxa"/>
            <w:left w:w="0" w:type="dxa"/>
            <w:bottom w:w="0" w:type="dxa"/>
            <w:right w:w="0" w:type="dxa"/>
          </w:tblCellMar>
        </w:tblPrEx>
        <w:trPr>
          <w:trHeight w:val="522" w:hRule="atLeast"/>
        </w:trPr>
        <w:tc>
          <w:tcPr>
            <w:tcW w:w="75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资金名称</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动物防疫等补助经费</w:t>
            </w:r>
          </w:p>
        </w:tc>
      </w:tr>
      <w:tr>
        <w:tblPrEx>
          <w:shd w:val="clear" w:color="auto" w:fill="auto"/>
          <w:tblCellMar>
            <w:top w:w="0" w:type="dxa"/>
            <w:left w:w="0" w:type="dxa"/>
            <w:bottom w:w="0" w:type="dxa"/>
            <w:right w:w="0" w:type="dxa"/>
          </w:tblCellMar>
        </w:tblPrEx>
        <w:trPr>
          <w:trHeight w:val="522" w:hRule="atLeast"/>
        </w:trPr>
        <w:tc>
          <w:tcPr>
            <w:tcW w:w="75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中央主管部门</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财政部、农业农村部</w:t>
            </w:r>
          </w:p>
        </w:tc>
      </w:tr>
      <w:tr>
        <w:tblPrEx>
          <w:shd w:val="clear" w:color="auto" w:fill="auto"/>
          <w:tblCellMar>
            <w:top w:w="0" w:type="dxa"/>
            <w:left w:w="0" w:type="dxa"/>
            <w:bottom w:w="0" w:type="dxa"/>
            <w:right w:w="0" w:type="dxa"/>
          </w:tblCellMar>
        </w:tblPrEx>
        <w:trPr>
          <w:trHeight w:val="522" w:hRule="atLeast"/>
        </w:trPr>
        <w:tc>
          <w:tcPr>
            <w:tcW w:w="75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省级财政部门</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新疆维吾尔自治区财政厅</w:t>
            </w:r>
          </w:p>
        </w:tc>
      </w:tr>
      <w:tr>
        <w:tblPrEx>
          <w:shd w:val="clear" w:color="auto" w:fill="auto"/>
          <w:tblCellMar>
            <w:top w:w="0" w:type="dxa"/>
            <w:left w:w="0" w:type="dxa"/>
            <w:bottom w:w="0" w:type="dxa"/>
            <w:right w:w="0" w:type="dxa"/>
          </w:tblCellMar>
        </w:tblPrEx>
        <w:trPr>
          <w:trHeight w:val="720" w:hRule="atLeast"/>
        </w:trPr>
        <w:tc>
          <w:tcPr>
            <w:tcW w:w="757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省级主管部门</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新疆维吾尔自治区畜牧兽医局</w:t>
            </w:r>
          </w:p>
        </w:tc>
      </w:tr>
      <w:tr>
        <w:tblPrEx>
          <w:shd w:val="clear" w:color="auto" w:fill="auto"/>
          <w:tblCellMar>
            <w:top w:w="0" w:type="dxa"/>
            <w:left w:w="0" w:type="dxa"/>
            <w:bottom w:w="0" w:type="dxa"/>
            <w:right w:w="0" w:type="dxa"/>
          </w:tblCellMar>
        </w:tblPrEx>
        <w:trPr>
          <w:trHeight w:val="379" w:hRule="atLeast"/>
        </w:trPr>
        <w:tc>
          <w:tcPr>
            <w:tcW w:w="18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资金</w:t>
            </w:r>
            <w:r>
              <w:rPr>
                <w:rFonts w:hint="default" w:ascii="Times New Roman" w:hAnsi="Times New Roman" w:cs="Times New Roman" w:eastAsiaTheme="minorEastAsia"/>
                <w:i w:val="0"/>
                <w:color w:val="000000"/>
                <w:kern w:val="0"/>
                <w:sz w:val="16"/>
                <w:szCs w:val="16"/>
                <w:u w:val="none"/>
                <w:lang w:val="en-US" w:eastAsia="zh-CN" w:bidi="ar"/>
              </w:rPr>
              <w:br w:type="textWrapping"/>
            </w:r>
            <w:r>
              <w:rPr>
                <w:rFonts w:hint="default" w:ascii="Times New Roman" w:hAnsi="Times New Roman" w:cs="Times New Roman" w:eastAsiaTheme="minorEastAsia"/>
                <w:i w:val="0"/>
                <w:color w:val="000000"/>
                <w:kern w:val="0"/>
                <w:sz w:val="16"/>
                <w:szCs w:val="16"/>
                <w:u w:val="none"/>
                <w:lang w:val="en-US" w:eastAsia="zh-CN" w:bidi="ar"/>
              </w:rPr>
              <w:t>情况</w:t>
            </w:r>
          </w:p>
        </w:tc>
        <w:tc>
          <w:tcPr>
            <w:tcW w:w="57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年度金额（万元）：</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r>
      <w:tr>
        <w:tblPrEx>
          <w:shd w:val="clear" w:color="auto" w:fill="auto"/>
          <w:tblCellMar>
            <w:top w:w="0" w:type="dxa"/>
            <w:left w:w="0" w:type="dxa"/>
            <w:bottom w:w="0" w:type="dxa"/>
            <w:right w:w="0" w:type="dxa"/>
          </w:tblCellMar>
        </w:tblPrEx>
        <w:trPr>
          <w:trHeight w:val="379"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57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其中：中央补助</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29972</w:t>
            </w:r>
          </w:p>
        </w:tc>
      </w:tr>
      <w:tr>
        <w:tblPrEx>
          <w:shd w:val="clear" w:color="auto" w:fill="auto"/>
          <w:tblCellMar>
            <w:top w:w="0" w:type="dxa"/>
            <w:left w:w="0" w:type="dxa"/>
            <w:bottom w:w="0" w:type="dxa"/>
            <w:right w:w="0" w:type="dxa"/>
          </w:tblCellMar>
        </w:tblPrEx>
        <w:trPr>
          <w:trHeight w:val="379"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57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 xml:space="preserve">     地方资金</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r>
      <w:tr>
        <w:tblPrEx>
          <w:shd w:val="clear" w:color="auto" w:fill="auto"/>
          <w:tblCellMar>
            <w:top w:w="0" w:type="dxa"/>
            <w:left w:w="0" w:type="dxa"/>
            <w:bottom w:w="0" w:type="dxa"/>
            <w:right w:w="0" w:type="dxa"/>
          </w:tblCellMar>
        </w:tblPrEx>
        <w:trPr>
          <w:trHeight w:val="379" w:hRule="atLeast"/>
        </w:trPr>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年度目标</w:t>
            </w:r>
          </w:p>
        </w:tc>
        <w:tc>
          <w:tcPr>
            <w:tcW w:w="7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根据相关规划或实施方案，结合地方实际开展强制免疫、强制扑杀和销毁以及养殖环节无害化处理等方面工作。</w:t>
            </w:r>
          </w:p>
        </w:tc>
      </w:tr>
      <w:tr>
        <w:tblPrEx>
          <w:shd w:val="clear" w:color="auto" w:fill="auto"/>
          <w:tblCellMar>
            <w:top w:w="0" w:type="dxa"/>
            <w:left w:w="0" w:type="dxa"/>
            <w:bottom w:w="0" w:type="dxa"/>
            <w:right w:w="0" w:type="dxa"/>
          </w:tblCellMar>
        </w:tblPrEx>
        <w:trPr>
          <w:trHeight w:val="702" w:hRule="atLeast"/>
        </w:trPr>
        <w:tc>
          <w:tcPr>
            <w:tcW w:w="1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一级指标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二级指标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三级指标</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指标值</w:t>
            </w:r>
          </w:p>
        </w:tc>
      </w:tr>
      <w:tr>
        <w:tblPrEx>
          <w:shd w:val="clear" w:color="auto" w:fill="auto"/>
          <w:tblCellMar>
            <w:top w:w="0" w:type="dxa"/>
            <w:left w:w="0" w:type="dxa"/>
            <w:bottom w:w="0" w:type="dxa"/>
            <w:right w:w="0" w:type="dxa"/>
          </w:tblCellMar>
        </w:tblPrEx>
        <w:trPr>
          <w:trHeight w:val="499" w:hRule="atLeast"/>
        </w:trPr>
        <w:tc>
          <w:tcPr>
            <w:tcW w:w="18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绩效目标</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产出指标</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数量指标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强制免疫病种应免畜禽的免疫密度</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≥90%</w:t>
            </w:r>
          </w:p>
        </w:tc>
      </w:tr>
      <w:tr>
        <w:tblPrEx>
          <w:shd w:val="clear" w:color="auto" w:fill="auto"/>
          <w:tblCellMar>
            <w:top w:w="0" w:type="dxa"/>
            <w:left w:w="0" w:type="dxa"/>
            <w:bottom w:w="0" w:type="dxa"/>
            <w:right w:w="0" w:type="dxa"/>
          </w:tblCellMar>
        </w:tblPrEx>
        <w:trPr>
          <w:trHeight w:val="499"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强制扑杀补助数量（头、只）</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14104</w:t>
            </w:r>
          </w:p>
        </w:tc>
      </w:tr>
      <w:tr>
        <w:tblPrEx>
          <w:shd w:val="clear" w:color="auto" w:fill="auto"/>
          <w:tblCellMar>
            <w:top w:w="0" w:type="dxa"/>
            <w:left w:w="0" w:type="dxa"/>
            <w:bottom w:w="0" w:type="dxa"/>
            <w:right w:w="0" w:type="dxa"/>
          </w:tblCellMar>
        </w:tblPrEx>
        <w:trPr>
          <w:trHeight w:val="499"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强制扑杀补助数量（羽）</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w:t>
            </w:r>
          </w:p>
        </w:tc>
      </w:tr>
      <w:tr>
        <w:tblPrEx>
          <w:shd w:val="clear" w:color="auto" w:fill="auto"/>
          <w:tblCellMar>
            <w:top w:w="0" w:type="dxa"/>
            <w:left w:w="0" w:type="dxa"/>
            <w:bottom w:w="0" w:type="dxa"/>
            <w:right w:w="0" w:type="dxa"/>
          </w:tblCellMar>
        </w:tblPrEx>
        <w:trPr>
          <w:trHeight w:val="499"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养殖环节病死猪无害化处理补助头数（头）</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180048</w:t>
            </w:r>
          </w:p>
        </w:tc>
      </w:tr>
      <w:tr>
        <w:tblPrEx>
          <w:shd w:val="clear" w:color="auto" w:fill="auto"/>
          <w:tblCellMar>
            <w:top w:w="0" w:type="dxa"/>
            <w:left w:w="0" w:type="dxa"/>
            <w:bottom w:w="0" w:type="dxa"/>
            <w:right w:w="0" w:type="dxa"/>
          </w:tblCellMar>
        </w:tblPrEx>
        <w:trPr>
          <w:trHeight w:val="499"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完成包虫病疫区犬的驱虫数量（万只）</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51.36</w:t>
            </w:r>
          </w:p>
        </w:tc>
      </w:tr>
      <w:tr>
        <w:tblPrEx>
          <w:shd w:val="clear" w:color="auto" w:fill="auto"/>
          <w:tblCellMar>
            <w:top w:w="0" w:type="dxa"/>
            <w:left w:w="0" w:type="dxa"/>
            <w:bottom w:w="0" w:type="dxa"/>
            <w:right w:w="0" w:type="dxa"/>
          </w:tblCellMar>
        </w:tblPrEx>
        <w:trPr>
          <w:trHeight w:val="90"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质量指标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依法对重大动物疫情处置率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720"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免疫质量和免疫效果（除布病外其他病种的平均免疫抗体合格率）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≥70%</w:t>
            </w:r>
          </w:p>
        </w:tc>
      </w:tr>
      <w:tr>
        <w:tblPrEx>
          <w:shd w:val="clear" w:color="auto" w:fill="auto"/>
          <w:tblCellMar>
            <w:top w:w="0" w:type="dxa"/>
            <w:left w:w="0" w:type="dxa"/>
            <w:bottom w:w="0" w:type="dxa"/>
            <w:right w:w="0" w:type="dxa"/>
          </w:tblCellMar>
        </w:tblPrEx>
        <w:trPr>
          <w:trHeight w:val="605"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时效指标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重大动物疫情及时报告率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720"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效益指标</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社会效益</w:t>
            </w:r>
            <w:r>
              <w:rPr>
                <w:rFonts w:hint="default" w:ascii="Times New Roman" w:hAnsi="Times New Roman" w:cs="Times New Roman" w:eastAsiaTheme="minorEastAsia"/>
                <w:i w:val="0"/>
                <w:color w:val="000000"/>
                <w:kern w:val="0"/>
                <w:sz w:val="16"/>
                <w:szCs w:val="16"/>
                <w:u w:val="none"/>
                <w:lang w:val="en-US" w:eastAsia="zh-CN" w:bidi="ar"/>
              </w:rPr>
              <w:br w:type="textWrapping"/>
            </w:r>
            <w:r>
              <w:rPr>
                <w:rFonts w:hint="default" w:ascii="Times New Roman" w:hAnsi="Times New Roman" w:cs="Times New Roman" w:eastAsiaTheme="minorEastAsia"/>
                <w:i w:val="0"/>
                <w:color w:val="000000"/>
                <w:kern w:val="0"/>
                <w:sz w:val="16"/>
                <w:szCs w:val="16"/>
                <w:u w:val="none"/>
                <w:lang w:val="en-US" w:eastAsia="zh-CN" w:bidi="ar"/>
              </w:rPr>
              <w:t>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口蹄疫、高致病性禽流感、布病、包虫病等优先防治病种防治工作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疫情保持平稳</w:t>
            </w:r>
          </w:p>
        </w:tc>
      </w:tr>
      <w:tr>
        <w:tblPrEx>
          <w:shd w:val="clear" w:color="auto" w:fill="auto"/>
          <w:tblCellMar>
            <w:top w:w="0" w:type="dxa"/>
            <w:left w:w="0" w:type="dxa"/>
            <w:bottom w:w="0" w:type="dxa"/>
            <w:right w:w="0" w:type="dxa"/>
          </w:tblCellMar>
        </w:tblPrEx>
        <w:trPr>
          <w:trHeight w:val="499"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资金使用重大违规违纪问题</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9"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生态效益</w:t>
            </w:r>
            <w:r>
              <w:rPr>
                <w:rFonts w:hint="default" w:ascii="Times New Roman" w:hAnsi="Times New Roman" w:cs="Times New Roman" w:eastAsiaTheme="minorEastAsia"/>
                <w:i w:val="0"/>
                <w:color w:val="000000"/>
                <w:kern w:val="0"/>
                <w:sz w:val="16"/>
                <w:szCs w:val="16"/>
                <w:u w:val="none"/>
                <w:lang w:val="en-US" w:eastAsia="zh-CN" w:bidi="ar"/>
              </w:rPr>
              <w:br w:type="textWrapping"/>
            </w:r>
            <w:r>
              <w:rPr>
                <w:rFonts w:hint="default" w:ascii="Times New Roman" w:hAnsi="Times New Roman" w:cs="Times New Roman" w:eastAsiaTheme="minorEastAsia"/>
                <w:i w:val="0"/>
                <w:color w:val="000000"/>
                <w:kern w:val="0"/>
                <w:sz w:val="16"/>
                <w:szCs w:val="16"/>
                <w:u w:val="none"/>
                <w:lang w:val="en-US" w:eastAsia="zh-CN" w:bidi="ar"/>
              </w:rPr>
              <w:t>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大规模随意抛弃病死猪事件发生率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0</w:t>
            </w:r>
          </w:p>
        </w:tc>
      </w:tr>
      <w:tr>
        <w:tblPrEx>
          <w:shd w:val="clear" w:color="auto" w:fill="auto"/>
          <w:tblCellMar>
            <w:top w:w="0" w:type="dxa"/>
            <w:left w:w="0" w:type="dxa"/>
            <w:bottom w:w="0" w:type="dxa"/>
            <w:right w:w="0" w:type="dxa"/>
          </w:tblCellMar>
        </w:tblPrEx>
        <w:trPr>
          <w:trHeight w:val="499" w:hRule="atLeast"/>
        </w:trPr>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cs="Times New Roman" w:eastAsiaTheme="minorEastAsia"/>
                <w:i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满意度</w:t>
            </w:r>
            <w:r>
              <w:rPr>
                <w:rFonts w:hint="default" w:ascii="Times New Roman" w:hAnsi="Times New Roman" w:cs="Times New Roman" w:eastAsiaTheme="minorEastAsia"/>
                <w:i w:val="0"/>
                <w:color w:val="000000"/>
                <w:kern w:val="0"/>
                <w:sz w:val="16"/>
                <w:szCs w:val="16"/>
                <w:u w:val="none"/>
                <w:lang w:val="en-US" w:eastAsia="zh-CN" w:bidi="ar"/>
              </w:rPr>
              <w:br w:type="textWrapping"/>
            </w:r>
            <w:r>
              <w:rPr>
                <w:rFonts w:hint="default" w:ascii="Times New Roman" w:hAnsi="Times New Roman" w:cs="Times New Roman" w:eastAsiaTheme="minorEastAsia"/>
                <w:i w:val="0"/>
                <w:color w:val="000000"/>
                <w:kern w:val="0"/>
                <w:sz w:val="16"/>
                <w:szCs w:val="16"/>
                <w:u w:val="none"/>
                <w:lang w:val="en-US" w:eastAsia="zh-CN" w:bidi="ar"/>
              </w:rPr>
              <w:t>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服务对象满意度指标</w:t>
            </w:r>
          </w:p>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补助对象对政策实施的满意度</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≥90%</w:t>
            </w:r>
          </w:p>
        </w:tc>
      </w:tr>
    </w:tbl>
    <w:p>
      <w:pPr>
        <w:pStyle w:val="10"/>
        <w:rPr>
          <w:rFonts w:hint="default" w:ascii="Times New Roman" w:hAnsi="Times New Roman" w:cs="Times New Roman"/>
          <w:color w:val="auto"/>
        </w:rPr>
        <w:sectPr>
          <w:pgSz w:w="11906" w:h="16838"/>
          <w:pgMar w:top="1440" w:right="1800" w:bottom="1440" w:left="1800" w:header="851" w:footer="992" w:gutter="0"/>
          <w:pgNumType w:fmt="decimal"/>
          <w:cols w:space="425" w:num="1"/>
          <w:docGrid w:type="lines" w:linePitch="312" w:charSpace="0"/>
        </w:sectPr>
      </w:pP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6"/>
        </w:rPr>
        <w:t>（二）</w:t>
      </w:r>
      <w:r>
        <w:rPr>
          <w:rFonts w:hint="default" w:ascii="Times New Roman" w:hAnsi="Times New Roman" w:eastAsia="楷体" w:cs="Times New Roman"/>
          <w:b/>
          <w:bCs/>
          <w:color w:val="auto"/>
          <w:sz w:val="32"/>
          <w:szCs w:val="32"/>
        </w:rPr>
        <w:t>自治区</w:t>
      </w:r>
      <w:r>
        <w:rPr>
          <w:rFonts w:hint="default" w:ascii="Times New Roman" w:hAnsi="Times New Roman" w:eastAsia="楷体" w:cs="Times New Roman"/>
          <w:b/>
          <w:bCs/>
          <w:color w:val="auto"/>
          <w:sz w:val="32"/>
          <w:szCs w:val="36"/>
        </w:rPr>
        <w:t>分解下达预算和</w:t>
      </w:r>
      <w:r>
        <w:rPr>
          <w:rFonts w:hint="default" w:ascii="Times New Roman" w:hAnsi="Times New Roman" w:eastAsia="楷体" w:cs="Times New Roman"/>
          <w:b/>
          <w:bCs/>
          <w:color w:val="auto"/>
          <w:sz w:val="32"/>
          <w:szCs w:val="32"/>
        </w:rPr>
        <w:t>绩效目标情况</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楷体" w:cs="Times New Roman"/>
          <w:b/>
          <w:bCs/>
          <w:color w:val="auto"/>
          <w:sz w:val="32"/>
          <w:szCs w:val="32"/>
        </w:rPr>
        <w:t>1.</w:t>
      </w:r>
      <w:r>
        <w:rPr>
          <w:rFonts w:hint="default" w:ascii="Times New Roman" w:hAnsi="Times New Roman" w:eastAsia="仿宋_GB2312" w:cs="Times New Roman"/>
          <w:b/>
          <w:bCs/>
          <w:color w:val="auto"/>
          <w:sz w:val="32"/>
          <w:szCs w:val="32"/>
        </w:rPr>
        <w:t>分解下达</w:t>
      </w:r>
      <w:r>
        <w:rPr>
          <w:rFonts w:hint="default" w:ascii="Times New Roman" w:hAnsi="Times New Roman" w:eastAsia="仿宋_GB2312" w:cs="Times New Roman"/>
          <w:b/>
          <w:bCs/>
          <w:color w:val="auto"/>
          <w:sz w:val="32"/>
          <w:szCs w:val="32"/>
          <w:lang w:val="en-US" w:eastAsia="zh-CN"/>
        </w:rPr>
        <w:t>中央</w:t>
      </w:r>
      <w:r>
        <w:rPr>
          <w:rFonts w:hint="default" w:ascii="Times New Roman" w:hAnsi="Times New Roman" w:eastAsia="仿宋_GB2312" w:cs="Times New Roman"/>
          <w:b/>
          <w:bCs/>
          <w:color w:val="auto"/>
          <w:sz w:val="32"/>
          <w:szCs w:val="32"/>
        </w:rPr>
        <w:t>预算情况</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2023年5月25日</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rPr>
        <w:t>自治区财政厅下发《关于下达2023年中央农业防灾减灾和水利救灾资金（动物防疫补助）预算的通知》（新财农〔2023〕31号）下达资金29972</w:t>
      </w:r>
      <w:r>
        <w:rPr>
          <w:rFonts w:hint="eastAsia" w:ascii="Times New Roman" w:hAnsi="Times New Roman" w:cs="Times New Roman"/>
          <w:color w:val="auto"/>
          <w:sz w:val="32"/>
          <w:szCs w:val="32"/>
          <w:lang w:val="en-US" w:eastAsia="zh-CN"/>
        </w:rPr>
        <w:t>万元。</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2023年5月25日</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rPr>
        <w:t>自治区财政厅下发</w:t>
      </w:r>
      <w:r>
        <w:rPr>
          <w:rFonts w:hint="default" w:ascii="Times New Roman" w:hAnsi="Times New Roman" w:cs="Times New Roman"/>
          <w:color w:val="auto"/>
          <w:sz w:val="32"/>
          <w:szCs w:val="32"/>
          <w:lang w:val="en-US" w:eastAsia="zh-CN"/>
        </w:rPr>
        <w:t>《关于下达2023年中央农业防灾减灾和水利救灾资金预算</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防灾救灾第一批</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的通知》（新财农〔2023〕39号）</w:t>
      </w:r>
      <w:r>
        <w:rPr>
          <w:rFonts w:hint="default" w:ascii="Times New Roman" w:hAnsi="Times New Roman" w:eastAsia="仿宋_GB2312" w:cs="Times New Roman"/>
          <w:color w:val="auto"/>
          <w:sz w:val="32"/>
          <w:szCs w:val="32"/>
        </w:rPr>
        <w:t>下达资金1330</w:t>
      </w:r>
      <w:r>
        <w:rPr>
          <w:rFonts w:hint="default" w:ascii="Times New Roman" w:hAnsi="Times New Roman" w:cs="Times New Roman"/>
          <w:color w:val="auto"/>
          <w:sz w:val="32"/>
          <w:szCs w:val="32"/>
          <w:lang w:val="en-US" w:eastAsia="zh-CN"/>
        </w:rPr>
        <w:t>万元。</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2023年</w:t>
      </w:r>
      <w:r>
        <w:rPr>
          <w:rFonts w:hint="default" w:ascii="Times New Roman" w:hAnsi="Times New Roman"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月</w:t>
      </w:r>
      <w:r>
        <w:rPr>
          <w:rFonts w:hint="default"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日</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rPr>
        <w:t>自治区财政厅下发</w:t>
      </w:r>
      <w:r>
        <w:rPr>
          <w:rFonts w:hint="default" w:ascii="Times New Roman" w:hAnsi="Times New Roman" w:cs="Times New Roman"/>
          <w:color w:val="auto"/>
          <w:sz w:val="32"/>
          <w:szCs w:val="32"/>
          <w:lang w:val="en-US" w:eastAsia="zh-CN"/>
        </w:rPr>
        <w:t>《关于下达2023年中央农业防灾减灾和水利救灾资金预算</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防灾救灾第四批</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的通知》（新财农〔2023〕56号）下达资金2140万元。</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2023年12月29日，自治区财政厅下发《关于下达 2023年中央农业防灾减灾和水利救灾资金预算</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防灾救灾第十一批</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的通知》（新财农〔2023〕117号）</w:t>
      </w:r>
      <w:r>
        <w:rPr>
          <w:rFonts w:hint="default" w:ascii="Times New Roman" w:hAnsi="Times New Roman" w:eastAsia="仿宋_GB2312" w:cs="Times New Roman"/>
          <w:color w:val="auto"/>
          <w:sz w:val="32"/>
          <w:szCs w:val="32"/>
        </w:rPr>
        <w:t>下达资金</w:t>
      </w:r>
      <w:r>
        <w:rPr>
          <w:rFonts w:hint="default" w:ascii="Times New Roman" w:hAnsi="Times New Roman" w:cs="Times New Roman"/>
          <w:color w:val="auto"/>
          <w:sz w:val="32"/>
          <w:szCs w:val="32"/>
          <w:lang w:val="en-US" w:eastAsia="zh-CN"/>
        </w:rPr>
        <w:t>9620万元。</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sz w:val="32"/>
          <w:szCs w:val="32"/>
          <w:lang w:eastAsia="zh-CN"/>
        </w:rPr>
      </w:pPr>
      <w:r>
        <w:rPr>
          <w:rFonts w:hint="default" w:ascii="Times New Roman" w:hAnsi="Times New Roman" w:eastAsia="仿宋_GB2312" w:cs="Times New Roman"/>
          <w:color w:val="auto"/>
          <w:sz w:val="32"/>
          <w:szCs w:val="32"/>
        </w:rPr>
        <w:t>资金分解情况详见下表</w:t>
      </w:r>
      <w:r>
        <w:rPr>
          <w:rFonts w:hint="default" w:ascii="Times New Roman" w:hAnsi="Times New Roman" w:cs="Times New Roman"/>
          <w:color w:val="auto"/>
          <w:sz w:val="32"/>
          <w:szCs w:val="32"/>
          <w:lang w:eastAsia="zh-CN"/>
        </w:rPr>
        <w:t>：</w:t>
      </w:r>
    </w:p>
    <w:p>
      <w:pPr>
        <w:pStyle w:val="17"/>
        <w:ind w:firstLine="481" w:firstLineChars="200"/>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202</w:t>
      </w:r>
      <w:r>
        <w:rPr>
          <w:rFonts w:hint="default" w:ascii="Times New Roman" w:hAnsi="Times New Roman" w:cs="Times New Roman"/>
          <w:b/>
          <w:bCs/>
          <w:color w:val="auto"/>
          <w:sz w:val="24"/>
          <w:lang w:val="en-US" w:eastAsia="zh-CN"/>
        </w:rPr>
        <w:t>3</w:t>
      </w:r>
      <w:r>
        <w:rPr>
          <w:rFonts w:hint="default" w:ascii="Times New Roman" w:hAnsi="Times New Roman" w:cs="Times New Roman"/>
          <w:b/>
          <w:bCs/>
          <w:color w:val="auto"/>
          <w:sz w:val="24"/>
        </w:rPr>
        <w:t>年</w:t>
      </w:r>
      <w:r>
        <w:rPr>
          <w:rFonts w:hint="default" w:ascii="Times New Roman" w:hAnsi="Times New Roman" w:cs="Times New Roman"/>
          <w:b/>
          <w:bCs/>
          <w:color w:val="auto"/>
          <w:sz w:val="24"/>
          <w:lang w:eastAsia="zh-CN"/>
        </w:rPr>
        <w:t>农业</w:t>
      </w:r>
      <w:r>
        <w:rPr>
          <w:rFonts w:hint="default" w:ascii="Times New Roman" w:hAnsi="Times New Roman" w:cs="Times New Roman"/>
          <w:b/>
          <w:bCs/>
          <w:color w:val="auto"/>
          <w:sz w:val="24"/>
          <w:lang w:val="en-US" w:eastAsia="zh-CN"/>
        </w:rPr>
        <w:t>防灾减灾</w:t>
      </w:r>
      <w:r>
        <w:rPr>
          <w:rFonts w:hint="default" w:ascii="Times New Roman" w:hAnsi="Times New Roman" w:cs="Times New Roman"/>
          <w:b/>
          <w:bCs/>
          <w:color w:val="auto"/>
          <w:sz w:val="24"/>
        </w:rPr>
        <w:t>资金分配表</w:t>
      </w:r>
    </w:p>
    <w:p>
      <w:pPr>
        <w:pStyle w:val="17"/>
        <w:ind w:firstLine="361" w:firstLineChars="200"/>
        <w:jc w:val="right"/>
        <w:rPr>
          <w:rFonts w:hint="default" w:ascii="Times New Roman" w:hAnsi="Times New Roman" w:cs="Times New Roman"/>
          <w:b/>
          <w:bCs/>
          <w:color w:val="auto"/>
          <w:sz w:val="18"/>
          <w:szCs w:val="16"/>
          <w:lang w:val="en-US" w:eastAsia="zh-CN"/>
        </w:rPr>
      </w:pPr>
      <w:r>
        <w:rPr>
          <w:rFonts w:hint="default" w:ascii="Times New Roman" w:hAnsi="Times New Roman" w:cs="Times New Roman"/>
          <w:b/>
          <w:bCs/>
          <w:color w:val="auto"/>
          <w:sz w:val="18"/>
          <w:szCs w:val="16"/>
          <w:lang w:val="en-US" w:eastAsia="zh-CN"/>
        </w:rPr>
        <w:t>单位：万元</w:t>
      </w:r>
    </w:p>
    <w:tbl>
      <w:tblPr>
        <w:tblStyle w:val="12"/>
        <w:tblpPr w:leftFromText="180" w:rightFromText="180" w:vertAnchor="text" w:horzAnchor="page" w:tblpXSpec="center" w:tblpY="169"/>
        <w:tblOverlap w:val="never"/>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8"/>
        <w:gridCol w:w="580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kern w:val="0"/>
                <w:sz w:val="20"/>
                <w:szCs w:val="20"/>
                <w:u w:val="none"/>
                <w:lang w:val="en-US" w:eastAsia="zh-CN" w:bidi="ar"/>
              </w:rPr>
            </w:pPr>
            <w:r>
              <w:rPr>
                <w:rFonts w:hint="default" w:ascii="Times New Roman" w:hAnsi="Times New Roman" w:cs="Times New Roman" w:eastAsiaTheme="minorEastAsia"/>
                <w:b/>
                <w:bCs/>
                <w:i w:val="0"/>
                <w:iCs w:val="0"/>
                <w:color w:val="auto"/>
                <w:kern w:val="0"/>
                <w:sz w:val="20"/>
                <w:szCs w:val="20"/>
                <w:u w:val="none"/>
                <w:lang w:val="en-US" w:eastAsia="zh-CN" w:bidi="ar"/>
              </w:rPr>
              <w:t>序号</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kern w:val="2"/>
                <w:sz w:val="18"/>
                <w:szCs w:val="18"/>
                <w:u w:val="none"/>
                <w:lang w:val="en-US" w:eastAsia="zh-CN" w:bidi="ar-SA"/>
              </w:rPr>
            </w:pPr>
            <w:r>
              <w:rPr>
                <w:rFonts w:hint="default" w:ascii="Times New Roman" w:hAnsi="Times New Roman" w:cs="Times New Roman" w:eastAsiaTheme="minorEastAsia"/>
                <w:b/>
                <w:bCs/>
                <w:i w:val="0"/>
                <w:iCs w:val="0"/>
                <w:color w:val="auto"/>
                <w:kern w:val="0"/>
                <w:sz w:val="18"/>
                <w:szCs w:val="18"/>
                <w:u w:val="none"/>
                <w:lang w:val="en-US" w:eastAsia="zh-CN" w:bidi="ar"/>
              </w:rPr>
              <w:t>地州/单位</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sz w:val="18"/>
                <w:szCs w:val="18"/>
                <w:u w:val="none"/>
                <w:lang w:val="en-US" w:eastAsia="zh-CN"/>
              </w:rPr>
            </w:pPr>
            <w:r>
              <w:rPr>
                <w:rFonts w:hint="eastAsia" w:cs="Times New Roman" w:eastAsiaTheme="minorEastAsia"/>
                <w:b/>
                <w:bCs/>
                <w:i w:val="0"/>
                <w:iCs w:val="0"/>
                <w:color w:val="auto"/>
                <w:sz w:val="18"/>
                <w:szCs w:val="18"/>
                <w:u w:val="none"/>
                <w:lang w:val="en-US" w:eastAsia="zh-CN"/>
              </w:rPr>
              <w:t>分配金额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cs="Times New Roman" w:eastAsiaTheme="minorEastAsia"/>
                <w:b w:val="0"/>
                <w:bCs w:val="0"/>
                <w:i w:val="0"/>
                <w:iCs w:val="0"/>
                <w:color w:val="auto"/>
                <w:kern w:val="0"/>
                <w:sz w:val="18"/>
                <w:szCs w:val="18"/>
                <w:u w:val="none"/>
                <w:lang w:val="en-US" w:eastAsia="zh-CN" w:bidi="ar"/>
              </w:rPr>
              <w:t>1</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乌鲁木齐市</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635.64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cs="Times New Roman" w:eastAsiaTheme="minorEastAsia"/>
                <w:b w:val="0"/>
                <w:bCs w:val="0"/>
                <w:i w:val="0"/>
                <w:iCs w:val="0"/>
                <w:color w:val="auto"/>
                <w:kern w:val="0"/>
                <w:sz w:val="18"/>
                <w:szCs w:val="18"/>
                <w:u w:val="none"/>
                <w:lang w:val="en-US" w:eastAsia="zh-CN" w:bidi="ar"/>
              </w:rPr>
              <w:t>2</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伊犁州直</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7043.94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cs="Times New Roman" w:eastAsiaTheme="minorEastAsia"/>
                <w:b w:val="0"/>
                <w:bCs w:val="0"/>
                <w:i w:val="0"/>
                <w:iCs w:val="0"/>
                <w:color w:val="auto"/>
                <w:kern w:val="0"/>
                <w:sz w:val="18"/>
                <w:szCs w:val="18"/>
                <w:u w:val="none"/>
                <w:lang w:val="en-US" w:eastAsia="zh-CN" w:bidi="ar"/>
              </w:rPr>
              <w:t>3</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塔城地区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2989.5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cs="Times New Roman" w:eastAsiaTheme="minorEastAsia"/>
                <w:b w:val="0"/>
                <w:bCs w:val="0"/>
                <w:i w:val="0"/>
                <w:iCs w:val="0"/>
                <w:color w:val="auto"/>
                <w:kern w:val="0"/>
                <w:sz w:val="18"/>
                <w:szCs w:val="18"/>
                <w:u w:val="none"/>
                <w:lang w:val="en-US" w:eastAsia="zh-CN" w:bidi="ar"/>
              </w:rPr>
              <w:t>4</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阿勒泰地区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3449.76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cs="Times New Roman" w:eastAsiaTheme="minorEastAsia"/>
                <w:b w:val="0"/>
                <w:bCs w:val="0"/>
                <w:i w:val="0"/>
                <w:iCs w:val="0"/>
                <w:color w:val="auto"/>
                <w:kern w:val="0"/>
                <w:sz w:val="18"/>
                <w:szCs w:val="18"/>
                <w:u w:val="none"/>
                <w:lang w:val="en-US" w:eastAsia="zh-CN" w:bidi="ar"/>
              </w:rPr>
              <w:t>5</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克拉玛依市</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253.38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cs="Times New Roman" w:eastAsiaTheme="minorEastAsia"/>
                <w:b w:val="0"/>
                <w:bCs w:val="0"/>
                <w:i w:val="0"/>
                <w:iCs w:val="0"/>
                <w:color w:val="auto"/>
                <w:kern w:val="0"/>
                <w:sz w:val="18"/>
                <w:szCs w:val="18"/>
                <w:u w:val="none"/>
                <w:lang w:val="en-US" w:eastAsia="zh-CN" w:bidi="ar"/>
              </w:rPr>
              <w:t>6</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博州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cs="Times New Roman" w:eastAsiaTheme="minorEastAsia"/>
                <w:b w:val="0"/>
                <w:bCs w:val="0"/>
                <w:i w:val="0"/>
                <w:iCs w:val="0"/>
                <w:color w:val="auto"/>
                <w:kern w:val="0"/>
                <w:sz w:val="18"/>
                <w:szCs w:val="18"/>
                <w:u w:val="none"/>
                <w:lang w:val="en-US" w:eastAsia="zh-CN" w:bidi="ar"/>
              </w:rPr>
              <w:t>7</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昌吉州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2830.92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cs="Times New Roman" w:eastAsiaTheme="minorEastAsia"/>
                <w:b w:val="0"/>
                <w:bCs w:val="0"/>
                <w:i w:val="0"/>
                <w:iCs w:val="0"/>
                <w:color w:val="auto"/>
                <w:kern w:val="0"/>
                <w:sz w:val="18"/>
                <w:szCs w:val="18"/>
                <w:u w:val="none"/>
                <w:lang w:val="en-US" w:eastAsia="zh-CN" w:bidi="ar"/>
              </w:rPr>
              <w:t>8</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哈密市</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1520.28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cs="Times New Roman" w:eastAsiaTheme="minorEastAsia"/>
                <w:b w:val="0"/>
                <w:bCs w:val="0"/>
                <w:i w:val="0"/>
                <w:iCs w:val="0"/>
                <w:color w:val="auto"/>
                <w:kern w:val="0"/>
                <w:sz w:val="18"/>
                <w:szCs w:val="18"/>
                <w:u w:val="none"/>
                <w:lang w:val="en-US" w:eastAsia="zh-CN" w:bidi="ar"/>
              </w:rPr>
              <w:t>9</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吐鲁番市</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483.52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rPr>
            </w:pPr>
            <w:r>
              <w:rPr>
                <w:rFonts w:hint="default" w:ascii="Times New Roman" w:hAnsi="Times New Roman" w:cs="Times New Roman" w:eastAsiaTheme="minorEastAsia"/>
                <w:b w:val="0"/>
                <w:bCs w:val="0"/>
                <w:i w:val="0"/>
                <w:iCs w:val="0"/>
                <w:color w:val="auto"/>
                <w:kern w:val="0"/>
                <w:sz w:val="18"/>
                <w:szCs w:val="18"/>
                <w:u w:val="none"/>
                <w:lang w:val="en-US" w:eastAsia="zh-CN" w:bidi="ar"/>
              </w:rPr>
              <w:t>10</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巴州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5255.59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rPr>
            </w:pPr>
            <w:r>
              <w:rPr>
                <w:rFonts w:hint="default" w:ascii="Times New Roman" w:hAnsi="Times New Roman" w:cs="Times New Roman" w:eastAsiaTheme="minorEastAsia"/>
                <w:b w:val="0"/>
                <w:bCs w:val="0"/>
                <w:i w:val="0"/>
                <w:iCs w:val="0"/>
                <w:color w:val="auto"/>
                <w:kern w:val="0"/>
                <w:sz w:val="18"/>
                <w:szCs w:val="18"/>
                <w:u w:val="none"/>
                <w:lang w:val="en-US" w:eastAsia="zh-CN" w:bidi="ar"/>
              </w:rPr>
              <w:t>11</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阿克苏地区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5412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rPr>
            </w:pPr>
            <w:r>
              <w:rPr>
                <w:rFonts w:hint="default" w:ascii="Times New Roman" w:hAnsi="Times New Roman" w:cs="Times New Roman" w:eastAsiaTheme="minorEastAsia"/>
                <w:b w:val="0"/>
                <w:bCs w:val="0"/>
                <w:i w:val="0"/>
                <w:iCs w:val="0"/>
                <w:color w:val="auto"/>
                <w:kern w:val="0"/>
                <w:sz w:val="18"/>
                <w:szCs w:val="18"/>
                <w:u w:val="none"/>
                <w:lang w:val="en-US" w:eastAsia="zh-CN" w:bidi="ar"/>
              </w:rPr>
              <w:t>12</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克州</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1735.04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rPr>
            </w:pPr>
            <w:r>
              <w:rPr>
                <w:rFonts w:hint="default" w:ascii="Times New Roman" w:hAnsi="Times New Roman" w:cs="Times New Roman" w:eastAsiaTheme="minorEastAsia"/>
                <w:b w:val="0"/>
                <w:bCs w:val="0"/>
                <w:i w:val="0"/>
                <w:iCs w:val="0"/>
                <w:color w:val="auto"/>
                <w:kern w:val="0"/>
                <w:sz w:val="18"/>
                <w:szCs w:val="18"/>
                <w:u w:val="none"/>
                <w:lang w:val="en-US" w:eastAsia="zh-CN" w:bidi="ar"/>
              </w:rPr>
              <w:t>13</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喀什地区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5786.03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kern w:val="0"/>
                <w:sz w:val="18"/>
                <w:szCs w:val="18"/>
                <w:u w:val="none"/>
                <w:lang w:val="en-US" w:eastAsia="zh-CN" w:bidi="ar"/>
              </w:rPr>
            </w:pPr>
            <w:r>
              <w:rPr>
                <w:rFonts w:hint="eastAsia" w:cs="Times New Roman" w:eastAsiaTheme="minorEastAsia"/>
                <w:b w:val="0"/>
                <w:bCs w:val="0"/>
                <w:i w:val="0"/>
                <w:iCs w:val="0"/>
                <w:color w:val="auto"/>
                <w:kern w:val="0"/>
                <w:sz w:val="18"/>
                <w:szCs w:val="18"/>
                <w:u w:val="none"/>
                <w:lang w:val="en-US" w:eastAsia="zh-CN" w:bidi="ar"/>
              </w:rPr>
              <w:t>14</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和田地区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4246.4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kern w:val="0"/>
                <w:sz w:val="18"/>
                <w:szCs w:val="18"/>
                <w:u w:val="none"/>
                <w:lang w:val="en-US" w:eastAsia="zh-CN" w:bidi="ar"/>
              </w:rPr>
            </w:pPr>
            <w:r>
              <w:rPr>
                <w:rFonts w:hint="eastAsia" w:cs="Times New Roman" w:eastAsiaTheme="minorEastAsia"/>
                <w:b w:val="0"/>
                <w:bCs w:val="0"/>
                <w:i w:val="0"/>
                <w:iCs w:val="0"/>
                <w:color w:val="auto"/>
                <w:kern w:val="0"/>
                <w:sz w:val="18"/>
                <w:szCs w:val="18"/>
                <w:u w:val="none"/>
                <w:lang w:val="en-US" w:eastAsia="zh-CN" w:bidi="ar"/>
              </w:rPr>
              <w:t>15</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自治区动物疾病预防控制中心</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cs="Times New Roman" w:eastAsiaTheme="minorEastAsia"/>
                <w:b w:val="0"/>
                <w:bCs w:val="0"/>
                <w:i w:val="0"/>
                <w:iCs w:val="0"/>
                <w:color w:val="auto"/>
                <w:kern w:val="0"/>
                <w:sz w:val="18"/>
                <w:szCs w:val="18"/>
                <w:u w:val="none"/>
                <w:lang w:val="en-US" w:eastAsia="zh-CN" w:bidi="ar"/>
              </w:rPr>
            </w:pPr>
            <w:r>
              <w:rPr>
                <w:rFonts w:hint="eastAsia" w:cs="Times New Roman" w:eastAsiaTheme="minorEastAsia"/>
                <w:b w:val="0"/>
                <w:bCs w:val="0"/>
                <w:i w:val="0"/>
                <w:iCs w:val="0"/>
                <w:color w:val="auto"/>
                <w:kern w:val="0"/>
                <w:sz w:val="18"/>
                <w:szCs w:val="18"/>
                <w:u w:val="none"/>
                <w:lang w:val="en-US" w:eastAsia="zh-CN" w:bidi="ar"/>
              </w:rPr>
              <w:t>16</w:t>
            </w:r>
          </w:p>
        </w:tc>
        <w:tc>
          <w:tcPr>
            <w:tcW w:w="3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新疆畜牧科学院畜牧机关(南山种羊场)</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394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kern w:val="0"/>
                <w:sz w:val="18"/>
                <w:szCs w:val="18"/>
                <w:u w:val="none"/>
                <w:lang w:val="en-US" w:eastAsia="zh-CN" w:bidi="ar"/>
              </w:rPr>
            </w:pPr>
            <w:r>
              <w:rPr>
                <w:rFonts w:hint="default" w:ascii="Times New Roman" w:hAnsi="Times New Roman" w:cs="Times New Roman" w:eastAsiaTheme="minorEastAsia"/>
                <w:b/>
                <w:bCs/>
                <w:i w:val="0"/>
                <w:iCs w:val="0"/>
                <w:color w:val="auto"/>
                <w:kern w:val="0"/>
                <w:sz w:val="18"/>
                <w:szCs w:val="18"/>
                <w:u w:val="none"/>
                <w:lang w:val="en-US" w:eastAsia="zh-CN" w:bidi="ar"/>
              </w:rPr>
              <w:t>合计</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kern w:val="0"/>
                <w:sz w:val="18"/>
                <w:szCs w:val="18"/>
                <w:u w:val="none"/>
                <w:lang w:val="en-US" w:eastAsia="zh-CN" w:bidi="ar"/>
              </w:rPr>
            </w:pPr>
            <w:r>
              <w:rPr>
                <w:rFonts w:hint="eastAsia" w:cs="Times New Roman" w:eastAsiaTheme="minorEastAsia"/>
                <w:b/>
                <w:bCs/>
                <w:i w:val="0"/>
                <w:iCs w:val="0"/>
                <w:color w:val="auto"/>
                <w:kern w:val="0"/>
                <w:sz w:val="18"/>
                <w:szCs w:val="18"/>
                <w:u w:val="none"/>
                <w:lang w:val="en-US" w:eastAsia="zh-CN" w:bidi="ar"/>
              </w:rPr>
              <w:t>43062</w:t>
            </w:r>
          </w:p>
        </w:tc>
      </w:tr>
    </w:tbl>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Times New Roman" w:hAnsi="Times New Roman" w:eastAsia="仿宋_GB2312" w:cs="Times New Roman"/>
          <w:b/>
          <w:bCs/>
          <w:color w:val="auto"/>
          <w:sz w:val="32"/>
          <w:szCs w:val="32"/>
          <w:lang w:eastAsia="zh-CN"/>
        </w:rPr>
      </w:pPr>
      <w:r>
        <w:rPr>
          <w:rFonts w:hint="default" w:ascii="Times New Roman" w:hAnsi="Times New Roman" w:eastAsia="楷体"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自治区分解下达绩效目标情况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根据自治区财政厅下达的资金文件确定的绩效目标，对县（市）资金的分配主要根据任务的特点进行合理</w:t>
      </w:r>
      <w:r>
        <w:rPr>
          <w:rFonts w:hint="eastAsia" w:ascii="Times New Roman" w:hAnsi="Times New Roman" w:cs="Times New Roman"/>
          <w:color w:val="auto"/>
          <w:sz w:val="32"/>
          <w:szCs w:val="32"/>
          <w:lang w:eastAsia="zh-CN"/>
        </w:rPr>
        <w:t>地</w:t>
      </w:r>
      <w:r>
        <w:rPr>
          <w:rFonts w:hint="default" w:ascii="Times New Roman" w:hAnsi="Times New Roman" w:eastAsia="仿宋_GB2312" w:cs="Times New Roman"/>
          <w:color w:val="auto"/>
          <w:sz w:val="32"/>
          <w:szCs w:val="32"/>
        </w:rPr>
        <w:t>安排，根据</w:t>
      </w:r>
      <w:r>
        <w:rPr>
          <w:rFonts w:hint="default" w:ascii="Times New Roman" w:hAnsi="Times New Roman" w:eastAsia="仿宋_GB2312" w:cs="Times New Roman"/>
          <w:color w:val="auto"/>
          <w:sz w:val="32"/>
          <w:szCs w:val="32"/>
          <w:lang w:val="en-US" w:eastAsia="zh-CN"/>
        </w:rPr>
        <w:t>《关于下达2023年中央农业防灾减灾和水利救灾资金预算</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防灾救灾第一批</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的通知》（新财农〔2023〕39号）</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《关于下达2023年中央农业防灾减灾和水利救灾资金预算</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防灾救灾第四批</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的通知》（新财农〔2023〕56号）</w:t>
      </w:r>
      <w:r>
        <w:rPr>
          <w:rFonts w:hint="eastAsia" w:ascii="Times New Roman" w:hAnsi="Times New Roman" w:cs="Times New Roman"/>
          <w:color w:val="auto"/>
          <w:sz w:val="32"/>
          <w:szCs w:val="32"/>
          <w:lang w:val="en-US" w:eastAsia="zh-CN"/>
        </w:rPr>
        <w:t>、《关于下达2023年中央农业防灾减灾和水利救灾资金预算（防灾救灾第十一批）的通知》（新财农〔2023〕117号）</w:t>
      </w:r>
      <w:r>
        <w:rPr>
          <w:rFonts w:hint="eastAsia" w:cs="Times New Roman"/>
          <w:color w:val="auto"/>
          <w:sz w:val="32"/>
          <w:szCs w:val="32"/>
          <w:lang w:val="en-US" w:eastAsia="zh-CN"/>
        </w:rPr>
        <w:t>、</w:t>
      </w:r>
      <w:r>
        <w:rPr>
          <w:rFonts w:hint="eastAsia" w:ascii="Times New Roman" w:hAnsi="Times New Roman" w:cs="Times New Roman"/>
          <w:color w:val="auto"/>
          <w:sz w:val="32"/>
          <w:szCs w:val="32"/>
          <w:lang w:val="en-US" w:eastAsia="zh-CN"/>
        </w:rPr>
        <w:t>《关于下达2023年中央农业防灾减灾和水利救灾资金（动物防疫补助）预算的通知》（新财农〔2023〕31号）</w:t>
      </w:r>
      <w:r>
        <w:rPr>
          <w:rFonts w:hint="default" w:ascii="Times New Roman" w:hAnsi="Times New Roman" w:eastAsia="仿宋_GB2312" w:cs="Times New Roman"/>
          <w:color w:val="auto"/>
          <w:sz w:val="32"/>
          <w:szCs w:val="32"/>
          <w:lang w:val="en-US" w:eastAsia="zh-CN"/>
        </w:rPr>
        <w:t>绩效目标</w:t>
      </w:r>
      <w:r>
        <w:rPr>
          <w:rFonts w:hint="default" w:ascii="Times New Roman" w:hAnsi="Times New Roman" w:eastAsia="仿宋_GB2312" w:cs="Times New Roman"/>
          <w:color w:val="auto"/>
          <w:sz w:val="32"/>
          <w:szCs w:val="32"/>
        </w:rPr>
        <w:t>详见下表：</w:t>
      </w:r>
    </w:p>
    <w:p>
      <w:pPr>
        <w:rPr>
          <w:rFonts w:hint="default"/>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_GB2312" w:cs="Times New Roman"/>
          <w:color w:val="auto"/>
          <w:sz w:val="32"/>
          <w:szCs w:val="32"/>
        </w:rPr>
        <w:br w:type="page"/>
      </w:r>
    </w:p>
    <w:p>
      <w:pPr>
        <w:jc w:val="center"/>
        <w:rPr>
          <w:rFonts w:hint="default"/>
        </w:rPr>
      </w:pPr>
      <w:r>
        <w:rPr>
          <w:rFonts w:hint="default" w:ascii="Times New Roman" w:hAnsi="Times New Roman" w:eastAsia="仿宋_GB2312" w:cs="Times New Roman"/>
          <w:b/>
          <w:bCs/>
          <w:sz w:val="22"/>
          <w:szCs w:val="22"/>
        </w:rPr>
        <w:t>2023年中央农业防灾减灾和水利救灾资金(动物防疫补助)区域绩效目标表</w:t>
      </w:r>
    </w:p>
    <w:tbl>
      <w:tblPr>
        <w:tblStyle w:val="16"/>
        <w:tblW w:w="15530" w:type="dxa"/>
        <w:tblInd w:w="-7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9"/>
        <w:gridCol w:w="568"/>
        <w:gridCol w:w="763"/>
        <w:gridCol w:w="1888"/>
        <w:gridCol w:w="473"/>
        <w:gridCol w:w="1163"/>
        <w:gridCol w:w="599"/>
        <w:gridCol w:w="649"/>
        <w:gridCol w:w="660"/>
        <w:gridCol w:w="649"/>
        <w:gridCol w:w="659"/>
        <w:gridCol w:w="660"/>
        <w:gridCol w:w="649"/>
        <w:gridCol w:w="659"/>
        <w:gridCol w:w="660"/>
        <w:gridCol w:w="649"/>
        <w:gridCol w:w="660"/>
        <w:gridCol w:w="650"/>
        <w:gridCol w:w="659"/>
        <w:gridCol w:w="707"/>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4281" w:type="dxa"/>
            <w:gridSpan w:val="5"/>
            <w:vAlign w:val="top"/>
          </w:tcPr>
          <w:p>
            <w:pPr>
              <w:kinsoku w:val="0"/>
              <w:autoSpaceDE w:val="0"/>
              <w:autoSpaceDN w:val="0"/>
              <w:adjustRightInd w:val="0"/>
              <w:snapToGrid w:val="0"/>
              <w:spacing w:before="60" w:line="221" w:lineRule="auto"/>
              <w:ind w:left="149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资金名称</w:t>
            </w:r>
          </w:p>
        </w:tc>
        <w:tc>
          <w:tcPr>
            <w:tcW w:w="1163" w:type="dxa"/>
            <w:vAlign w:val="center"/>
          </w:tcPr>
          <w:p>
            <w:pPr>
              <w:kinsoku w:val="0"/>
              <w:autoSpaceDE w:val="0"/>
              <w:autoSpaceDN w:val="0"/>
              <w:adjustRightInd w:val="0"/>
              <w:snapToGrid w:val="0"/>
              <w:spacing w:before="59" w:line="219" w:lineRule="auto"/>
              <w:ind w:left="71"/>
              <w:jc w:val="center"/>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动物防疫等补助经费</w:t>
            </w:r>
          </w:p>
        </w:tc>
        <w:tc>
          <w:tcPr>
            <w:tcW w:w="10086" w:type="dxa"/>
            <w:gridSpan w:val="15"/>
            <w:vAlign w:val="top"/>
          </w:tcPr>
          <w:p>
            <w:pPr>
              <w:kinsoku w:val="0"/>
              <w:autoSpaceDE w:val="0"/>
              <w:autoSpaceDN w:val="0"/>
              <w:adjustRightInd w:val="0"/>
              <w:snapToGrid w:val="0"/>
              <w:spacing w:before="59" w:line="220" w:lineRule="auto"/>
              <w:ind w:left="4682"/>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分区域绩效目标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281" w:type="dxa"/>
            <w:gridSpan w:val="5"/>
            <w:vAlign w:val="top"/>
          </w:tcPr>
          <w:p>
            <w:pPr>
              <w:kinsoku w:val="0"/>
              <w:autoSpaceDE w:val="0"/>
              <w:autoSpaceDN w:val="0"/>
              <w:adjustRightInd w:val="0"/>
              <w:snapToGrid w:val="0"/>
              <w:spacing w:before="114" w:line="219" w:lineRule="auto"/>
              <w:ind w:left="138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中央主管部门</w:t>
            </w:r>
          </w:p>
        </w:tc>
        <w:tc>
          <w:tcPr>
            <w:tcW w:w="1163" w:type="dxa"/>
            <w:vAlign w:val="center"/>
          </w:tcPr>
          <w:p>
            <w:pPr>
              <w:kinsoku w:val="0"/>
              <w:autoSpaceDE w:val="0"/>
              <w:autoSpaceDN w:val="0"/>
              <w:adjustRightInd w:val="0"/>
              <w:snapToGrid w:val="0"/>
              <w:spacing w:before="113" w:line="219" w:lineRule="auto"/>
              <w:ind w:left="71"/>
              <w:jc w:val="center"/>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财政部、农业农村部</w:t>
            </w:r>
          </w:p>
        </w:tc>
        <w:tc>
          <w:tcPr>
            <w:tcW w:w="599" w:type="dxa"/>
            <w:vAlign w:val="top"/>
          </w:tcPr>
          <w:p>
            <w:pPr>
              <w:kinsoku w:val="0"/>
              <w:autoSpaceDE w:val="0"/>
              <w:autoSpaceDN w:val="0"/>
              <w:adjustRightInd w:val="0"/>
              <w:snapToGrid w:val="0"/>
              <w:spacing w:before="114" w:line="219" w:lineRule="auto"/>
              <w:ind w:left="42"/>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1"/>
                <w:kern w:val="0"/>
                <w:sz w:val="12"/>
                <w:szCs w:val="12"/>
                <w:lang w:val="en-US" w:eastAsia="zh-CN" w:bidi="ar-SA"/>
              </w:rPr>
              <w:t>乌鲁木齐市</w:t>
            </w:r>
            <w:r>
              <w:rPr>
                <w:rFonts w:ascii="宋体" w:hAnsi="宋体" w:eastAsia="宋体" w:cs="宋体"/>
                <w:snapToGrid w:val="0"/>
                <w:color w:val="000000"/>
                <w:spacing w:val="-1"/>
                <w:kern w:val="0"/>
                <w:sz w:val="12"/>
                <w:szCs w:val="12"/>
                <w:lang w:val="en-US" w:eastAsia="en-US" w:bidi="ar-SA"/>
              </w:rPr>
              <w:t>市</w:t>
            </w:r>
          </w:p>
        </w:tc>
        <w:tc>
          <w:tcPr>
            <w:tcW w:w="649" w:type="dxa"/>
            <w:vAlign w:val="top"/>
          </w:tcPr>
          <w:p>
            <w:pPr>
              <w:kinsoku w:val="0"/>
              <w:autoSpaceDE w:val="0"/>
              <w:autoSpaceDN w:val="0"/>
              <w:adjustRightInd w:val="0"/>
              <w:snapToGrid w:val="0"/>
              <w:spacing w:before="113" w:line="219" w:lineRule="auto"/>
              <w:ind w:left="152"/>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1"/>
                <w:kern w:val="0"/>
                <w:sz w:val="12"/>
                <w:szCs w:val="12"/>
                <w:lang w:val="en-US" w:eastAsia="zh-CN" w:bidi="ar-SA"/>
              </w:rPr>
              <w:t>伊犁</w:t>
            </w:r>
            <w:r>
              <w:rPr>
                <w:rFonts w:ascii="宋体" w:hAnsi="宋体" w:eastAsia="宋体" w:cs="宋体"/>
                <w:snapToGrid w:val="0"/>
                <w:color w:val="000000"/>
                <w:spacing w:val="-1"/>
                <w:kern w:val="0"/>
                <w:sz w:val="12"/>
                <w:szCs w:val="12"/>
                <w:lang w:val="en-US" w:eastAsia="en-US" w:bidi="ar-SA"/>
              </w:rPr>
              <w:t>州</w:t>
            </w:r>
          </w:p>
        </w:tc>
        <w:tc>
          <w:tcPr>
            <w:tcW w:w="660" w:type="dxa"/>
            <w:vAlign w:val="top"/>
          </w:tcPr>
          <w:p>
            <w:pPr>
              <w:kinsoku w:val="0"/>
              <w:autoSpaceDE w:val="0"/>
              <w:autoSpaceDN w:val="0"/>
              <w:adjustRightInd w:val="0"/>
              <w:snapToGrid w:val="0"/>
              <w:spacing w:before="114" w:line="220" w:lineRule="auto"/>
              <w:ind w:left="103"/>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1"/>
                <w:kern w:val="0"/>
                <w:sz w:val="12"/>
                <w:szCs w:val="12"/>
                <w:lang w:val="en-US" w:eastAsia="zh-CN" w:bidi="ar-SA"/>
              </w:rPr>
              <w:t>塔城</w:t>
            </w:r>
            <w:r>
              <w:rPr>
                <w:rFonts w:ascii="宋体" w:hAnsi="宋体" w:eastAsia="宋体" w:cs="宋体"/>
                <w:snapToGrid w:val="0"/>
                <w:color w:val="000000"/>
                <w:spacing w:val="-1"/>
                <w:kern w:val="0"/>
                <w:sz w:val="12"/>
                <w:szCs w:val="12"/>
                <w:lang w:val="en-US" w:eastAsia="en-US" w:bidi="ar-SA"/>
              </w:rPr>
              <w:t>地区</w:t>
            </w:r>
          </w:p>
        </w:tc>
        <w:tc>
          <w:tcPr>
            <w:tcW w:w="649" w:type="dxa"/>
            <w:vAlign w:val="top"/>
          </w:tcPr>
          <w:p>
            <w:pPr>
              <w:kinsoku w:val="0"/>
              <w:autoSpaceDE w:val="0"/>
              <w:autoSpaceDN w:val="0"/>
              <w:adjustRightInd w:val="0"/>
              <w:snapToGrid w:val="0"/>
              <w:spacing w:before="113" w:line="219" w:lineRule="auto"/>
              <w:ind w:left="43"/>
              <w:jc w:val="left"/>
              <w:textAlignment w:val="baseline"/>
              <w:rPr>
                <w:rFonts w:hint="default" w:ascii="宋体" w:hAnsi="宋体" w:eastAsia="宋体" w:cs="宋体"/>
                <w:snapToGrid w:val="0"/>
                <w:color w:val="000000"/>
                <w:kern w:val="0"/>
                <w:sz w:val="12"/>
                <w:szCs w:val="12"/>
                <w:lang w:val="en-US" w:eastAsia="zh-CN" w:bidi="ar-SA"/>
              </w:rPr>
            </w:pPr>
            <w:r>
              <w:rPr>
                <w:rFonts w:hint="eastAsia" w:ascii="宋体" w:hAnsi="宋体" w:eastAsia="宋体" w:cs="宋体"/>
                <w:snapToGrid w:val="0"/>
                <w:color w:val="000000"/>
                <w:kern w:val="0"/>
                <w:sz w:val="12"/>
                <w:szCs w:val="12"/>
                <w:lang w:val="en-US" w:eastAsia="zh-CN" w:bidi="ar-SA"/>
              </w:rPr>
              <w:t>阿勒泰地区</w:t>
            </w:r>
          </w:p>
        </w:tc>
        <w:tc>
          <w:tcPr>
            <w:tcW w:w="659" w:type="dxa"/>
            <w:vAlign w:val="top"/>
          </w:tcPr>
          <w:p>
            <w:pPr>
              <w:kinsoku w:val="0"/>
              <w:autoSpaceDE w:val="0"/>
              <w:autoSpaceDN w:val="0"/>
              <w:adjustRightInd w:val="0"/>
              <w:snapToGrid w:val="0"/>
              <w:spacing w:before="113" w:line="219" w:lineRule="auto"/>
              <w:ind w:left="44"/>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克拉玛依市</w:t>
            </w:r>
          </w:p>
        </w:tc>
        <w:tc>
          <w:tcPr>
            <w:tcW w:w="660" w:type="dxa"/>
            <w:vAlign w:val="top"/>
          </w:tcPr>
          <w:p>
            <w:pPr>
              <w:kinsoku w:val="0"/>
              <w:autoSpaceDE w:val="0"/>
              <w:autoSpaceDN w:val="0"/>
              <w:adjustRightInd w:val="0"/>
              <w:snapToGrid w:val="0"/>
              <w:spacing w:before="113" w:line="219" w:lineRule="auto"/>
              <w:ind w:left="21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博州</w:t>
            </w:r>
          </w:p>
        </w:tc>
        <w:tc>
          <w:tcPr>
            <w:tcW w:w="649" w:type="dxa"/>
            <w:vAlign w:val="top"/>
          </w:tcPr>
          <w:p>
            <w:pPr>
              <w:kinsoku w:val="0"/>
              <w:autoSpaceDE w:val="0"/>
              <w:autoSpaceDN w:val="0"/>
              <w:adjustRightInd w:val="0"/>
              <w:snapToGrid w:val="0"/>
              <w:spacing w:before="113" w:line="219" w:lineRule="auto"/>
              <w:jc w:val="left"/>
              <w:textAlignment w:val="baseline"/>
              <w:rPr>
                <w:rFonts w:hint="eastAsia" w:ascii="宋体" w:hAnsi="宋体" w:eastAsia="宋体" w:cs="宋体"/>
                <w:snapToGrid w:val="0"/>
                <w:color w:val="000000"/>
                <w:kern w:val="0"/>
                <w:sz w:val="12"/>
                <w:szCs w:val="12"/>
                <w:lang w:val="en-US" w:eastAsia="zh-CN" w:bidi="ar-SA"/>
              </w:rPr>
            </w:pPr>
            <w:r>
              <w:rPr>
                <w:rFonts w:hint="eastAsia" w:ascii="宋体" w:hAnsi="宋体" w:eastAsia="宋体" w:cs="宋体"/>
                <w:snapToGrid w:val="0"/>
                <w:color w:val="000000"/>
                <w:kern w:val="0"/>
                <w:sz w:val="12"/>
                <w:szCs w:val="12"/>
                <w:lang w:val="en-US" w:eastAsia="zh-CN" w:bidi="ar-SA"/>
              </w:rPr>
              <w:t>昌吉州</w:t>
            </w:r>
          </w:p>
        </w:tc>
        <w:tc>
          <w:tcPr>
            <w:tcW w:w="659" w:type="dxa"/>
            <w:vAlign w:val="top"/>
          </w:tcPr>
          <w:p>
            <w:pPr>
              <w:kinsoku w:val="0"/>
              <w:autoSpaceDE w:val="0"/>
              <w:autoSpaceDN w:val="0"/>
              <w:adjustRightInd w:val="0"/>
              <w:snapToGrid w:val="0"/>
              <w:spacing w:before="114" w:line="219" w:lineRule="auto"/>
              <w:ind w:left="156"/>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哈密市</w:t>
            </w:r>
          </w:p>
        </w:tc>
        <w:tc>
          <w:tcPr>
            <w:tcW w:w="660" w:type="dxa"/>
            <w:vAlign w:val="top"/>
          </w:tcPr>
          <w:p>
            <w:pPr>
              <w:kinsoku w:val="0"/>
              <w:autoSpaceDE w:val="0"/>
              <w:autoSpaceDN w:val="0"/>
              <w:adjustRightInd w:val="0"/>
              <w:snapToGrid w:val="0"/>
              <w:spacing w:before="114" w:line="219" w:lineRule="auto"/>
              <w:ind w:left="107"/>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吐鲁番</w:t>
            </w:r>
            <w:r>
              <w:rPr>
                <w:rFonts w:ascii="宋体" w:hAnsi="宋体" w:eastAsia="宋体" w:cs="宋体"/>
                <w:snapToGrid w:val="0"/>
                <w:color w:val="000000"/>
                <w:spacing w:val="-2"/>
                <w:kern w:val="0"/>
                <w:sz w:val="12"/>
                <w:szCs w:val="12"/>
                <w:lang w:val="en-US" w:eastAsia="en-US" w:bidi="ar-SA"/>
              </w:rPr>
              <w:t>市</w:t>
            </w:r>
          </w:p>
        </w:tc>
        <w:tc>
          <w:tcPr>
            <w:tcW w:w="649" w:type="dxa"/>
            <w:vAlign w:val="top"/>
          </w:tcPr>
          <w:p>
            <w:pPr>
              <w:kinsoku w:val="0"/>
              <w:autoSpaceDE w:val="0"/>
              <w:autoSpaceDN w:val="0"/>
              <w:adjustRightInd w:val="0"/>
              <w:snapToGrid w:val="0"/>
              <w:spacing w:before="113" w:line="219" w:lineRule="auto"/>
              <w:ind w:left="207"/>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8"/>
                <w:kern w:val="0"/>
                <w:sz w:val="12"/>
                <w:szCs w:val="12"/>
                <w:lang w:val="en-US" w:eastAsia="en-US" w:bidi="ar-SA"/>
              </w:rPr>
              <w:t>巴州</w:t>
            </w:r>
          </w:p>
        </w:tc>
        <w:tc>
          <w:tcPr>
            <w:tcW w:w="660" w:type="dxa"/>
            <w:vAlign w:val="top"/>
          </w:tcPr>
          <w:p>
            <w:pPr>
              <w:kinsoku w:val="0"/>
              <w:autoSpaceDE w:val="0"/>
              <w:autoSpaceDN w:val="0"/>
              <w:adjustRightInd w:val="0"/>
              <w:snapToGrid w:val="0"/>
              <w:spacing w:before="114" w:line="219" w:lineRule="auto"/>
              <w:ind w:left="4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阿克苏地区</w:t>
            </w:r>
          </w:p>
        </w:tc>
        <w:tc>
          <w:tcPr>
            <w:tcW w:w="650" w:type="dxa"/>
            <w:vAlign w:val="top"/>
          </w:tcPr>
          <w:p>
            <w:pPr>
              <w:kinsoku w:val="0"/>
              <w:autoSpaceDE w:val="0"/>
              <w:autoSpaceDN w:val="0"/>
              <w:adjustRightInd w:val="0"/>
              <w:snapToGrid w:val="0"/>
              <w:spacing w:before="113" w:line="219" w:lineRule="auto"/>
              <w:ind w:left="20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克州</w:t>
            </w:r>
          </w:p>
        </w:tc>
        <w:tc>
          <w:tcPr>
            <w:tcW w:w="659" w:type="dxa"/>
            <w:vAlign w:val="top"/>
          </w:tcPr>
          <w:p>
            <w:pPr>
              <w:kinsoku w:val="0"/>
              <w:autoSpaceDE w:val="0"/>
              <w:autoSpaceDN w:val="0"/>
              <w:adjustRightInd w:val="0"/>
              <w:snapToGrid w:val="0"/>
              <w:spacing w:before="114" w:line="219" w:lineRule="auto"/>
              <w:ind w:left="108"/>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喀什地区</w:t>
            </w:r>
          </w:p>
        </w:tc>
        <w:tc>
          <w:tcPr>
            <w:tcW w:w="707" w:type="dxa"/>
            <w:vAlign w:val="top"/>
          </w:tcPr>
          <w:p>
            <w:pPr>
              <w:kinsoku w:val="0"/>
              <w:autoSpaceDE w:val="0"/>
              <w:autoSpaceDN w:val="0"/>
              <w:adjustRightInd w:val="0"/>
              <w:snapToGrid w:val="0"/>
              <w:spacing w:before="116" w:line="222" w:lineRule="auto"/>
              <w:ind w:left="109"/>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和田地区</w:t>
            </w:r>
          </w:p>
        </w:tc>
        <w:tc>
          <w:tcPr>
            <w:tcW w:w="917" w:type="dxa"/>
            <w:vAlign w:val="top"/>
          </w:tcPr>
          <w:p>
            <w:pPr>
              <w:kinsoku w:val="0"/>
              <w:autoSpaceDE w:val="0"/>
              <w:autoSpaceDN w:val="0"/>
              <w:adjustRightInd w:val="0"/>
              <w:snapToGrid w:val="0"/>
              <w:spacing w:before="35" w:line="244" w:lineRule="auto"/>
              <w:ind w:left="258" w:hanging="239"/>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1"/>
                <w:kern w:val="0"/>
                <w:sz w:val="12"/>
                <w:szCs w:val="12"/>
                <w:lang w:val="en-US" w:eastAsia="zh-CN" w:bidi="ar-SA"/>
              </w:rPr>
              <w:t>自治区动物预防</w:t>
            </w:r>
            <w:r>
              <w:rPr>
                <w:rFonts w:ascii="宋体" w:hAnsi="宋体" w:eastAsia="宋体" w:cs="宋体"/>
                <w:snapToGrid w:val="0"/>
                <w:color w:val="000000"/>
                <w:spacing w:val="-1"/>
                <w:kern w:val="0"/>
                <w:sz w:val="12"/>
                <w:szCs w:val="12"/>
                <w:lang w:val="en-US" w:eastAsia="en-US" w:bidi="ar-SA"/>
              </w:rPr>
              <w:t>控制中心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81" w:type="dxa"/>
            <w:gridSpan w:val="5"/>
            <w:vAlign w:val="top"/>
          </w:tcPr>
          <w:p>
            <w:pPr>
              <w:kinsoku w:val="0"/>
              <w:autoSpaceDE w:val="0"/>
              <w:autoSpaceDN w:val="0"/>
              <w:adjustRightInd w:val="0"/>
              <w:snapToGrid w:val="0"/>
              <w:spacing w:before="55" w:line="219" w:lineRule="auto"/>
              <w:ind w:left="1385"/>
              <w:jc w:val="left"/>
              <w:textAlignment w:val="baseline"/>
              <w:rPr>
                <w:rFonts w:hint="default" w:ascii="宋体" w:hAnsi="宋体" w:eastAsia="宋体" w:cs="宋体"/>
                <w:snapToGrid w:val="0"/>
                <w:color w:val="000000"/>
                <w:kern w:val="0"/>
                <w:sz w:val="12"/>
                <w:szCs w:val="12"/>
                <w:lang w:val="en-US" w:eastAsia="zh-CN" w:bidi="ar-SA"/>
              </w:rPr>
            </w:pPr>
            <w:r>
              <w:rPr>
                <w:rFonts w:ascii="宋体" w:hAnsi="宋体" w:eastAsia="宋体" w:cs="宋体"/>
                <w:snapToGrid w:val="0"/>
                <w:color w:val="000000"/>
                <w:spacing w:val="-1"/>
                <w:kern w:val="0"/>
                <w:sz w:val="12"/>
                <w:szCs w:val="12"/>
                <w:lang w:val="en-US" w:eastAsia="en-US" w:bidi="ar-SA"/>
              </w:rPr>
              <w:t>省级</w:t>
            </w:r>
            <w:r>
              <w:rPr>
                <w:rFonts w:hint="eastAsia" w:ascii="宋体" w:hAnsi="宋体" w:eastAsia="宋体" w:cs="宋体"/>
                <w:snapToGrid w:val="0"/>
                <w:color w:val="000000"/>
                <w:spacing w:val="-1"/>
                <w:kern w:val="0"/>
                <w:sz w:val="12"/>
                <w:szCs w:val="12"/>
                <w:lang w:val="en-US" w:eastAsia="zh-CN" w:bidi="ar-SA"/>
              </w:rPr>
              <w:t>财政部门</w:t>
            </w:r>
          </w:p>
        </w:tc>
        <w:tc>
          <w:tcPr>
            <w:tcW w:w="1163" w:type="dxa"/>
            <w:vAlign w:val="center"/>
          </w:tcPr>
          <w:p>
            <w:pPr>
              <w:kinsoku w:val="0"/>
              <w:autoSpaceDE w:val="0"/>
              <w:autoSpaceDN w:val="0"/>
              <w:adjustRightInd w:val="0"/>
              <w:snapToGrid w:val="0"/>
              <w:spacing w:before="55" w:line="220" w:lineRule="auto"/>
              <w:jc w:val="center"/>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7"/>
                <w:kern w:val="0"/>
                <w:sz w:val="12"/>
                <w:szCs w:val="12"/>
                <w:lang w:val="en-US" w:eastAsia="zh-CN" w:bidi="ar-SA"/>
              </w:rPr>
              <w:t>新疆维吾尔</w:t>
            </w:r>
            <w:r>
              <w:rPr>
                <w:rFonts w:ascii="宋体" w:hAnsi="宋体" w:eastAsia="宋体" w:cs="宋体"/>
                <w:snapToGrid w:val="0"/>
                <w:color w:val="000000"/>
                <w:spacing w:val="-7"/>
                <w:kern w:val="0"/>
                <w:sz w:val="12"/>
                <w:szCs w:val="12"/>
                <w:lang w:val="en-US" w:eastAsia="en-US" w:bidi="ar-SA"/>
              </w:rPr>
              <w:t>自治区财政</w:t>
            </w:r>
            <w:r>
              <w:rPr>
                <w:rFonts w:ascii="宋体" w:hAnsi="宋体" w:eastAsia="宋体" w:cs="宋体"/>
                <w:snapToGrid w:val="0"/>
                <w:color w:val="000000"/>
                <w:spacing w:val="-6"/>
                <w:kern w:val="0"/>
                <w:sz w:val="12"/>
                <w:szCs w:val="12"/>
                <w:lang w:val="en-US" w:eastAsia="en-US" w:bidi="ar-SA"/>
              </w:rPr>
              <w:t>厅</w:t>
            </w:r>
          </w:p>
        </w:tc>
        <w:tc>
          <w:tcPr>
            <w:tcW w:w="10086" w:type="dxa"/>
            <w:gridSpan w:val="15"/>
            <w:vMerge w:val="restart"/>
            <w:tcBorders>
              <w:bottom w:val="nil"/>
            </w:tcBorders>
            <w:vAlign w:val="top"/>
          </w:tcPr>
          <w:p>
            <w:pPr>
              <w:kinsoku w:val="0"/>
              <w:autoSpaceDE w:val="0"/>
              <w:autoSpaceDN w:val="0"/>
              <w:adjustRightInd w:val="0"/>
              <w:snapToGrid w:val="0"/>
              <w:spacing w:before="204" w:line="219" w:lineRule="auto"/>
              <w:ind w:left="3962"/>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各地州市：财政局、农业农村局、</w:t>
            </w:r>
            <w:r>
              <w:rPr>
                <w:rFonts w:hint="eastAsia" w:ascii="宋体" w:hAnsi="宋体" w:eastAsia="宋体" w:cs="宋体"/>
                <w:snapToGrid w:val="0"/>
                <w:color w:val="000000"/>
                <w:spacing w:val="-1"/>
                <w:kern w:val="0"/>
                <w:sz w:val="12"/>
                <w:szCs w:val="12"/>
                <w:lang w:val="en-US" w:eastAsia="zh-CN" w:bidi="ar-SA"/>
              </w:rPr>
              <w:t>畜牧</w:t>
            </w:r>
            <w:r>
              <w:rPr>
                <w:rFonts w:ascii="宋体" w:hAnsi="宋体" w:eastAsia="宋体" w:cs="宋体"/>
                <w:snapToGrid w:val="0"/>
                <w:color w:val="000000"/>
                <w:spacing w:val="-1"/>
                <w:kern w:val="0"/>
                <w:sz w:val="12"/>
                <w:szCs w:val="12"/>
                <w:lang w:val="en-US" w:eastAsia="en-US" w:bidi="ar-SA"/>
              </w:rPr>
              <w:t>兽医局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4281" w:type="dxa"/>
            <w:gridSpan w:val="5"/>
            <w:vAlign w:val="top"/>
          </w:tcPr>
          <w:p>
            <w:pPr>
              <w:kinsoku w:val="0"/>
              <w:autoSpaceDE w:val="0"/>
              <w:autoSpaceDN w:val="0"/>
              <w:adjustRightInd w:val="0"/>
              <w:snapToGrid w:val="0"/>
              <w:spacing w:before="85" w:line="219" w:lineRule="auto"/>
              <w:ind w:left="138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省级主管部门</w:t>
            </w:r>
          </w:p>
        </w:tc>
        <w:tc>
          <w:tcPr>
            <w:tcW w:w="1163" w:type="dxa"/>
            <w:vAlign w:val="center"/>
          </w:tcPr>
          <w:p>
            <w:pPr>
              <w:kinsoku w:val="0"/>
              <w:autoSpaceDE w:val="0"/>
              <w:autoSpaceDN w:val="0"/>
              <w:adjustRightInd w:val="0"/>
              <w:snapToGrid w:val="0"/>
              <w:spacing w:before="25" w:line="205" w:lineRule="auto"/>
              <w:ind w:left="460" w:right="3" w:hanging="449"/>
              <w:jc w:val="center"/>
              <w:textAlignment w:val="baseline"/>
              <w:rPr>
                <w:rFonts w:hint="default" w:ascii="宋体" w:hAnsi="宋体" w:eastAsia="宋体" w:cs="宋体"/>
                <w:snapToGrid w:val="0"/>
                <w:color w:val="000000"/>
                <w:kern w:val="0"/>
                <w:sz w:val="12"/>
                <w:szCs w:val="12"/>
                <w:lang w:val="en-US" w:eastAsia="zh-CN" w:bidi="ar-SA"/>
              </w:rPr>
            </w:pPr>
            <w:r>
              <w:rPr>
                <w:rFonts w:hint="eastAsia" w:ascii="宋体" w:hAnsi="宋体" w:eastAsia="宋体" w:cs="宋体"/>
                <w:snapToGrid w:val="0"/>
                <w:color w:val="000000"/>
                <w:kern w:val="0"/>
                <w:sz w:val="12"/>
                <w:szCs w:val="12"/>
                <w:lang w:val="en-US" w:eastAsia="zh-CN" w:bidi="ar-SA"/>
              </w:rPr>
              <w:t>新疆维吾尔自治区畜牧兽医局</w:t>
            </w:r>
          </w:p>
        </w:tc>
        <w:tc>
          <w:tcPr>
            <w:tcW w:w="10086" w:type="dxa"/>
            <w:gridSpan w:val="15"/>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trPr>
        <w:tc>
          <w:tcPr>
            <w:tcW w:w="589" w:type="dxa"/>
            <w:vMerge w:val="restart"/>
            <w:tcBorders>
              <w:bottom w:val="nil"/>
            </w:tcBorders>
            <w:vAlign w:val="top"/>
          </w:tcPr>
          <w:p>
            <w:pPr>
              <w:kinsoku w:val="0"/>
              <w:autoSpaceDE w:val="0"/>
              <w:autoSpaceDN w:val="0"/>
              <w:adjustRightInd w:val="0"/>
              <w:snapToGrid w:val="0"/>
              <w:spacing w:before="65" w:line="201" w:lineRule="auto"/>
              <w:ind w:left="9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资金</w:t>
            </w:r>
          </w:p>
          <w:p>
            <w:pPr>
              <w:kinsoku w:val="0"/>
              <w:autoSpaceDE w:val="0"/>
              <w:autoSpaceDN w:val="0"/>
              <w:adjustRightInd w:val="0"/>
              <w:snapToGrid w:val="0"/>
              <w:spacing w:line="200" w:lineRule="auto"/>
              <w:ind w:left="9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情况</w:t>
            </w:r>
          </w:p>
          <w:p>
            <w:pPr>
              <w:kinsoku w:val="0"/>
              <w:autoSpaceDE w:val="0"/>
              <w:autoSpaceDN w:val="0"/>
              <w:adjustRightInd w:val="0"/>
              <w:snapToGrid w:val="0"/>
              <w:spacing w:line="184" w:lineRule="auto"/>
              <w:ind w:left="11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0"/>
                <w:kern w:val="0"/>
                <w:sz w:val="12"/>
                <w:szCs w:val="12"/>
                <w:lang w:val="en-US" w:eastAsia="en-US" w:bidi="ar-SA"/>
              </w:rPr>
              <w:t>(万</w:t>
            </w:r>
          </w:p>
          <w:p>
            <w:pPr>
              <w:kinsoku w:val="0"/>
              <w:autoSpaceDE w:val="0"/>
              <w:autoSpaceDN w:val="0"/>
              <w:adjustRightInd w:val="0"/>
              <w:snapToGrid w:val="0"/>
              <w:spacing w:line="193" w:lineRule="auto"/>
              <w:ind w:left="11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元</w:t>
            </w:r>
            <w:r>
              <w:rPr>
                <w:rFonts w:ascii="宋体" w:hAnsi="宋体" w:eastAsia="宋体" w:cs="宋体"/>
                <w:snapToGrid w:val="0"/>
                <w:color w:val="000000"/>
                <w:spacing w:val="-9"/>
                <w:kern w:val="0"/>
                <w:sz w:val="12"/>
                <w:szCs w:val="12"/>
                <w:lang w:val="en-US" w:eastAsia="en-US" w:bidi="ar-SA"/>
              </w:rPr>
              <w:t xml:space="preserve"> </w:t>
            </w:r>
            <w:r>
              <w:rPr>
                <w:rFonts w:ascii="宋体" w:hAnsi="宋体" w:eastAsia="宋体" w:cs="宋体"/>
                <w:snapToGrid w:val="0"/>
                <w:color w:val="000000"/>
                <w:spacing w:val="-3"/>
                <w:kern w:val="0"/>
                <w:sz w:val="12"/>
                <w:szCs w:val="12"/>
                <w:lang w:val="en-US" w:eastAsia="en-US" w:bidi="ar-SA"/>
              </w:rPr>
              <w:t>)</w:t>
            </w:r>
          </w:p>
        </w:tc>
        <w:tc>
          <w:tcPr>
            <w:tcW w:w="3692" w:type="dxa"/>
            <w:gridSpan w:val="4"/>
            <w:vAlign w:val="top"/>
          </w:tcPr>
          <w:p>
            <w:pPr>
              <w:kinsoku w:val="0"/>
              <w:autoSpaceDE w:val="0"/>
              <w:autoSpaceDN w:val="0"/>
              <w:adjustRightInd w:val="0"/>
              <w:snapToGrid w:val="0"/>
              <w:spacing w:before="25" w:line="209" w:lineRule="auto"/>
              <w:ind w:left="1270"/>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1"/>
                <w:kern w:val="0"/>
                <w:sz w:val="12"/>
                <w:szCs w:val="12"/>
                <w:lang w:val="en-US" w:eastAsia="zh-CN" w:bidi="ar-SA"/>
              </w:rPr>
              <w:t>年度</w:t>
            </w:r>
            <w:r>
              <w:rPr>
                <w:rFonts w:ascii="宋体" w:hAnsi="宋体" w:eastAsia="宋体" w:cs="宋体"/>
                <w:snapToGrid w:val="0"/>
                <w:color w:val="000000"/>
                <w:spacing w:val="-1"/>
                <w:kern w:val="0"/>
                <w:sz w:val="12"/>
                <w:szCs w:val="12"/>
                <w:lang w:val="en-US" w:eastAsia="en-US" w:bidi="ar-SA"/>
              </w:rPr>
              <w:t>金额</w:t>
            </w:r>
          </w:p>
        </w:tc>
        <w:tc>
          <w:tcPr>
            <w:tcW w:w="1163"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599"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49"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60"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49"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59"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60"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49"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59"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60"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49"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60"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50"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659"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707"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c>
          <w:tcPr>
            <w:tcW w:w="917" w:type="dxa"/>
            <w:vAlign w:val="top"/>
          </w:tcPr>
          <w:p>
            <w:pPr>
              <w:widowControl/>
              <w:kinsoku w:val="0"/>
              <w:autoSpaceDE w:val="0"/>
              <w:autoSpaceDN w:val="0"/>
              <w:adjustRightInd w:val="0"/>
              <w:snapToGrid w:val="0"/>
              <w:spacing w:line="150" w:lineRule="exact"/>
              <w:jc w:val="left"/>
              <w:textAlignment w:val="baseline"/>
              <w:rPr>
                <w:rFonts w:ascii="Arial" w:hAnsi="Arial" w:eastAsia="Arial" w:cs="Arial"/>
                <w:snapToGrid w:val="0"/>
                <w:color w:val="000000"/>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3692" w:type="dxa"/>
            <w:gridSpan w:val="4"/>
            <w:vAlign w:val="top"/>
          </w:tcPr>
          <w:p>
            <w:pPr>
              <w:kinsoku w:val="0"/>
              <w:autoSpaceDE w:val="0"/>
              <w:autoSpaceDN w:val="0"/>
              <w:adjustRightInd w:val="0"/>
              <w:snapToGrid w:val="0"/>
              <w:spacing w:before="25" w:line="220" w:lineRule="auto"/>
              <w:ind w:left="115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其中：中央补助</w:t>
            </w:r>
          </w:p>
        </w:tc>
        <w:tc>
          <w:tcPr>
            <w:tcW w:w="1163" w:type="dxa"/>
            <w:vAlign w:val="top"/>
          </w:tcPr>
          <w:p>
            <w:pPr>
              <w:kinsoku w:val="0"/>
              <w:autoSpaceDE w:val="0"/>
              <w:autoSpaceDN w:val="0"/>
              <w:adjustRightInd w:val="0"/>
              <w:snapToGrid w:val="0"/>
              <w:spacing w:before="53" w:line="178" w:lineRule="auto"/>
              <w:ind w:left="43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29972</w:t>
            </w:r>
          </w:p>
        </w:tc>
        <w:tc>
          <w:tcPr>
            <w:tcW w:w="599" w:type="dxa"/>
            <w:vAlign w:val="top"/>
          </w:tcPr>
          <w:p>
            <w:pPr>
              <w:kinsoku w:val="0"/>
              <w:autoSpaceDE w:val="0"/>
              <w:autoSpaceDN w:val="0"/>
              <w:adjustRightInd w:val="0"/>
              <w:snapToGrid w:val="0"/>
              <w:spacing w:before="53" w:line="178" w:lineRule="auto"/>
              <w:ind w:left="152"/>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502.64</w:t>
            </w:r>
          </w:p>
        </w:tc>
        <w:tc>
          <w:tcPr>
            <w:tcW w:w="649" w:type="dxa"/>
            <w:vAlign w:val="top"/>
          </w:tcPr>
          <w:p>
            <w:pPr>
              <w:kinsoku w:val="0"/>
              <w:autoSpaceDE w:val="0"/>
              <w:autoSpaceDN w:val="0"/>
              <w:adjustRightInd w:val="0"/>
              <w:snapToGrid w:val="0"/>
              <w:spacing w:before="53" w:line="179" w:lineRule="auto"/>
              <w:ind w:left="122"/>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4984.12</w:t>
            </w:r>
          </w:p>
        </w:tc>
        <w:tc>
          <w:tcPr>
            <w:tcW w:w="660" w:type="dxa"/>
            <w:vAlign w:val="top"/>
          </w:tcPr>
          <w:p>
            <w:pPr>
              <w:kinsoku w:val="0"/>
              <w:autoSpaceDE w:val="0"/>
              <w:autoSpaceDN w:val="0"/>
              <w:adjustRightInd w:val="0"/>
              <w:snapToGrid w:val="0"/>
              <w:spacing w:before="53" w:line="179" w:lineRule="auto"/>
              <w:ind w:left="213"/>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1980</w:t>
            </w:r>
          </w:p>
        </w:tc>
        <w:tc>
          <w:tcPr>
            <w:tcW w:w="649" w:type="dxa"/>
            <w:vAlign w:val="top"/>
          </w:tcPr>
          <w:p>
            <w:pPr>
              <w:kinsoku w:val="0"/>
              <w:autoSpaceDE w:val="0"/>
              <w:autoSpaceDN w:val="0"/>
              <w:adjustRightInd w:val="0"/>
              <w:snapToGrid w:val="0"/>
              <w:spacing w:before="53" w:line="178" w:lineRule="auto"/>
              <w:ind w:left="123"/>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2444.76</w:t>
            </w:r>
          </w:p>
        </w:tc>
        <w:tc>
          <w:tcPr>
            <w:tcW w:w="659" w:type="dxa"/>
            <w:vAlign w:val="top"/>
          </w:tcPr>
          <w:p>
            <w:pPr>
              <w:kinsoku w:val="0"/>
              <w:autoSpaceDE w:val="0"/>
              <w:autoSpaceDN w:val="0"/>
              <w:adjustRightInd w:val="0"/>
              <w:snapToGrid w:val="0"/>
              <w:spacing w:before="53" w:line="178" w:lineRule="auto"/>
              <w:ind w:left="154"/>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207.88</w:t>
            </w:r>
          </w:p>
        </w:tc>
        <w:tc>
          <w:tcPr>
            <w:tcW w:w="660" w:type="dxa"/>
            <w:vAlign w:val="top"/>
          </w:tcPr>
          <w:p>
            <w:pPr>
              <w:kinsoku w:val="0"/>
              <w:autoSpaceDE w:val="0"/>
              <w:autoSpaceDN w:val="0"/>
              <w:adjustRightInd w:val="0"/>
              <w:snapToGrid w:val="0"/>
              <w:spacing w:before="53" w:line="178" w:lineRule="auto"/>
              <w:ind w:left="23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882</w:t>
            </w:r>
          </w:p>
        </w:tc>
        <w:tc>
          <w:tcPr>
            <w:tcW w:w="649" w:type="dxa"/>
            <w:vAlign w:val="top"/>
          </w:tcPr>
          <w:p>
            <w:pPr>
              <w:kinsoku w:val="0"/>
              <w:autoSpaceDE w:val="0"/>
              <w:autoSpaceDN w:val="0"/>
              <w:adjustRightInd w:val="0"/>
              <w:snapToGrid w:val="0"/>
              <w:spacing w:before="53" w:line="179" w:lineRule="auto"/>
              <w:ind w:left="12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2174.92</w:t>
            </w:r>
          </w:p>
        </w:tc>
        <w:tc>
          <w:tcPr>
            <w:tcW w:w="659" w:type="dxa"/>
            <w:vAlign w:val="top"/>
          </w:tcPr>
          <w:p>
            <w:pPr>
              <w:kinsoku w:val="0"/>
              <w:autoSpaceDE w:val="0"/>
              <w:autoSpaceDN w:val="0"/>
              <w:adjustRightInd w:val="0"/>
              <w:snapToGrid w:val="0"/>
              <w:spacing w:before="53" w:line="179" w:lineRule="auto"/>
              <w:ind w:left="126"/>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1167.64</w:t>
            </w:r>
          </w:p>
        </w:tc>
        <w:tc>
          <w:tcPr>
            <w:tcW w:w="660" w:type="dxa"/>
            <w:vAlign w:val="top"/>
          </w:tcPr>
          <w:p>
            <w:pPr>
              <w:kinsoku w:val="0"/>
              <w:autoSpaceDE w:val="0"/>
              <w:autoSpaceDN w:val="0"/>
              <w:adjustRightInd w:val="0"/>
              <w:snapToGrid w:val="0"/>
              <w:spacing w:before="53" w:line="178" w:lineRule="auto"/>
              <w:ind w:left="157"/>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364.52</w:t>
            </w:r>
          </w:p>
        </w:tc>
        <w:tc>
          <w:tcPr>
            <w:tcW w:w="649" w:type="dxa"/>
            <w:vAlign w:val="top"/>
          </w:tcPr>
          <w:p>
            <w:pPr>
              <w:kinsoku w:val="0"/>
              <w:autoSpaceDE w:val="0"/>
              <w:autoSpaceDN w:val="0"/>
              <w:adjustRightInd w:val="0"/>
              <w:snapToGrid w:val="0"/>
              <w:spacing w:before="53" w:line="178" w:lineRule="auto"/>
              <w:ind w:left="207"/>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2857</w:t>
            </w:r>
          </w:p>
        </w:tc>
        <w:tc>
          <w:tcPr>
            <w:tcW w:w="660" w:type="dxa"/>
            <w:vAlign w:val="top"/>
          </w:tcPr>
          <w:p>
            <w:pPr>
              <w:kinsoku w:val="0"/>
              <w:autoSpaceDE w:val="0"/>
              <w:autoSpaceDN w:val="0"/>
              <w:adjustRightInd w:val="0"/>
              <w:snapToGrid w:val="0"/>
              <w:spacing w:before="53" w:line="179" w:lineRule="auto"/>
              <w:ind w:left="21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4116</w:t>
            </w:r>
          </w:p>
        </w:tc>
        <w:tc>
          <w:tcPr>
            <w:tcW w:w="650" w:type="dxa"/>
            <w:vAlign w:val="top"/>
          </w:tcPr>
          <w:p>
            <w:pPr>
              <w:kinsoku w:val="0"/>
              <w:autoSpaceDE w:val="0"/>
              <w:autoSpaceDN w:val="0"/>
              <w:adjustRightInd w:val="0"/>
              <w:snapToGrid w:val="0"/>
              <w:spacing w:before="53" w:line="179" w:lineRule="auto"/>
              <w:ind w:left="15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891.04</w:t>
            </w:r>
          </w:p>
        </w:tc>
        <w:tc>
          <w:tcPr>
            <w:tcW w:w="659" w:type="dxa"/>
            <w:vAlign w:val="top"/>
          </w:tcPr>
          <w:p>
            <w:pPr>
              <w:kinsoku w:val="0"/>
              <w:autoSpaceDE w:val="0"/>
              <w:autoSpaceDN w:val="0"/>
              <w:adjustRightInd w:val="0"/>
              <w:snapToGrid w:val="0"/>
              <w:spacing w:before="53" w:line="178" w:lineRule="auto"/>
              <w:ind w:left="127"/>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3979.08</w:t>
            </w:r>
          </w:p>
        </w:tc>
        <w:tc>
          <w:tcPr>
            <w:tcW w:w="707" w:type="dxa"/>
            <w:vAlign w:val="top"/>
          </w:tcPr>
          <w:p>
            <w:pPr>
              <w:kinsoku w:val="0"/>
              <w:autoSpaceDE w:val="0"/>
              <w:autoSpaceDN w:val="0"/>
              <w:adjustRightInd w:val="0"/>
              <w:snapToGrid w:val="0"/>
              <w:spacing w:before="53" w:line="178" w:lineRule="auto"/>
              <w:ind w:left="159"/>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3340.4</w:t>
            </w:r>
          </w:p>
        </w:tc>
        <w:tc>
          <w:tcPr>
            <w:tcW w:w="917" w:type="dxa"/>
            <w:vAlign w:val="top"/>
          </w:tcPr>
          <w:p>
            <w:pPr>
              <w:kinsoku w:val="0"/>
              <w:autoSpaceDE w:val="0"/>
              <w:autoSpaceDN w:val="0"/>
              <w:adjustRightInd w:val="0"/>
              <w:snapToGrid w:val="0"/>
              <w:spacing w:before="53" w:line="178" w:lineRule="auto"/>
              <w:ind w:left="419"/>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589" w:type="dxa"/>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3692" w:type="dxa"/>
            <w:gridSpan w:val="4"/>
            <w:vAlign w:val="top"/>
          </w:tcPr>
          <w:p>
            <w:pPr>
              <w:kinsoku w:val="0"/>
              <w:autoSpaceDE w:val="0"/>
              <w:autoSpaceDN w:val="0"/>
              <w:adjustRightInd w:val="0"/>
              <w:snapToGrid w:val="0"/>
              <w:spacing w:before="26" w:line="221" w:lineRule="auto"/>
              <w:ind w:left="141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地方资金</w:t>
            </w:r>
          </w:p>
        </w:tc>
        <w:tc>
          <w:tcPr>
            <w:tcW w:w="1163"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599"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49"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60"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49"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59"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60"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49"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59"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60"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49"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60"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50"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659"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707"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c>
          <w:tcPr>
            <w:tcW w:w="917" w:type="dxa"/>
            <w:vAlign w:val="top"/>
          </w:tcPr>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589" w:type="dxa"/>
            <w:vMerge w:val="restart"/>
            <w:tcBorders>
              <w:bottom w:val="nil"/>
            </w:tcBorders>
            <w:vAlign w:val="top"/>
          </w:tcPr>
          <w:p>
            <w:pPr>
              <w:widowControl/>
              <w:kinsoku w:val="0"/>
              <w:autoSpaceDE w:val="0"/>
              <w:autoSpaceDN w:val="0"/>
              <w:adjustRightInd w:val="0"/>
              <w:snapToGrid w:val="0"/>
              <w:spacing w:line="357" w:lineRule="auto"/>
              <w:jc w:val="left"/>
              <w:textAlignment w:val="baseline"/>
              <w:rPr>
                <w:rFonts w:ascii="Arial" w:hAnsi="Arial" w:eastAsia="Arial" w:cs="Arial"/>
                <w:snapToGrid w:val="0"/>
                <w:color w:val="000000"/>
                <w:kern w:val="0"/>
                <w:sz w:val="12"/>
                <w:szCs w:val="12"/>
                <w:lang w:eastAsia="en-US"/>
              </w:rPr>
            </w:pPr>
          </w:p>
          <w:p>
            <w:pPr>
              <w:kinsoku w:val="0"/>
              <w:autoSpaceDE w:val="0"/>
              <w:autoSpaceDN w:val="0"/>
              <w:adjustRightInd w:val="0"/>
              <w:snapToGrid w:val="0"/>
              <w:spacing w:before="36" w:line="211" w:lineRule="auto"/>
              <w:ind w:left="144" w:right="28" w:hanging="109"/>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年度目</w:t>
            </w:r>
            <w:r>
              <w:rPr>
                <w:rFonts w:ascii="宋体" w:hAnsi="宋体" w:eastAsia="宋体" w:cs="宋体"/>
                <w:snapToGrid w:val="0"/>
                <w:color w:val="000000"/>
                <w:spacing w:val="1"/>
                <w:kern w:val="0"/>
                <w:sz w:val="12"/>
                <w:szCs w:val="12"/>
                <w:lang w:val="en-US" w:eastAsia="en-US" w:bidi="ar-SA"/>
              </w:rPr>
              <w:t xml:space="preserve"> </w:t>
            </w:r>
            <w:r>
              <w:rPr>
                <w:rFonts w:ascii="宋体" w:hAnsi="宋体" w:eastAsia="宋体" w:cs="宋体"/>
                <w:snapToGrid w:val="0"/>
                <w:color w:val="000000"/>
                <w:kern w:val="0"/>
                <w:sz w:val="12"/>
                <w:szCs w:val="12"/>
                <w:lang w:val="en-US" w:eastAsia="en-US" w:bidi="ar-SA"/>
              </w:rPr>
              <w:t>标</w:t>
            </w:r>
          </w:p>
        </w:tc>
        <w:tc>
          <w:tcPr>
            <w:tcW w:w="3692" w:type="dxa"/>
            <w:gridSpan w:val="4"/>
            <w:vAlign w:val="top"/>
          </w:tcPr>
          <w:p>
            <w:pPr>
              <w:kinsoku w:val="0"/>
              <w:autoSpaceDE w:val="0"/>
              <w:autoSpaceDN w:val="0"/>
              <w:adjustRightInd w:val="0"/>
              <w:snapToGrid w:val="0"/>
              <w:spacing w:before="15" w:line="210" w:lineRule="auto"/>
              <w:ind w:left="10" w:right="3"/>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5"/>
                <w:kern w:val="0"/>
                <w:sz w:val="12"/>
                <w:szCs w:val="12"/>
                <w:lang w:val="en-US" w:eastAsia="zh-CN" w:bidi="ar-SA"/>
              </w:rPr>
              <w:t>口蹄疫、高致病性禽流感</w:t>
            </w:r>
            <w:r>
              <w:rPr>
                <w:rFonts w:ascii="宋体" w:hAnsi="宋体" w:eastAsia="宋体" w:cs="宋体"/>
                <w:snapToGrid w:val="0"/>
                <w:color w:val="000000"/>
                <w:spacing w:val="-5"/>
                <w:kern w:val="0"/>
                <w:sz w:val="12"/>
                <w:szCs w:val="12"/>
                <w:lang w:val="en-US" w:eastAsia="en-US" w:bidi="ar-SA"/>
              </w:rPr>
              <w:t>、小反刍兽疫</w:t>
            </w:r>
            <w:r>
              <w:rPr>
                <w:rFonts w:hint="eastAsia" w:ascii="宋体" w:hAnsi="宋体" w:eastAsia="宋体" w:cs="宋体"/>
                <w:snapToGrid w:val="0"/>
                <w:color w:val="000000"/>
                <w:spacing w:val="-5"/>
                <w:kern w:val="0"/>
                <w:sz w:val="12"/>
                <w:szCs w:val="12"/>
                <w:lang w:val="en-US" w:eastAsia="zh-CN" w:bidi="ar-SA"/>
              </w:rPr>
              <w:t>强制</w:t>
            </w:r>
            <w:r>
              <w:rPr>
                <w:rFonts w:ascii="宋体" w:hAnsi="宋体" w:eastAsia="宋体" w:cs="宋体"/>
                <w:snapToGrid w:val="0"/>
                <w:color w:val="000000"/>
                <w:spacing w:val="-5"/>
                <w:kern w:val="0"/>
                <w:sz w:val="12"/>
                <w:szCs w:val="12"/>
                <w:lang w:val="en-US" w:eastAsia="en-US" w:bidi="ar-SA"/>
              </w:rPr>
              <w:t>免疫密度达到90%。平</w:t>
            </w:r>
            <w:r>
              <w:rPr>
                <w:rFonts w:ascii="宋体" w:hAnsi="宋体" w:eastAsia="宋体" w:cs="宋体"/>
                <w:snapToGrid w:val="0"/>
                <w:color w:val="000000"/>
                <w:spacing w:val="-1"/>
                <w:kern w:val="0"/>
                <w:sz w:val="12"/>
                <w:szCs w:val="12"/>
                <w:lang w:val="en-US" w:eastAsia="en-US" w:bidi="ar-SA"/>
              </w:rPr>
              <w:t>均免疫抗体合格率常年保持70%以上</w:t>
            </w:r>
          </w:p>
        </w:tc>
        <w:tc>
          <w:tcPr>
            <w:tcW w:w="1163" w:type="dxa"/>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99" w:type="dxa"/>
            <w:vAlign w:val="top"/>
          </w:tcPr>
          <w:p>
            <w:pPr>
              <w:kinsoku w:val="0"/>
              <w:autoSpaceDE w:val="0"/>
              <w:autoSpaceDN w:val="0"/>
              <w:adjustRightInd w:val="0"/>
              <w:snapToGrid w:val="0"/>
              <w:spacing w:before="116" w:line="238" w:lineRule="auto"/>
              <w:ind w:left="262"/>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49" w:type="dxa"/>
            <w:vAlign w:val="top"/>
          </w:tcPr>
          <w:p>
            <w:pPr>
              <w:kinsoku w:val="0"/>
              <w:autoSpaceDE w:val="0"/>
              <w:autoSpaceDN w:val="0"/>
              <w:adjustRightInd w:val="0"/>
              <w:snapToGrid w:val="0"/>
              <w:spacing w:before="116" w:line="238" w:lineRule="auto"/>
              <w:ind w:left="262"/>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60" w:type="dxa"/>
            <w:vAlign w:val="top"/>
          </w:tcPr>
          <w:p>
            <w:pPr>
              <w:kinsoku w:val="0"/>
              <w:autoSpaceDE w:val="0"/>
              <w:autoSpaceDN w:val="0"/>
              <w:adjustRightInd w:val="0"/>
              <w:snapToGrid w:val="0"/>
              <w:spacing w:before="116" w:line="238" w:lineRule="auto"/>
              <w:ind w:left="263"/>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49" w:type="dxa"/>
            <w:vAlign w:val="top"/>
          </w:tcPr>
          <w:p>
            <w:pPr>
              <w:kinsoku w:val="0"/>
              <w:autoSpaceDE w:val="0"/>
              <w:autoSpaceDN w:val="0"/>
              <w:adjustRightInd w:val="0"/>
              <w:snapToGrid w:val="0"/>
              <w:spacing w:before="116" w:line="238" w:lineRule="auto"/>
              <w:ind w:left="263"/>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59" w:type="dxa"/>
            <w:vAlign w:val="top"/>
          </w:tcPr>
          <w:p>
            <w:pPr>
              <w:kinsoku w:val="0"/>
              <w:autoSpaceDE w:val="0"/>
              <w:autoSpaceDN w:val="0"/>
              <w:adjustRightInd w:val="0"/>
              <w:snapToGrid w:val="0"/>
              <w:spacing w:before="116" w:line="238" w:lineRule="auto"/>
              <w:ind w:left="264"/>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60" w:type="dxa"/>
            <w:vAlign w:val="top"/>
          </w:tcPr>
          <w:p>
            <w:pPr>
              <w:kinsoku w:val="0"/>
              <w:autoSpaceDE w:val="0"/>
              <w:autoSpaceDN w:val="0"/>
              <w:adjustRightInd w:val="0"/>
              <w:snapToGrid w:val="0"/>
              <w:spacing w:before="116" w:line="238" w:lineRule="auto"/>
              <w:ind w:left="26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49" w:type="dxa"/>
            <w:vAlign w:val="top"/>
          </w:tcPr>
          <w:p>
            <w:pPr>
              <w:kinsoku w:val="0"/>
              <w:autoSpaceDE w:val="0"/>
              <w:autoSpaceDN w:val="0"/>
              <w:adjustRightInd w:val="0"/>
              <w:snapToGrid w:val="0"/>
              <w:spacing w:before="116" w:line="238" w:lineRule="auto"/>
              <w:ind w:left="26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59" w:type="dxa"/>
            <w:vAlign w:val="top"/>
          </w:tcPr>
          <w:p>
            <w:pPr>
              <w:kinsoku w:val="0"/>
              <w:autoSpaceDE w:val="0"/>
              <w:autoSpaceDN w:val="0"/>
              <w:adjustRightInd w:val="0"/>
              <w:snapToGrid w:val="0"/>
              <w:spacing w:before="134" w:line="182" w:lineRule="auto"/>
              <w:ind w:left="296"/>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V</w:t>
            </w:r>
          </w:p>
        </w:tc>
        <w:tc>
          <w:tcPr>
            <w:tcW w:w="660" w:type="dxa"/>
            <w:vAlign w:val="top"/>
          </w:tcPr>
          <w:p>
            <w:pPr>
              <w:kinsoku w:val="0"/>
              <w:autoSpaceDE w:val="0"/>
              <w:autoSpaceDN w:val="0"/>
              <w:adjustRightInd w:val="0"/>
              <w:snapToGrid w:val="0"/>
              <w:spacing w:before="116" w:line="238" w:lineRule="auto"/>
              <w:ind w:left="267"/>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49" w:type="dxa"/>
            <w:vAlign w:val="top"/>
          </w:tcPr>
          <w:p>
            <w:pPr>
              <w:kinsoku w:val="0"/>
              <w:autoSpaceDE w:val="0"/>
              <w:autoSpaceDN w:val="0"/>
              <w:adjustRightInd w:val="0"/>
              <w:snapToGrid w:val="0"/>
              <w:spacing w:before="116" w:line="238" w:lineRule="auto"/>
              <w:ind w:left="267"/>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60" w:type="dxa"/>
            <w:vAlign w:val="top"/>
          </w:tcPr>
          <w:p>
            <w:pPr>
              <w:kinsoku w:val="0"/>
              <w:autoSpaceDE w:val="0"/>
              <w:autoSpaceDN w:val="0"/>
              <w:adjustRightInd w:val="0"/>
              <w:snapToGrid w:val="0"/>
              <w:spacing w:before="116" w:line="238" w:lineRule="auto"/>
              <w:ind w:left="26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50" w:type="dxa"/>
            <w:vAlign w:val="top"/>
          </w:tcPr>
          <w:p>
            <w:pPr>
              <w:kinsoku w:val="0"/>
              <w:autoSpaceDE w:val="0"/>
              <w:autoSpaceDN w:val="0"/>
              <w:adjustRightInd w:val="0"/>
              <w:snapToGrid w:val="0"/>
              <w:spacing w:before="134" w:line="182" w:lineRule="auto"/>
              <w:ind w:left="28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V</w:t>
            </w:r>
          </w:p>
        </w:tc>
        <w:tc>
          <w:tcPr>
            <w:tcW w:w="659" w:type="dxa"/>
            <w:vAlign w:val="top"/>
          </w:tcPr>
          <w:p>
            <w:pPr>
              <w:kinsoku w:val="0"/>
              <w:autoSpaceDE w:val="0"/>
              <w:autoSpaceDN w:val="0"/>
              <w:adjustRightInd w:val="0"/>
              <w:snapToGrid w:val="0"/>
              <w:spacing w:before="134" w:line="182" w:lineRule="auto"/>
              <w:ind w:left="29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V</w:t>
            </w:r>
          </w:p>
        </w:tc>
        <w:tc>
          <w:tcPr>
            <w:tcW w:w="707" w:type="dxa"/>
            <w:vAlign w:val="top"/>
          </w:tcPr>
          <w:p>
            <w:pPr>
              <w:kinsoku w:val="0"/>
              <w:autoSpaceDE w:val="0"/>
              <w:autoSpaceDN w:val="0"/>
              <w:adjustRightInd w:val="0"/>
              <w:snapToGrid w:val="0"/>
              <w:spacing w:before="116" w:line="238" w:lineRule="auto"/>
              <w:ind w:left="269"/>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917" w:type="dxa"/>
            <w:vAlign w:val="top"/>
          </w:tcPr>
          <w:p>
            <w:pPr>
              <w:kinsoku w:val="0"/>
              <w:autoSpaceDE w:val="0"/>
              <w:autoSpaceDN w:val="0"/>
              <w:adjustRightInd w:val="0"/>
              <w:snapToGrid w:val="0"/>
              <w:spacing w:before="116" w:line="238" w:lineRule="auto"/>
              <w:ind w:left="419"/>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3692" w:type="dxa"/>
            <w:gridSpan w:val="4"/>
            <w:vAlign w:val="top"/>
          </w:tcPr>
          <w:p>
            <w:pPr>
              <w:kinsoku w:val="0"/>
              <w:autoSpaceDE w:val="0"/>
              <w:autoSpaceDN w:val="0"/>
              <w:adjustRightInd w:val="0"/>
              <w:snapToGrid w:val="0"/>
              <w:spacing w:before="115" w:line="219" w:lineRule="auto"/>
              <w:ind w:left="1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强制扑杀应补尽补</w:t>
            </w:r>
          </w:p>
        </w:tc>
        <w:tc>
          <w:tcPr>
            <w:tcW w:w="1163" w:type="dxa"/>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99" w:type="dxa"/>
            <w:vAlign w:val="top"/>
          </w:tcPr>
          <w:p>
            <w:pPr>
              <w:kinsoku w:val="0"/>
              <w:autoSpaceDE w:val="0"/>
              <w:autoSpaceDN w:val="0"/>
              <w:adjustRightInd w:val="0"/>
              <w:snapToGrid w:val="0"/>
              <w:spacing w:before="126" w:line="238" w:lineRule="auto"/>
              <w:ind w:left="262"/>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49" w:type="dxa"/>
            <w:vAlign w:val="top"/>
          </w:tcPr>
          <w:p>
            <w:pPr>
              <w:kinsoku w:val="0"/>
              <w:autoSpaceDE w:val="0"/>
              <w:autoSpaceDN w:val="0"/>
              <w:adjustRightInd w:val="0"/>
              <w:snapToGrid w:val="0"/>
              <w:spacing w:before="126" w:line="238" w:lineRule="auto"/>
              <w:ind w:left="262"/>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60" w:type="dxa"/>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649" w:type="dxa"/>
            <w:vAlign w:val="top"/>
          </w:tcPr>
          <w:p>
            <w:pPr>
              <w:kinsoku w:val="0"/>
              <w:autoSpaceDE w:val="0"/>
              <w:autoSpaceDN w:val="0"/>
              <w:adjustRightInd w:val="0"/>
              <w:snapToGrid w:val="0"/>
              <w:spacing w:before="126" w:line="238" w:lineRule="auto"/>
              <w:ind w:left="263"/>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59" w:type="dxa"/>
            <w:vAlign w:val="top"/>
          </w:tcPr>
          <w:p>
            <w:pPr>
              <w:kinsoku w:val="0"/>
              <w:autoSpaceDE w:val="0"/>
              <w:autoSpaceDN w:val="0"/>
              <w:adjustRightInd w:val="0"/>
              <w:snapToGrid w:val="0"/>
              <w:spacing w:before="126" w:line="238" w:lineRule="auto"/>
              <w:ind w:left="264"/>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60" w:type="dxa"/>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649" w:type="dxa"/>
            <w:vAlign w:val="top"/>
          </w:tcPr>
          <w:p>
            <w:pPr>
              <w:kinsoku w:val="0"/>
              <w:autoSpaceDE w:val="0"/>
              <w:autoSpaceDN w:val="0"/>
              <w:adjustRightInd w:val="0"/>
              <w:snapToGrid w:val="0"/>
              <w:spacing w:before="126" w:line="238" w:lineRule="auto"/>
              <w:ind w:left="26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59" w:type="dxa"/>
            <w:vAlign w:val="top"/>
          </w:tcPr>
          <w:p>
            <w:pPr>
              <w:kinsoku w:val="0"/>
              <w:autoSpaceDE w:val="0"/>
              <w:autoSpaceDN w:val="0"/>
              <w:adjustRightInd w:val="0"/>
              <w:snapToGrid w:val="0"/>
              <w:spacing w:before="126" w:line="238" w:lineRule="auto"/>
              <w:ind w:left="266"/>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60" w:type="dxa"/>
            <w:vAlign w:val="top"/>
          </w:tcPr>
          <w:p>
            <w:pPr>
              <w:kinsoku w:val="0"/>
              <w:autoSpaceDE w:val="0"/>
              <w:autoSpaceDN w:val="0"/>
              <w:adjustRightInd w:val="0"/>
              <w:snapToGrid w:val="0"/>
              <w:spacing w:before="126" w:line="238" w:lineRule="auto"/>
              <w:ind w:left="267"/>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49" w:type="dxa"/>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660" w:type="dxa"/>
            <w:vAlign w:val="top"/>
          </w:tcPr>
          <w:p>
            <w:pPr>
              <w:kinsoku w:val="0"/>
              <w:autoSpaceDE w:val="0"/>
              <w:autoSpaceDN w:val="0"/>
              <w:adjustRightInd w:val="0"/>
              <w:snapToGrid w:val="0"/>
              <w:spacing w:before="126" w:line="238" w:lineRule="auto"/>
              <w:ind w:left="26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50" w:type="dxa"/>
            <w:vAlign w:val="top"/>
          </w:tcPr>
          <w:p>
            <w:pPr>
              <w:kinsoku w:val="0"/>
              <w:autoSpaceDE w:val="0"/>
              <w:autoSpaceDN w:val="0"/>
              <w:adjustRightInd w:val="0"/>
              <w:snapToGrid w:val="0"/>
              <w:spacing w:before="126" w:line="238" w:lineRule="auto"/>
              <w:ind w:left="26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59" w:type="dxa"/>
            <w:vAlign w:val="top"/>
          </w:tcPr>
          <w:p>
            <w:pPr>
              <w:kinsoku w:val="0"/>
              <w:autoSpaceDE w:val="0"/>
              <w:autoSpaceDN w:val="0"/>
              <w:adjustRightInd w:val="0"/>
              <w:snapToGrid w:val="0"/>
              <w:spacing w:before="126" w:line="238" w:lineRule="auto"/>
              <w:ind w:left="26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707" w:type="dxa"/>
            <w:vAlign w:val="top"/>
          </w:tcPr>
          <w:p>
            <w:pPr>
              <w:kinsoku w:val="0"/>
              <w:autoSpaceDE w:val="0"/>
              <w:autoSpaceDN w:val="0"/>
              <w:adjustRightInd w:val="0"/>
              <w:snapToGrid w:val="0"/>
              <w:spacing w:before="144" w:line="182" w:lineRule="auto"/>
              <w:ind w:left="299"/>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V</w:t>
            </w:r>
          </w:p>
        </w:tc>
        <w:tc>
          <w:tcPr>
            <w:tcW w:w="917" w:type="dxa"/>
            <w:vAlign w:val="top"/>
          </w:tcPr>
          <w:p>
            <w:pPr>
              <w:kinsoku w:val="0"/>
              <w:autoSpaceDE w:val="0"/>
              <w:autoSpaceDN w:val="0"/>
              <w:adjustRightInd w:val="0"/>
              <w:snapToGrid w:val="0"/>
              <w:spacing w:before="144" w:line="182" w:lineRule="auto"/>
              <w:ind w:left="449"/>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589" w:type="dxa"/>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3692" w:type="dxa"/>
            <w:gridSpan w:val="4"/>
            <w:vAlign w:val="top"/>
          </w:tcPr>
          <w:p>
            <w:pPr>
              <w:kinsoku w:val="0"/>
              <w:autoSpaceDE w:val="0"/>
              <w:autoSpaceDN w:val="0"/>
              <w:adjustRightInd w:val="0"/>
              <w:snapToGrid w:val="0"/>
              <w:spacing w:before="106" w:line="219" w:lineRule="auto"/>
              <w:ind w:left="1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生猪养殖</w:t>
            </w:r>
            <w:r>
              <w:rPr>
                <w:rFonts w:hint="eastAsia" w:ascii="宋体" w:hAnsi="宋体" w:eastAsia="宋体" w:cs="宋体"/>
                <w:snapToGrid w:val="0"/>
                <w:color w:val="000000"/>
                <w:spacing w:val="-1"/>
                <w:kern w:val="0"/>
                <w:sz w:val="12"/>
                <w:szCs w:val="12"/>
                <w:lang w:val="en-US" w:eastAsia="zh-CN" w:bidi="ar-SA"/>
              </w:rPr>
              <w:t>重点</w:t>
            </w:r>
            <w:r>
              <w:rPr>
                <w:rFonts w:ascii="宋体" w:hAnsi="宋体" w:eastAsia="宋体" w:cs="宋体"/>
                <w:snapToGrid w:val="0"/>
                <w:color w:val="000000"/>
                <w:spacing w:val="-1"/>
                <w:kern w:val="0"/>
                <w:sz w:val="12"/>
                <w:szCs w:val="12"/>
                <w:lang w:val="en-US" w:eastAsia="en-US" w:bidi="ar-SA"/>
              </w:rPr>
              <w:t>区域养殖环节病死猪</w:t>
            </w:r>
            <w:r>
              <w:rPr>
                <w:rFonts w:hint="eastAsia" w:ascii="宋体" w:hAnsi="宋体" w:eastAsia="宋体" w:cs="宋体"/>
                <w:snapToGrid w:val="0"/>
                <w:color w:val="000000"/>
                <w:spacing w:val="-1"/>
                <w:kern w:val="0"/>
                <w:sz w:val="12"/>
                <w:szCs w:val="12"/>
                <w:lang w:val="en-US" w:eastAsia="zh-CN" w:bidi="ar-SA"/>
              </w:rPr>
              <w:t>无害</w:t>
            </w:r>
            <w:r>
              <w:rPr>
                <w:rFonts w:ascii="宋体" w:hAnsi="宋体" w:eastAsia="宋体" w:cs="宋体"/>
                <w:snapToGrid w:val="0"/>
                <w:color w:val="000000"/>
                <w:spacing w:val="-1"/>
                <w:kern w:val="0"/>
                <w:sz w:val="12"/>
                <w:szCs w:val="12"/>
                <w:lang w:val="en-US" w:eastAsia="en-US" w:bidi="ar-SA"/>
              </w:rPr>
              <w:t>化处理应补尽补</w:t>
            </w:r>
          </w:p>
        </w:tc>
        <w:tc>
          <w:tcPr>
            <w:tcW w:w="1163" w:type="dxa"/>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99" w:type="dxa"/>
            <w:vAlign w:val="top"/>
          </w:tcPr>
          <w:p>
            <w:pPr>
              <w:kinsoku w:val="0"/>
              <w:autoSpaceDE w:val="0"/>
              <w:autoSpaceDN w:val="0"/>
              <w:adjustRightInd w:val="0"/>
              <w:snapToGrid w:val="0"/>
              <w:spacing w:before="117" w:line="238" w:lineRule="auto"/>
              <w:ind w:left="262"/>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49" w:type="dxa"/>
            <w:vAlign w:val="top"/>
          </w:tcPr>
          <w:p>
            <w:pPr>
              <w:kinsoku w:val="0"/>
              <w:autoSpaceDE w:val="0"/>
              <w:autoSpaceDN w:val="0"/>
              <w:adjustRightInd w:val="0"/>
              <w:snapToGrid w:val="0"/>
              <w:spacing w:before="117" w:line="238" w:lineRule="auto"/>
              <w:ind w:left="262"/>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60" w:type="dxa"/>
            <w:vAlign w:val="top"/>
          </w:tcPr>
          <w:p>
            <w:pPr>
              <w:kinsoku w:val="0"/>
              <w:autoSpaceDE w:val="0"/>
              <w:autoSpaceDN w:val="0"/>
              <w:adjustRightInd w:val="0"/>
              <w:snapToGrid w:val="0"/>
              <w:spacing w:before="117" w:line="240" w:lineRule="auto"/>
              <w:ind w:left="293"/>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v</w:t>
            </w:r>
          </w:p>
        </w:tc>
        <w:tc>
          <w:tcPr>
            <w:tcW w:w="649" w:type="dxa"/>
            <w:vAlign w:val="top"/>
          </w:tcPr>
          <w:p>
            <w:pPr>
              <w:kinsoku w:val="0"/>
              <w:autoSpaceDE w:val="0"/>
              <w:autoSpaceDN w:val="0"/>
              <w:adjustRightInd w:val="0"/>
              <w:snapToGrid w:val="0"/>
              <w:spacing w:before="117" w:line="238" w:lineRule="auto"/>
              <w:ind w:left="263"/>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59" w:type="dxa"/>
            <w:vAlign w:val="top"/>
          </w:tcPr>
          <w:p>
            <w:pPr>
              <w:kinsoku w:val="0"/>
              <w:autoSpaceDE w:val="0"/>
              <w:autoSpaceDN w:val="0"/>
              <w:adjustRightInd w:val="0"/>
              <w:snapToGrid w:val="0"/>
              <w:spacing w:before="117" w:line="238" w:lineRule="auto"/>
              <w:ind w:left="264"/>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60" w:type="dxa"/>
            <w:vAlign w:val="top"/>
          </w:tcPr>
          <w:p>
            <w:pPr>
              <w:kinsoku w:val="0"/>
              <w:autoSpaceDE w:val="0"/>
              <w:autoSpaceDN w:val="0"/>
              <w:adjustRightInd w:val="0"/>
              <w:snapToGrid w:val="0"/>
              <w:spacing w:before="117" w:line="238" w:lineRule="auto"/>
              <w:ind w:left="26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49" w:type="dxa"/>
            <w:vAlign w:val="top"/>
          </w:tcPr>
          <w:p>
            <w:pPr>
              <w:kinsoku w:val="0"/>
              <w:autoSpaceDE w:val="0"/>
              <w:autoSpaceDN w:val="0"/>
              <w:adjustRightInd w:val="0"/>
              <w:snapToGrid w:val="0"/>
              <w:spacing w:before="117" w:line="238" w:lineRule="auto"/>
              <w:ind w:left="265"/>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59" w:type="dxa"/>
            <w:vAlign w:val="top"/>
          </w:tcPr>
          <w:p>
            <w:pPr>
              <w:kinsoku w:val="0"/>
              <w:autoSpaceDE w:val="0"/>
              <w:autoSpaceDN w:val="0"/>
              <w:adjustRightInd w:val="0"/>
              <w:snapToGrid w:val="0"/>
              <w:spacing w:before="135" w:line="182" w:lineRule="auto"/>
              <w:ind w:left="296"/>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V</w:t>
            </w:r>
          </w:p>
        </w:tc>
        <w:tc>
          <w:tcPr>
            <w:tcW w:w="660" w:type="dxa"/>
            <w:vAlign w:val="top"/>
          </w:tcPr>
          <w:p>
            <w:pPr>
              <w:kinsoku w:val="0"/>
              <w:autoSpaceDE w:val="0"/>
              <w:autoSpaceDN w:val="0"/>
              <w:adjustRightInd w:val="0"/>
              <w:snapToGrid w:val="0"/>
              <w:spacing w:before="117" w:line="238" w:lineRule="auto"/>
              <w:ind w:left="267"/>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49" w:type="dxa"/>
            <w:vAlign w:val="top"/>
          </w:tcPr>
          <w:p>
            <w:pPr>
              <w:kinsoku w:val="0"/>
              <w:autoSpaceDE w:val="0"/>
              <w:autoSpaceDN w:val="0"/>
              <w:adjustRightInd w:val="0"/>
              <w:snapToGrid w:val="0"/>
              <w:spacing w:before="135" w:line="182" w:lineRule="auto"/>
              <w:ind w:left="287"/>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V</w:t>
            </w:r>
          </w:p>
        </w:tc>
        <w:tc>
          <w:tcPr>
            <w:tcW w:w="660" w:type="dxa"/>
            <w:vAlign w:val="top"/>
          </w:tcPr>
          <w:p>
            <w:pPr>
              <w:kinsoku w:val="0"/>
              <w:autoSpaceDE w:val="0"/>
              <w:autoSpaceDN w:val="0"/>
              <w:adjustRightInd w:val="0"/>
              <w:snapToGrid w:val="0"/>
              <w:spacing w:before="117" w:line="238" w:lineRule="auto"/>
              <w:ind w:left="26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50" w:type="dxa"/>
            <w:vAlign w:val="top"/>
          </w:tcPr>
          <w:p>
            <w:pPr>
              <w:kinsoku w:val="0"/>
              <w:autoSpaceDE w:val="0"/>
              <w:autoSpaceDN w:val="0"/>
              <w:adjustRightInd w:val="0"/>
              <w:snapToGrid w:val="0"/>
              <w:spacing w:before="117" w:line="238" w:lineRule="auto"/>
              <w:ind w:left="26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659" w:type="dxa"/>
            <w:vAlign w:val="top"/>
          </w:tcPr>
          <w:p>
            <w:pPr>
              <w:kinsoku w:val="0"/>
              <w:autoSpaceDE w:val="0"/>
              <w:autoSpaceDN w:val="0"/>
              <w:adjustRightInd w:val="0"/>
              <w:snapToGrid w:val="0"/>
              <w:spacing w:before="135" w:line="182" w:lineRule="auto"/>
              <w:ind w:left="298"/>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V</w:t>
            </w:r>
          </w:p>
        </w:tc>
        <w:tc>
          <w:tcPr>
            <w:tcW w:w="707" w:type="dxa"/>
            <w:vAlign w:val="top"/>
          </w:tcPr>
          <w:p>
            <w:pPr>
              <w:kinsoku w:val="0"/>
              <w:autoSpaceDE w:val="0"/>
              <w:autoSpaceDN w:val="0"/>
              <w:adjustRightInd w:val="0"/>
              <w:snapToGrid w:val="0"/>
              <w:spacing w:before="117" w:line="238" w:lineRule="auto"/>
              <w:ind w:left="269"/>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917" w:type="dxa"/>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589" w:type="dxa"/>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Align w:val="top"/>
          </w:tcPr>
          <w:p>
            <w:pPr>
              <w:kinsoku w:val="0"/>
              <w:autoSpaceDE w:val="0"/>
              <w:autoSpaceDN w:val="0"/>
              <w:adjustRightInd w:val="0"/>
              <w:snapToGrid w:val="0"/>
              <w:spacing w:before="117" w:line="220" w:lineRule="auto"/>
              <w:ind w:left="4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一级指标</w:t>
            </w:r>
          </w:p>
        </w:tc>
        <w:tc>
          <w:tcPr>
            <w:tcW w:w="763" w:type="dxa"/>
            <w:vAlign w:val="top"/>
          </w:tcPr>
          <w:p>
            <w:pPr>
              <w:kinsoku w:val="0"/>
              <w:autoSpaceDE w:val="0"/>
              <w:autoSpaceDN w:val="0"/>
              <w:adjustRightInd w:val="0"/>
              <w:snapToGrid w:val="0"/>
              <w:spacing w:before="117" w:line="220" w:lineRule="auto"/>
              <w:ind w:left="15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二级指标</w:t>
            </w:r>
          </w:p>
        </w:tc>
        <w:tc>
          <w:tcPr>
            <w:tcW w:w="1888" w:type="dxa"/>
            <w:vAlign w:val="top"/>
          </w:tcPr>
          <w:p>
            <w:pPr>
              <w:kinsoku w:val="0"/>
              <w:autoSpaceDE w:val="0"/>
              <w:autoSpaceDN w:val="0"/>
              <w:adjustRightInd w:val="0"/>
              <w:snapToGrid w:val="0"/>
              <w:spacing w:before="117" w:line="220" w:lineRule="auto"/>
              <w:ind w:left="39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三级指标</w:t>
            </w:r>
          </w:p>
        </w:tc>
        <w:tc>
          <w:tcPr>
            <w:tcW w:w="473" w:type="dxa"/>
            <w:vAlign w:val="top"/>
          </w:tcPr>
          <w:p>
            <w:pPr>
              <w:kinsoku w:val="0"/>
              <w:autoSpaceDE w:val="0"/>
              <w:autoSpaceDN w:val="0"/>
              <w:adjustRightInd w:val="0"/>
              <w:snapToGrid w:val="0"/>
              <w:spacing w:before="117" w:line="220" w:lineRule="auto"/>
              <w:jc w:val="center"/>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单位</w:t>
            </w:r>
          </w:p>
        </w:tc>
        <w:tc>
          <w:tcPr>
            <w:tcW w:w="1163" w:type="dxa"/>
            <w:vAlign w:val="top"/>
          </w:tcPr>
          <w:p>
            <w:pPr>
              <w:kinsoku w:val="0"/>
              <w:autoSpaceDE w:val="0"/>
              <w:autoSpaceDN w:val="0"/>
              <w:adjustRightInd w:val="0"/>
              <w:snapToGrid w:val="0"/>
              <w:spacing w:before="117" w:line="219" w:lineRule="auto"/>
              <w:jc w:val="center"/>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1"/>
                <w:kern w:val="0"/>
                <w:sz w:val="12"/>
                <w:szCs w:val="12"/>
                <w:lang w:val="en-US" w:eastAsia="zh-CN" w:bidi="ar-SA"/>
              </w:rPr>
              <w:t>指标</w:t>
            </w:r>
            <w:r>
              <w:rPr>
                <w:rFonts w:ascii="宋体" w:hAnsi="宋体" w:eastAsia="宋体" w:cs="宋体"/>
                <w:snapToGrid w:val="0"/>
                <w:color w:val="000000"/>
                <w:spacing w:val="-1"/>
                <w:kern w:val="0"/>
                <w:sz w:val="12"/>
                <w:szCs w:val="12"/>
                <w:lang w:val="en-US" w:eastAsia="en-US" w:bidi="ar-SA"/>
              </w:rPr>
              <w:t>值</w:t>
            </w:r>
          </w:p>
        </w:tc>
        <w:tc>
          <w:tcPr>
            <w:tcW w:w="10086" w:type="dxa"/>
            <w:gridSpan w:val="15"/>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589" w:type="dxa"/>
            <w:vMerge w:val="restart"/>
            <w:tcBorders>
              <w:bottom w:val="nil"/>
            </w:tcBorders>
            <w:vAlign w:val="top"/>
          </w:tcPr>
          <w:p>
            <w:pPr>
              <w:widowControl/>
              <w:kinsoku w:val="0"/>
              <w:autoSpaceDE w:val="0"/>
              <w:autoSpaceDN w:val="0"/>
              <w:adjustRightInd w:val="0"/>
              <w:snapToGrid w:val="0"/>
              <w:spacing w:line="259"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59"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59"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 w:val="12"/>
                <w:szCs w:val="12"/>
                <w:lang w:eastAsia="en-US"/>
              </w:rPr>
            </w:pPr>
          </w:p>
          <w:p>
            <w:pPr>
              <w:kinsoku w:val="0"/>
              <w:autoSpaceDE w:val="0"/>
              <w:autoSpaceDN w:val="0"/>
              <w:adjustRightInd w:val="0"/>
              <w:snapToGrid w:val="0"/>
              <w:spacing w:before="36" w:line="211" w:lineRule="auto"/>
              <w:ind w:left="144" w:right="28" w:hanging="109"/>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6"/>
                <w:kern w:val="0"/>
                <w:sz w:val="12"/>
                <w:szCs w:val="12"/>
                <w:lang w:val="en-US" w:eastAsia="zh-CN" w:bidi="ar-SA"/>
              </w:rPr>
              <w:t>绩</w:t>
            </w:r>
            <w:r>
              <w:rPr>
                <w:rFonts w:ascii="宋体" w:hAnsi="宋体" w:eastAsia="宋体" w:cs="宋体"/>
                <w:snapToGrid w:val="0"/>
                <w:color w:val="000000"/>
                <w:spacing w:val="6"/>
                <w:kern w:val="0"/>
                <w:sz w:val="12"/>
                <w:szCs w:val="12"/>
                <w:lang w:val="en-US" w:eastAsia="en-US" w:bidi="ar-SA"/>
              </w:rPr>
              <w:t>效目</w:t>
            </w:r>
            <w:r>
              <w:rPr>
                <w:rFonts w:ascii="宋体" w:hAnsi="宋体" w:eastAsia="宋体" w:cs="宋体"/>
                <w:snapToGrid w:val="0"/>
                <w:color w:val="000000"/>
                <w:kern w:val="0"/>
                <w:sz w:val="12"/>
                <w:szCs w:val="12"/>
                <w:lang w:val="en-US" w:eastAsia="en-US" w:bidi="ar-SA"/>
              </w:rPr>
              <w:t>标</w:t>
            </w:r>
          </w:p>
        </w:tc>
        <w:tc>
          <w:tcPr>
            <w:tcW w:w="568" w:type="dxa"/>
            <w:vMerge w:val="restart"/>
            <w:tcBorders>
              <w:bottom w:val="nil"/>
            </w:tcBorders>
            <w:vAlign w:val="top"/>
          </w:tcPr>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12"/>
                <w:szCs w:val="12"/>
                <w:lang w:eastAsia="en-US"/>
              </w:rPr>
            </w:pPr>
          </w:p>
          <w:p>
            <w:pPr>
              <w:kinsoku w:val="0"/>
              <w:autoSpaceDE w:val="0"/>
              <w:autoSpaceDN w:val="0"/>
              <w:adjustRightInd w:val="0"/>
              <w:snapToGrid w:val="0"/>
              <w:spacing w:before="36" w:line="219" w:lineRule="auto"/>
              <w:ind w:left="4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产出指标</w:t>
            </w:r>
          </w:p>
        </w:tc>
        <w:tc>
          <w:tcPr>
            <w:tcW w:w="763" w:type="dxa"/>
            <w:vMerge w:val="restart"/>
            <w:tcBorders>
              <w:bottom w:val="nil"/>
            </w:tcBorders>
            <w:vAlign w:val="top"/>
          </w:tcPr>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53" w:lineRule="auto"/>
              <w:jc w:val="left"/>
              <w:textAlignment w:val="baseline"/>
              <w:rPr>
                <w:rFonts w:ascii="Arial" w:hAnsi="Arial" w:eastAsia="Arial" w:cs="Arial"/>
                <w:snapToGrid w:val="0"/>
                <w:color w:val="000000"/>
                <w:kern w:val="0"/>
                <w:sz w:val="12"/>
                <w:szCs w:val="12"/>
                <w:lang w:eastAsia="en-US"/>
              </w:rPr>
            </w:pPr>
          </w:p>
          <w:p>
            <w:pPr>
              <w:kinsoku w:val="0"/>
              <w:autoSpaceDE w:val="0"/>
              <w:autoSpaceDN w:val="0"/>
              <w:adjustRightInd w:val="0"/>
              <w:snapToGrid w:val="0"/>
              <w:spacing w:before="35" w:line="219" w:lineRule="auto"/>
              <w:ind w:left="150"/>
              <w:jc w:val="left"/>
              <w:textAlignment w:val="baseline"/>
              <w:rPr>
                <w:rFonts w:ascii="宋体" w:hAnsi="宋体" w:eastAsia="宋体" w:cs="宋体"/>
                <w:snapToGrid w:val="0"/>
                <w:color w:val="000000"/>
                <w:spacing w:val="-1"/>
                <w:kern w:val="0"/>
                <w:sz w:val="12"/>
                <w:szCs w:val="12"/>
                <w:lang w:val="en-US" w:eastAsia="en-US" w:bidi="ar-SA"/>
              </w:rPr>
            </w:pPr>
          </w:p>
          <w:p>
            <w:pPr>
              <w:kinsoku w:val="0"/>
              <w:autoSpaceDE w:val="0"/>
              <w:autoSpaceDN w:val="0"/>
              <w:adjustRightInd w:val="0"/>
              <w:snapToGrid w:val="0"/>
              <w:spacing w:before="35" w:line="219" w:lineRule="auto"/>
              <w:ind w:left="150"/>
              <w:jc w:val="left"/>
              <w:textAlignment w:val="baseline"/>
              <w:rPr>
                <w:rFonts w:ascii="宋体" w:hAnsi="宋体" w:eastAsia="宋体" w:cs="宋体"/>
                <w:snapToGrid w:val="0"/>
                <w:color w:val="000000"/>
                <w:spacing w:val="-1"/>
                <w:kern w:val="0"/>
                <w:sz w:val="12"/>
                <w:szCs w:val="12"/>
                <w:lang w:val="en-US" w:eastAsia="en-US" w:bidi="ar-SA"/>
              </w:rPr>
            </w:pPr>
          </w:p>
          <w:p>
            <w:pPr>
              <w:kinsoku w:val="0"/>
              <w:autoSpaceDE w:val="0"/>
              <w:autoSpaceDN w:val="0"/>
              <w:adjustRightInd w:val="0"/>
              <w:snapToGrid w:val="0"/>
              <w:spacing w:before="35" w:line="219" w:lineRule="auto"/>
              <w:ind w:left="15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数量指标</w:t>
            </w:r>
          </w:p>
        </w:tc>
        <w:tc>
          <w:tcPr>
            <w:tcW w:w="1888" w:type="dxa"/>
            <w:vAlign w:val="top"/>
          </w:tcPr>
          <w:p>
            <w:pPr>
              <w:kinsoku w:val="0"/>
              <w:autoSpaceDE w:val="0"/>
              <w:autoSpaceDN w:val="0"/>
              <w:adjustRightInd w:val="0"/>
              <w:snapToGrid w:val="0"/>
              <w:spacing w:before="47" w:line="211" w:lineRule="auto"/>
              <w:ind w:left="1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强制</w:t>
            </w:r>
            <w:r>
              <w:rPr>
                <w:rFonts w:hint="eastAsia" w:ascii="宋体" w:hAnsi="宋体" w:eastAsia="宋体" w:cs="宋体"/>
                <w:snapToGrid w:val="0"/>
                <w:color w:val="000000"/>
                <w:spacing w:val="-2"/>
                <w:kern w:val="0"/>
                <w:sz w:val="12"/>
                <w:szCs w:val="12"/>
                <w:lang w:val="en-US" w:eastAsia="zh-CN" w:bidi="ar-SA"/>
              </w:rPr>
              <w:t>免疫</w:t>
            </w:r>
            <w:r>
              <w:rPr>
                <w:rFonts w:ascii="宋体" w:hAnsi="宋体" w:eastAsia="宋体" w:cs="宋体"/>
                <w:snapToGrid w:val="0"/>
                <w:color w:val="000000"/>
                <w:spacing w:val="-2"/>
                <w:kern w:val="0"/>
                <w:sz w:val="12"/>
                <w:szCs w:val="12"/>
                <w:lang w:val="en-US" w:eastAsia="en-US" w:bidi="ar-SA"/>
              </w:rPr>
              <w:t>病种应免</w:t>
            </w:r>
            <w:r>
              <w:rPr>
                <w:rFonts w:hint="eastAsia" w:ascii="宋体" w:hAnsi="宋体" w:eastAsia="宋体" w:cs="宋体"/>
                <w:snapToGrid w:val="0"/>
                <w:color w:val="000000"/>
                <w:spacing w:val="-2"/>
                <w:kern w:val="0"/>
                <w:sz w:val="12"/>
                <w:szCs w:val="12"/>
                <w:lang w:val="en-US" w:eastAsia="zh-CN" w:bidi="ar-SA"/>
              </w:rPr>
              <w:t>畜禽</w:t>
            </w:r>
            <w:r>
              <w:rPr>
                <w:rFonts w:ascii="宋体" w:hAnsi="宋体" w:eastAsia="宋体" w:cs="宋体"/>
                <w:snapToGrid w:val="0"/>
                <w:color w:val="000000"/>
                <w:spacing w:val="-2"/>
                <w:kern w:val="0"/>
                <w:sz w:val="12"/>
                <w:szCs w:val="12"/>
                <w:lang w:val="en-US" w:eastAsia="en-US" w:bidi="ar-SA"/>
              </w:rPr>
              <w:t>的</w:t>
            </w:r>
            <w:r>
              <w:rPr>
                <w:rFonts w:ascii="宋体" w:hAnsi="宋体" w:eastAsia="宋体" w:cs="宋体"/>
                <w:snapToGrid w:val="0"/>
                <w:color w:val="000000"/>
                <w:spacing w:val="-3"/>
                <w:kern w:val="0"/>
                <w:sz w:val="12"/>
                <w:szCs w:val="12"/>
                <w:lang w:val="en-US" w:eastAsia="en-US" w:bidi="ar-SA"/>
              </w:rPr>
              <w:t>免疫密度</w:t>
            </w:r>
          </w:p>
        </w:tc>
        <w:tc>
          <w:tcPr>
            <w:tcW w:w="473" w:type="dxa"/>
            <w:vAlign w:val="top"/>
          </w:tcPr>
          <w:p>
            <w:pPr>
              <w:kinsoku w:val="0"/>
              <w:autoSpaceDE w:val="0"/>
              <w:autoSpaceDN w:val="0"/>
              <w:adjustRightInd w:val="0"/>
              <w:snapToGrid w:val="0"/>
              <w:spacing w:before="118" w:line="240" w:lineRule="auto"/>
              <w:ind w:left="21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1163" w:type="dxa"/>
            <w:vAlign w:val="top"/>
          </w:tcPr>
          <w:p>
            <w:pPr>
              <w:kinsoku w:val="0"/>
              <w:autoSpaceDE w:val="0"/>
              <w:autoSpaceDN w:val="0"/>
              <w:adjustRightInd w:val="0"/>
              <w:snapToGrid w:val="0"/>
              <w:spacing w:before="135" w:line="183" w:lineRule="auto"/>
              <w:ind w:left="461"/>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599" w:type="dxa"/>
            <w:vAlign w:val="top"/>
          </w:tcPr>
          <w:p>
            <w:pPr>
              <w:kinsoku w:val="0"/>
              <w:autoSpaceDE w:val="0"/>
              <w:autoSpaceDN w:val="0"/>
              <w:adjustRightInd w:val="0"/>
              <w:snapToGrid w:val="0"/>
              <w:spacing w:before="135" w:line="183" w:lineRule="auto"/>
              <w:ind w:left="212"/>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49" w:type="dxa"/>
            <w:vAlign w:val="top"/>
          </w:tcPr>
          <w:p>
            <w:pPr>
              <w:kinsoku w:val="0"/>
              <w:autoSpaceDE w:val="0"/>
              <w:autoSpaceDN w:val="0"/>
              <w:adjustRightInd w:val="0"/>
              <w:snapToGrid w:val="0"/>
              <w:spacing w:before="135" w:line="183" w:lineRule="auto"/>
              <w:ind w:left="202"/>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60" w:type="dxa"/>
            <w:vAlign w:val="top"/>
          </w:tcPr>
          <w:p>
            <w:pPr>
              <w:kinsoku w:val="0"/>
              <w:autoSpaceDE w:val="0"/>
              <w:autoSpaceDN w:val="0"/>
              <w:adjustRightInd w:val="0"/>
              <w:snapToGrid w:val="0"/>
              <w:spacing w:before="135" w:line="183" w:lineRule="auto"/>
              <w:ind w:left="213"/>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49" w:type="dxa"/>
            <w:vAlign w:val="top"/>
          </w:tcPr>
          <w:p>
            <w:pPr>
              <w:kinsoku w:val="0"/>
              <w:autoSpaceDE w:val="0"/>
              <w:autoSpaceDN w:val="0"/>
              <w:adjustRightInd w:val="0"/>
              <w:snapToGrid w:val="0"/>
              <w:spacing w:before="135" w:line="183" w:lineRule="auto"/>
              <w:ind w:left="203"/>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59" w:type="dxa"/>
            <w:vAlign w:val="top"/>
          </w:tcPr>
          <w:p>
            <w:pPr>
              <w:kinsoku w:val="0"/>
              <w:autoSpaceDE w:val="0"/>
              <w:autoSpaceDN w:val="0"/>
              <w:adjustRightInd w:val="0"/>
              <w:snapToGrid w:val="0"/>
              <w:spacing w:before="135" w:line="183" w:lineRule="auto"/>
              <w:ind w:left="214"/>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60" w:type="dxa"/>
            <w:vAlign w:val="top"/>
          </w:tcPr>
          <w:p>
            <w:pPr>
              <w:kinsoku w:val="0"/>
              <w:autoSpaceDE w:val="0"/>
              <w:autoSpaceDN w:val="0"/>
              <w:adjustRightInd w:val="0"/>
              <w:snapToGrid w:val="0"/>
              <w:spacing w:before="135" w:line="183" w:lineRule="auto"/>
              <w:ind w:left="215"/>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49" w:type="dxa"/>
            <w:vAlign w:val="top"/>
          </w:tcPr>
          <w:p>
            <w:pPr>
              <w:kinsoku w:val="0"/>
              <w:autoSpaceDE w:val="0"/>
              <w:autoSpaceDN w:val="0"/>
              <w:adjustRightInd w:val="0"/>
              <w:snapToGrid w:val="0"/>
              <w:spacing w:before="135" w:line="183" w:lineRule="auto"/>
              <w:ind w:left="205"/>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59" w:type="dxa"/>
            <w:vAlign w:val="top"/>
          </w:tcPr>
          <w:p>
            <w:pPr>
              <w:kinsoku w:val="0"/>
              <w:autoSpaceDE w:val="0"/>
              <w:autoSpaceDN w:val="0"/>
              <w:adjustRightInd w:val="0"/>
              <w:snapToGrid w:val="0"/>
              <w:spacing w:before="135" w:line="183" w:lineRule="auto"/>
              <w:ind w:left="216"/>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60" w:type="dxa"/>
            <w:vAlign w:val="top"/>
          </w:tcPr>
          <w:p>
            <w:pPr>
              <w:kinsoku w:val="0"/>
              <w:autoSpaceDE w:val="0"/>
              <w:autoSpaceDN w:val="0"/>
              <w:adjustRightInd w:val="0"/>
              <w:snapToGrid w:val="0"/>
              <w:spacing w:before="135" w:line="183" w:lineRule="auto"/>
              <w:ind w:left="217"/>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49" w:type="dxa"/>
            <w:vAlign w:val="top"/>
          </w:tcPr>
          <w:p>
            <w:pPr>
              <w:kinsoku w:val="0"/>
              <w:autoSpaceDE w:val="0"/>
              <w:autoSpaceDN w:val="0"/>
              <w:adjustRightInd w:val="0"/>
              <w:snapToGrid w:val="0"/>
              <w:spacing w:before="135" w:line="183" w:lineRule="auto"/>
              <w:ind w:left="207"/>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60" w:type="dxa"/>
            <w:vAlign w:val="top"/>
          </w:tcPr>
          <w:p>
            <w:pPr>
              <w:kinsoku w:val="0"/>
              <w:autoSpaceDE w:val="0"/>
              <w:autoSpaceDN w:val="0"/>
              <w:adjustRightInd w:val="0"/>
              <w:snapToGrid w:val="0"/>
              <w:spacing w:before="135" w:line="183" w:lineRule="auto"/>
              <w:ind w:left="218"/>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50" w:type="dxa"/>
            <w:vAlign w:val="top"/>
          </w:tcPr>
          <w:p>
            <w:pPr>
              <w:kinsoku w:val="0"/>
              <w:autoSpaceDE w:val="0"/>
              <w:autoSpaceDN w:val="0"/>
              <w:adjustRightInd w:val="0"/>
              <w:snapToGrid w:val="0"/>
              <w:spacing w:before="135" w:line="183" w:lineRule="auto"/>
              <w:ind w:left="208"/>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59" w:type="dxa"/>
            <w:vAlign w:val="top"/>
          </w:tcPr>
          <w:p>
            <w:pPr>
              <w:kinsoku w:val="0"/>
              <w:autoSpaceDE w:val="0"/>
              <w:autoSpaceDN w:val="0"/>
              <w:adjustRightInd w:val="0"/>
              <w:snapToGrid w:val="0"/>
              <w:spacing w:before="135" w:line="183" w:lineRule="auto"/>
              <w:ind w:left="218"/>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707" w:type="dxa"/>
            <w:vAlign w:val="top"/>
          </w:tcPr>
          <w:p>
            <w:pPr>
              <w:kinsoku w:val="0"/>
              <w:autoSpaceDE w:val="0"/>
              <w:autoSpaceDN w:val="0"/>
              <w:adjustRightInd w:val="0"/>
              <w:snapToGrid w:val="0"/>
              <w:spacing w:before="135" w:line="183" w:lineRule="auto"/>
              <w:ind w:left="219"/>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917" w:type="dxa"/>
            <w:vAlign w:val="top"/>
          </w:tcPr>
          <w:p>
            <w:pPr>
              <w:widowControl/>
              <w:kinsoku w:val="0"/>
              <w:autoSpaceDE w:val="0"/>
              <w:autoSpaceDN w:val="0"/>
              <w:adjustRightInd w:val="0"/>
              <w:snapToGrid w:val="0"/>
              <w:spacing w:line="240" w:lineRule="auto"/>
              <w:jc w:val="both"/>
              <w:textAlignment w:val="baseline"/>
              <w:rPr>
                <w:rFonts w:ascii="Arial" w:hAnsi="Arial" w:eastAsia="Arial" w:cs="Arial"/>
                <w:snapToGrid w:val="0"/>
                <w:color w:val="000000"/>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763"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1888" w:type="dxa"/>
            <w:vAlign w:val="top"/>
          </w:tcPr>
          <w:p>
            <w:pPr>
              <w:kinsoku w:val="0"/>
              <w:autoSpaceDE w:val="0"/>
              <w:autoSpaceDN w:val="0"/>
              <w:adjustRightInd w:val="0"/>
              <w:snapToGrid w:val="0"/>
              <w:spacing w:before="57" w:line="213" w:lineRule="auto"/>
              <w:ind w:left="11" w:right="150"/>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强制扑杀补助数量(头</w:t>
            </w:r>
            <w:r>
              <w:rPr>
                <w:rFonts w:ascii="宋体" w:hAnsi="宋体" w:eastAsia="宋体" w:cs="宋体"/>
                <w:snapToGrid w:val="0"/>
                <w:color w:val="000000"/>
                <w:spacing w:val="2"/>
                <w:kern w:val="0"/>
                <w:sz w:val="12"/>
                <w:szCs w:val="12"/>
                <w:lang w:val="en-US" w:eastAsia="en-US" w:bidi="ar-SA"/>
              </w:rPr>
              <w:t xml:space="preserve"> </w:t>
            </w:r>
            <w:r>
              <w:rPr>
                <w:rFonts w:ascii="宋体" w:hAnsi="宋体" w:eastAsia="宋体" w:cs="宋体"/>
                <w:snapToGrid w:val="0"/>
                <w:color w:val="000000"/>
                <w:spacing w:val="-6"/>
                <w:kern w:val="0"/>
                <w:sz w:val="12"/>
                <w:szCs w:val="12"/>
                <w:lang w:val="en-US" w:eastAsia="en-US" w:bidi="ar-SA"/>
              </w:rPr>
              <w:t>只</w:t>
            </w:r>
            <w:r>
              <w:rPr>
                <w:rFonts w:ascii="宋体" w:hAnsi="宋体" w:eastAsia="宋体" w:cs="宋体"/>
                <w:snapToGrid w:val="0"/>
                <w:color w:val="000000"/>
                <w:spacing w:val="-21"/>
                <w:kern w:val="0"/>
                <w:sz w:val="12"/>
                <w:szCs w:val="12"/>
                <w:lang w:val="en-US" w:eastAsia="en-US" w:bidi="ar-SA"/>
              </w:rPr>
              <w:t xml:space="preserve"> </w:t>
            </w:r>
            <w:r>
              <w:rPr>
                <w:rFonts w:ascii="宋体" w:hAnsi="宋体" w:eastAsia="宋体" w:cs="宋体"/>
                <w:snapToGrid w:val="0"/>
                <w:color w:val="000000"/>
                <w:spacing w:val="-6"/>
                <w:kern w:val="0"/>
                <w:sz w:val="12"/>
                <w:szCs w:val="12"/>
                <w:lang w:val="en-US" w:eastAsia="en-US" w:bidi="ar-SA"/>
              </w:rPr>
              <w:t>)</w:t>
            </w:r>
          </w:p>
        </w:tc>
        <w:tc>
          <w:tcPr>
            <w:tcW w:w="473" w:type="dxa"/>
            <w:vAlign w:val="top"/>
          </w:tcPr>
          <w:p>
            <w:pPr>
              <w:kinsoku w:val="0"/>
              <w:autoSpaceDE w:val="0"/>
              <w:autoSpaceDN w:val="0"/>
              <w:adjustRightInd w:val="0"/>
              <w:snapToGrid w:val="0"/>
              <w:spacing w:before="117" w:line="219" w:lineRule="auto"/>
              <w:ind w:left="7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5"/>
                <w:kern w:val="0"/>
                <w:sz w:val="12"/>
                <w:szCs w:val="12"/>
                <w:lang w:val="en-US" w:eastAsia="en-US" w:bidi="ar-SA"/>
              </w:rPr>
              <w:t>头、只</w:t>
            </w:r>
          </w:p>
        </w:tc>
        <w:tc>
          <w:tcPr>
            <w:tcW w:w="1163" w:type="dxa"/>
            <w:vAlign w:val="top"/>
          </w:tcPr>
          <w:p>
            <w:pPr>
              <w:kinsoku w:val="0"/>
              <w:autoSpaceDE w:val="0"/>
              <w:autoSpaceDN w:val="0"/>
              <w:adjustRightInd w:val="0"/>
              <w:snapToGrid w:val="0"/>
              <w:spacing w:before="145" w:line="184" w:lineRule="auto"/>
              <w:ind w:left="43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14104</w:t>
            </w:r>
          </w:p>
        </w:tc>
        <w:tc>
          <w:tcPr>
            <w:tcW w:w="599" w:type="dxa"/>
            <w:vAlign w:val="top"/>
          </w:tcPr>
          <w:p>
            <w:pPr>
              <w:kinsoku w:val="0"/>
              <w:autoSpaceDE w:val="0"/>
              <w:autoSpaceDN w:val="0"/>
              <w:adjustRightInd w:val="0"/>
              <w:snapToGrid w:val="0"/>
              <w:spacing w:before="145" w:line="183" w:lineRule="auto"/>
              <w:ind w:left="26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58</w:t>
            </w:r>
          </w:p>
        </w:tc>
        <w:tc>
          <w:tcPr>
            <w:tcW w:w="649" w:type="dxa"/>
            <w:vAlign w:val="top"/>
          </w:tcPr>
          <w:p>
            <w:pPr>
              <w:kinsoku w:val="0"/>
              <w:autoSpaceDE w:val="0"/>
              <w:autoSpaceDN w:val="0"/>
              <w:adjustRightInd w:val="0"/>
              <w:snapToGrid w:val="0"/>
              <w:spacing w:before="145" w:line="184" w:lineRule="auto"/>
              <w:ind w:left="20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1824</w:t>
            </w:r>
          </w:p>
        </w:tc>
        <w:tc>
          <w:tcPr>
            <w:tcW w:w="660" w:type="dxa"/>
            <w:vAlign w:val="top"/>
          </w:tcPr>
          <w:p>
            <w:pPr>
              <w:widowControl/>
              <w:kinsoku w:val="0"/>
              <w:autoSpaceDE w:val="0"/>
              <w:autoSpaceDN w:val="0"/>
              <w:adjustRightInd w:val="0"/>
              <w:snapToGrid w:val="0"/>
              <w:spacing w:line="240" w:lineRule="auto"/>
              <w:jc w:val="both"/>
              <w:textAlignment w:val="baseline"/>
              <w:rPr>
                <w:rFonts w:ascii="Arial" w:hAnsi="Arial" w:eastAsia="Arial" w:cs="Arial"/>
                <w:snapToGrid w:val="0"/>
                <w:color w:val="000000"/>
                <w:kern w:val="0"/>
                <w:sz w:val="12"/>
                <w:szCs w:val="12"/>
                <w:lang w:eastAsia="en-US"/>
              </w:rPr>
            </w:pPr>
          </w:p>
        </w:tc>
        <w:tc>
          <w:tcPr>
            <w:tcW w:w="649" w:type="dxa"/>
            <w:vAlign w:val="top"/>
          </w:tcPr>
          <w:p>
            <w:pPr>
              <w:kinsoku w:val="0"/>
              <w:autoSpaceDE w:val="0"/>
              <w:autoSpaceDN w:val="0"/>
              <w:adjustRightInd w:val="0"/>
              <w:snapToGrid w:val="0"/>
              <w:spacing w:before="145" w:line="184" w:lineRule="auto"/>
              <w:ind w:left="20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1794</w:t>
            </w:r>
          </w:p>
        </w:tc>
        <w:tc>
          <w:tcPr>
            <w:tcW w:w="659" w:type="dxa"/>
            <w:vAlign w:val="top"/>
          </w:tcPr>
          <w:p>
            <w:pPr>
              <w:kinsoku w:val="0"/>
              <w:autoSpaceDE w:val="0"/>
              <w:autoSpaceDN w:val="0"/>
              <w:adjustRightInd w:val="0"/>
              <w:snapToGrid w:val="0"/>
              <w:spacing w:before="145" w:line="183" w:lineRule="auto"/>
              <w:ind w:left="234"/>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282</w:t>
            </w:r>
          </w:p>
        </w:tc>
        <w:tc>
          <w:tcPr>
            <w:tcW w:w="660" w:type="dxa"/>
            <w:vAlign w:val="top"/>
          </w:tcPr>
          <w:p>
            <w:pPr>
              <w:widowControl/>
              <w:kinsoku w:val="0"/>
              <w:autoSpaceDE w:val="0"/>
              <w:autoSpaceDN w:val="0"/>
              <w:adjustRightInd w:val="0"/>
              <w:snapToGrid w:val="0"/>
              <w:spacing w:line="240" w:lineRule="auto"/>
              <w:jc w:val="both"/>
              <w:textAlignment w:val="baseline"/>
              <w:rPr>
                <w:rFonts w:ascii="Arial" w:hAnsi="Arial" w:eastAsia="Arial" w:cs="Arial"/>
                <w:snapToGrid w:val="0"/>
                <w:color w:val="000000"/>
                <w:kern w:val="0"/>
                <w:sz w:val="12"/>
                <w:szCs w:val="12"/>
                <w:lang w:eastAsia="en-US"/>
              </w:rPr>
            </w:pPr>
          </w:p>
        </w:tc>
        <w:tc>
          <w:tcPr>
            <w:tcW w:w="649" w:type="dxa"/>
            <w:vAlign w:val="top"/>
          </w:tcPr>
          <w:p>
            <w:pPr>
              <w:kinsoku w:val="0"/>
              <w:autoSpaceDE w:val="0"/>
              <w:autoSpaceDN w:val="0"/>
              <w:adjustRightInd w:val="0"/>
              <w:snapToGrid w:val="0"/>
              <w:spacing w:before="145" w:line="183" w:lineRule="auto"/>
              <w:ind w:left="26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37</w:t>
            </w:r>
          </w:p>
        </w:tc>
        <w:tc>
          <w:tcPr>
            <w:tcW w:w="659" w:type="dxa"/>
            <w:vAlign w:val="top"/>
          </w:tcPr>
          <w:p>
            <w:pPr>
              <w:kinsoku w:val="0"/>
              <w:autoSpaceDE w:val="0"/>
              <w:autoSpaceDN w:val="0"/>
              <w:adjustRightInd w:val="0"/>
              <w:snapToGrid w:val="0"/>
              <w:spacing w:before="145" w:line="183" w:lineRule="auto"/>
              <w:ind w:left="216"/>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6952</w:t>
            </w:r>
          </w:p>
        </w:tc>
        <w:tc>
          <w:tcPr>
            <w:tcW w:w="660" w:type="dxa"/>
            <w:vAlign w:val="top"/>
          </w:tcPr>
          <w:p>
            <w:pPr>
              <w:kinsoku w:val="0"/>
              <w:autoSpaceDE w:val="0"/>
              <w:autoSpaceDN w:val="0"/>
              <w:adjustRightInd w:val="0"/>
              <w:snapToGrid w:val="0"/>
              <w:spacing w:before="145" w:line="183" w:lineRule="auto"/>
              <w:ind w:left="26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66</w:t>
            </w:r>
          </w:p>
        </w:tc>
        <w:tc>
          <w:tcPr>
            <w:tcW w:w="649" w:type="dxa"/>
            <w:vAlign w:val="top"/>
          </w:tcPr>
          <w:p>
            <w:pPr>
              <w:widowControl/>
              <w:kinsoku w:val="0"/>
              <w:autoSpaceDE w:val="0"/>
              <w:autoSpaceDN w:val="0"/>
              <w:adjustRightInd w:val="0"/>
              <w:snapToGrid w:val="0"/>
              <w:spacing w:line="240" w:lineRule="auto"/>
              <w:jc w:val="both"/>
              <w:textAlignment w:val="baseline"/>
              <w:rPr>
                <w:rFonts w:ascii="Arial" w:hAnsi="Arial" w:eastAsia="Arial" w:cs="Arial"/>
                <w:snapToGrid w:val="0"/>
                <w:color w:val="000000"/>
                <w:kern w:val="0"/>
                <w:sz w:val="12"/>
                <w:szCs w:val="12"/>
                <w:lang w:eastAsia="en-US"/>
              </w:rPr>
            </w:pPr>
          </w:p>
        </w:tc>
        <w:tc>
          <w:tcPr>
            <w:tcW w:w="660" w:type="dxa"/>
            <w:vAlign w:val="top"/>
          </w:tcPr>
          <w:p>
            <w:pPr>
              <w:kinsoku w:val="0"/>
              <w:autoSpaceDE w:val="0"/>
              <w:autoSpaceDN w:val="0"/>
              <w:adjustRightInd w:val="0"/>
              <w:snapToGrid w:val="0"/>
              <w:spacing w:before="145" w:line="184" w:lineRule="auto"/>
              <w:ind w:left="23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0" w:type="dxa"/>
            <w:vAlign w:val="top"/>
          </w:tcPr>
          <w:p>
            <w:pPr>
              <w:kinsoku w:val="0"/>
              <w:autoSpaceDE w:val="0"/>
              <w:autoSpaceDN w:val="0"/>
              <w:adjustRightInd w:val="0"/>
              <w:snapToGrid w:val="0"/>
              <w:spacing w:before="145" w:line="183" w:lineRule="auto"/>
              <w:ind w:left="23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570</w:t>
            </w:r>
          </w:p>
        </w:tc>
        <w:tc>
          <w:tcPr>
            <w:tcW w:w="659" w:type="dxa"/>
            <w:vAlign w:val="top"/>
          </w:tcPr>
          <w:p>
            <w:pPr>
              <w:kinsoku w:val="0"/>
              <w:autoSpaceDE w:val="0"/>
              <w:autoSpaceDN w:val="0"/>
              <w:adjustRightInd w:val="0"/>
              <w:snapToGrid w:val="0"/>
              <w:spacing w:before="145" w:line="183" w:lineRule="auto"/>
              <w:ind w:left="23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544</w:t>
            </w:r>
          </w:p>
        </w:tc>
        <w:tc>
          <w:tcPr>
            <w:tcW w:w="707" w:type="dxa"/>
            <w:vAlign w:val="top"/>
          </w:tcPr>
          <w:p>
            <w:pPr>
              <w:kinsoku w:val="0"/>
              <w:autoSpaceDE w:val="0"/>
              <w:autoSpaceDN w:val="0"/>
              <w:adjustRightInd w:val="0"/>
              <w:snapToGrid w:val="0"/>
              <w:spacing w:before="145" w:line="184" w:lineRule="auto"/>
              <w:ind w:left="21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1877</w:t>
            </w:r>
          </w:p>
        </w:tc>
        <w:tc>
          <w:tcPr>
            <w:tcW w:w="917" w:type="dxa"/>
            <w:vAlign w:val="top"/>
          </w:tcPr>
          <w:p>
            <w:pPr>
              <w:widowControl/>
              <w:kinsoku w:val="0"/>
              <w:autoSpaceDE w:val="0"/>
              <w:autoSpaceDN w:val="0"/>
              <w:adjustRightInd w:val="0"/>
              <w:snapToGrid w:val="0"/>
              <w:spacing w:line="240" w:lineRule="auto"/>
              <w:jc w:val="both"/>
              <w:textAlignment w:val="baseline"/>
              <w:rPr>
                <w:rFonts w:ascii="Arial" w:hAnsi="Arial" w:eastAsia="Arial" w:cs="Arial"/>
                <w:snapToGrid w:val="0"/>
                <w:color w:val="000000"/>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763"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1888" w:type="dxa"/>
            <w:vAlign w:val="top"/>
          </w:tcPr>
          <w:p>
            <w:pPr>
              <w:kinsoku w:val="0"/>
              <w:autoSpaceDE w:val="0"/>
              <w:autoSpaceDN w:val="0"/>
              <w:adjustRightInd w:val="0"/>
              <w:snapToGrid w:val="0"/>
              <w:spacing w:before="48" w:line="227" w:lineRule="auto"/>
              <w:ind w:left="11" w:right="4"/>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养殖环节病死猪无</w:t>
            </w:r>
            <w:r>
              <w:rPr>
                <w:rFonts w:hint="eastAsia" w:ascii="宋体" w:hAnsi="宋体" w:eastAsia="宋体" w:cs="宋体"/>
                <w:snapToGrid w:val="0"/>
                <w:color w:val="000000"/>
                <w:spacing w:val="-3"/>
                <w:kern w:val="0"/>
                <w:sz w:val="12"/>
                <w:szCs w:val="12"/>
                <w:lang w:val="en-US" w:eastAsia="zh-CN" w:bidi="ar-SA"/>
              </w:rPr>
              <w:t>害</w:t>
            </w:r>
            <w:r>
              <w:rPr>
                <w:rFonts w:ascii="宋体" w:hAnsi="宋体" w:eastAsia="宋体" w:cs="宋体"/>
                <w:snapToGrid w:val="0"/>
                <w:color w:val="000000"/>
                <w:spacing w:val="-3"/>
                <w:kern w:val="0"/>
                <w:sz w:val="12"/>
                <w:szCs w:val="12"/>
                <w:lang w:val="en-US" w:eastAsia="en-US" w:bidi="ar-SA"/>
              </w:rPr>
              <w:t>化处</w:t>
            </w:r>
            <w:r>
              <w:rPr>
                <w:rFonts w:ascii="宋体" w:hAnsi="宋体" w:eastAsia="宋体" w:cs="宋体"/>
                <w:snapToGrid w:val="0"/>
                <w:color w:val="000000"/>
                <w:spacing w:val="-1"/>
                <w:kern w:val="0"/>
                <w:sz w:val="12"/>
                <w:szCs w:val="12"/>
                <w:lang w:val="en-US" w:eastAsia="en-US" w:bidi="ar-SA"/>
              </w:rPr>
              <w:t>理补助头数</w:t>
            </w:r>
          </w:p>
        </w:tc>
        <w:tc>
          <w:tcPr>
            <w:tcW w:w="473" w:type="dxa"/>
            <w:vAlign w:val="top"/>
          </w:tcPr>
          <w:p>
            <w:pPr>
              <w:kinsoku w:val="0"/>
              <w:autoSpaceDE w:val="0"/>
              <w:autoSpaceDN w:val="0"/>
              <w:adjustRightInd w:val="0"/>
              <w:snapToGrid w:val="0"/>
              <w:spacing w:before="108" w:line="219" w:lineRule="auto"/>
              <w:ind w:left="7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5"/>
                <w:kern w:val="0"/>
                <w:sz w:val="12"/>
                <w:szCs w:val="12"/>
                <w:lang w:val="en-US" w:eastAsia="en-US" w:bidi="ar-SA"/>
              </w:rPr>
              <w:t>头、只</w:t>
            </w:r>
          </w:p>
        </w:tc>
        <w:tc>
          <w:tcPr>
            <w:tcW w:w="1163" w:type="dxa"/>
            <w:vAlign w:val="top"/>
          </w:tcPr>
          <w:p>
            <w:pPr>
              <w:kinsoku w:val="0"/>
              <w:autoSpaceDE w:val="0"/>
              <w:autoSpaceDN w:val="0"/>
              <w:adjustRightInd w:val="0"/>
              <w:snapToGrid w:val="0"/>
              <w:spacing w:before="136" w:line="184" w:lineRule="auto"/>
              <w:ind w:left="40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180048</w:t>
            </w:r>
          </w:p>
        </w:tc>
        <w:tc>
          <w:tcPr>
            <w:tcW w:w="599" w:type="dxa"/>
            <w:vAlign w:val="top"/>
          </w:tcPr>
          <w:p>
            <w:pPr>
              <w:kinsoku w:val="0"/>
              <w:autoSpaceDE w:val="0"/>
              <w:autoSpaceDN w:val="0"/>
              <w:adjustRightInd w:val="0"/>
              <w:snapToGrid w:val="0"/>
              <w:spacing w:before="136" w:line="183" w:lineRule="auto"/>
              <w:ind w:left="21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3028</w:t>
            </w:r>
          </w:p>
        </w:tc>
        <w:tc>
          <w:tcPr>
            <w:tcW w:w="649" w:type="dxa"/>
            <w:vAlign w:val="top"/>
          </w:tcPr>
          <w:p>
            <w:pPr>
              <w:kinsoku w:val="0"/>
              <w:autoSpaceDE w:val="0"/>
              <w:autoSpaceDN w:val="0"/>
              <w:adjustRightInd w:val="0"/>
              <w:snapToGrid w:val="0"/>
              <w:spacing w:before="136" w:line="184" w:lineRule="auto"/>
              <w:ind w:left="17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12713</w:t>
            </w:r>
          </w:p>
        </w:tc>
        <w:tc>
          <w:tcPr>
            <w:tcW w:w="660" w:type="dxa"/>
            <w:vAlign w:val="top"/>
          </w:tcPr>
          <w:p>
            <w:pPr>
              <w:kinsoku w:val="0"/>
              <w:autoSpaceDE w:val="0"/>
              <w:autoSpaceDN w:val="0"/>
              <w:adjustRightInd w:val="0"/>
              <w:snapToGrid w:val="0"/>
              <w:spacing w:before="136" w:line="184" w:lineRule="auto"/>
              <w:ind w:left="21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1200</w:t>
            </w:r>
          </w:p>
        </w:tc>
        <w:tc>
          <w:tcPr>
            <w:tcW w:w="649" w:type="dxa"/>
            <w:vAlign w:val="top"/>
          </w:tcPr>
          <w:p>
            <w:pPr>
              <w:kinsoku w:val="0"/>
              <w:autoSpaceDE w:val="0"/>
              <w:autoSpaceDN w:val="0"/>
              <w:adjustRightInd w:val="0"/>
              <w:snapToGrid w:val="0"/>
              <w:spacing w:before="136" w:line="183" w:lineRule="auto"/>
              <w:ind w:left="23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855</w:t>
            </w:r>
          </w:p>
        </w:tc>
        <w:tc>
          <w:tcPr>
            <w:tcW w:w="659" w:type="dxa"/>
            <w:vAlign w:val="top"/>
          </w:tcPr>
          <w:p>
            <w:pPr>
              <w:kinsoku w:val="0"/>
              <w:autoSpaceDE w:val="0"/>
              <w:autoSpaceDN w:val="0"/>
              <w:adjustRightInd w:val="0"/>
              <w:snapToGrid w:val="0"/>
              <w:spacing w:before="136" w:line="183" w:lineRule="auto"/>
              <w:ind w:left="214"/>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8033</w:t>
            </w:r>
          </w:p>
        </w:tc>
        <w:tc>
          <w:tcPr>
            <w:tcW w:w="660" w:type="dxa"/>
            <w:vAlign w:val="top"/>
          </w:tcPr>
          <w:p>
            <w:pPr>
              <w:kinsoku w:val="0"/>
              <w:autoSpaceDE w:val="0"/>
              <w:autoSpaceDN w:val="0"/>
              <w:adjustRightInd w:val="0"/>
              <w:snapToGrid w:val="0"/>
              <w:spacing w:before="136" w:line="184" w:lineRule="auto"/>
              <w:ind w:left="18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16950</w:t>
            </w:r>
          </w:p>
        </w:tc>
        <w:tc>
          <w:tcPr>
            <w:tcW w:w="649" w:type="dxa"/>
            <w:vAlign w:val="top"/>
          </w:tcPr>
          <w:p>
            <w:pPr>
              <w:kinsoku w:val="0"/>
              <w:autoSpaceDE w:val="0"/>
              <w:autoSpaceDN w:val="0"/>
              <w:adjustRightInd w:val="0"/>
              <w:snapToGrid w:val="0"/>
              <w:spacing w:before="136" w:line="184" w:lineRule="auto"/>
              <w:ind w:left="17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17514</w:t>
            </w:r>
          </w:p>
        </w:tc>
        <w:tc>
          <w:tcPr>
            <w:tcW w:w="659" w:type="dxa"/>
            <w:vAlign w:val="top"/>
          </w:tcPr>
          <w:p>
            <w:pPr>
              <w:kinsoku w:val="0"/>
              <w:autoSpaceDE w:val="0"/>
              <w:autoSpaceDN w:val="0"/>
              <w:adjustRightInd w:val="0"/>
              <w:snapToGrid w:val="0"/>
              <w:spacing w:before="136" w:line="183" w:lineRule="auto"/>
              <w:ind w:left="216"/>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7204</w:t>
            </w:r>
          </w:p>
        </w:tc>
        <w:tc>
          <w:tcPr>
            <w:tcW w:w="660" w:type="dxa"/>
            <w:vAlign w:val="top"/>
          </w:tcPr>
          <w:p>
            <w:pPr>
              <w:kinsoku w:val="0"/>
              <w:autoSpaceDE w:val="0"/>
              <w:autoSpaceDN w:val="0"/>
              <w:adjustRightInd w:val="0"/>
              <w:snapToGrid w:val="0"/>
              <w:spacing w:before="136" w:line="184" w:lineRule="auto"/>
              <w:ind w:left="21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4514</w:t>
            </w:r>
          </w:p>
        </w:tc>
        <w:tc>
          <w:tcPr>
            <w:tcW w:w="649" w:type="dxa"/>
            <w:vAlign w:val="top"/>
          </w:tcPr>
          <w:p>
            <w:pPr>
              <w:kinsoku w:val="0"/>
              <w:autoSpaceDE w:val="0"/>
              <w:autoSpaceDN w:val="0"/>
              <w:adjustRightInd w:val="0"/>
              <w:snapToGrid w:val="0"/>
              <w:spacing w:before="136" w:line="184" w:lineRule="auto"/>
              <w:ind w:left="17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61546</w:t>
            </w:r>
          </w:p>
        </w:tc>
        <w:tc>
          <w:tcPr>
            <w:tcW w:w="660" w:type="dxa"/>
            <w:vAlign w:val="top"/>
          </w:tcPr>
          <w:p>
            <w:pPr>
              <w:kinsoku w:val="0"/>
              <w:autoSpaceDE w:val="0"/>
              <w:autoSpaceDN w:val="0"/>
              <w:adjustRightInd w:val="0"/>
              <w:snapToGrid w:val="0"/>
              <w:spacing w:before="136" w:line="183" w:lineRule="auto"/>
              <w:ind w:left="18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33900</w:t>
            </w:r>
          </w:p>
        </w:tc>
        <w:tc>
          <w:tcPr>
            <w:tcW w:w="650" w:type="dxa"/>
            <w:vAlign w:val="top"/>
          </w:tcPr>
          <w:p>
            <w:pPr>
              <w:kinsoku w:val="0"/>
              <w:autoSpaceDE w:val="0"/>
              <w:autoSpaceDN w:val="0"/>
              <w:adjustRightInd w:val="0"/>
              <w:snapToGrid w:val="0"/>
              <w:spacing w:before="136" w:line="183" w:lineRule="auto"/>
              <w:ind w:left="23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206</w:t>
            </w:r>
          </w:p>
        </w:tc>
        <w:tc>
          <w:tcPr>
            <w:tcW w:w="659" w:type="dxa"/>
            <w:vAlign w:val="top"/>
          </w:tcPr>
          <w:p>
            <w:pPr>
              <w:kinsoku w:val="0"/>
              <w:autoSpaceDE w:val="0"/>
              <w:autoSpaceDN w:val="0"/>
              <w:adjustRightInd w:val="0"/>
              <w:snapToGrid w:val="0"/>
              <w:spacing w:before="136" w:line="184" w:lineRule="auto"/>
              <w:ind w:left="18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10594</w:t>
            </w:r>
          </w:p>
        </w:tc>
        <w:tc>
          <w:tcPr>
            <w:tcW w:w="707" w:type="dxa"/>
            <w:vAlign w:val="top"/>
          </w:tcPr>
          <w:p>
            <w:pPr>
              <w:kinsoku w:val="0"/>
              <w:autoSpaceDE w:val="0"/>
              <w:autoSpaceDN w:val="0"/>
              <w:adjustRightInd w:val="0"/>
              <w:snapToGrid w:val="0"/>
              <w:spacing w:before="136" w:line="184" w:lineRule="auto"/>
              <w:ind w:left="21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1791</w:t>
            </w:r>
          </w:p>
        </w:tc>
        <w:tc>
          <w:tcPr>
            <w:tcW w:w="917" w:type="dxa"/>
            <w:vAlign w:val="top"/>
          </w:tcPr>
          <w:p>
            <w:pPr>
              <w:widowControl/>
              <w:kinsoku w:val="0"/>
              <w:autoSpaceDE w:val="0"/>
              <w:autoSpaceDN w:val="0"/>
              <w:adjustRightInd w:val="0"/>
              <w:snapToGrid w:val="0"/>
              <w:spacing w:line="240" w:lineRule="auto"/>
              <w:jc w:val="both"/>
              <w:textAlignment w:val="baseline"/>
              <w:rPr>
                <w:rFonts w:ascii="Arial" w:hAnsi="Arial" w:eastAsia="Arial" w:cs="Arial"/>
                <w:snapToGrid w:val="0"/>
                <w:color w:val="000000"/>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763"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1888" w:type="dxa"/>
            <w:vAlign w:val="top"/>
          </w:tcPr>
          <w:p>
            <w:pPr>
              <w:kinsoku w:val="0"/>
              <w:autoSpaceDE w:val="0"/>
              <w:autoSpaceDN w:val="0"/>
              <w:adjustRightInd w:val="0"/>
              <w:snapToGrid w:val="0"/>
              <w:spacing w:before="28" w:line="220" w:lineRule="auto"/>
              <w:ind w:left="38"/>
              <w:jc w:val="both"/>
              <w:textAlignment w:val="baseline"/>
              <w:rPr>
                <w:rFonts w:hint="default" w:ascii="宋体" w:hAnsi="宋体" w:eastAsia="宋体" w:cs="宋体"/>
                <w:snapToGrid w:val="0"/>
                <w:color w:val="000000"/>
                <w:kern w:val="0"/>
                <w:sz w:val="12"/>
                <w:szCs w:val="12"/>
                <w:lang w:val="en-US" w:eastAsia="zh-CN" w:bidi="ar-SA"/>
              </w:rPr>
            </w:pPr>
            <w:r>
              <w:rPr>
                <w:rFonts w:hint="eastAsia" w:ascii="宋体" w:hAnsi="宋体" w:eastAsia="宋体" w:cs="宋体"/>
                <w:snapToGrid w:val="0"/>
                <w:color w:val="000000"/>
                <w:kern w:val="0"/>
                <w:sz w:val="12"/>
                <w:szCs w:val="12"/>
                <w:lang w:val="en-US" w:eastAsia="zh-CN" w:bidi="ar-SA"/>
              </w:rPr>
              <w:t>申报动物疫病净化场（无疫小区）数量</w:t>
            </w:r>
          </w:p>
        </w:tc>
        <w:tc>
          <w:tcPr>
            <w:tcW w:w="473" w:type="dxa"/>
            <w:vAlign w:val="top"/>
          </w:tcPr>
          <w:p>
            <w:pPr>
              <w:kinsoku w:val="0"/>
              <w:autoSpaceDE w:val="0"/>
              <w:autoSpaceDN w:val="0"/>
              <w:adjustRightInd w:val="0"/>
              <w:snapToGrid w:val="0"/>
              <w:spacing w:before="118" w:line="219" w:lineRule="auto"/>
              <w:ind w:left="18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个</w:t>
            </w:r>
          </w:p>
        </w:tc>
        <w:tc>
          <w:tcPr>
            <w:tcW w:w="1163" w:type="dxa"/>
            <w:vAlign w:val="top"/>
          </w:tcPr>
          <w:p>
            <w:pPr>
              <w:kinsoku w:val="0"/>
              <w:autoSpaceDE w:val="0"/>
              <w:autoSpaceDN w:val="0"/>
              <w:adjustRightInd w:val="0"/>
              <w:snapToGrid w:val="0"/>
              <w:spacing w:before="146" w:line="184" w:lineRule="auto"/>
              <w:ind w:left="48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14</w:t>
            </w:r>
          </w:p>
        </w:tc>
        <w:tc>
          <w:tcPr>
            <w:tcW w:w="599" w:type="dxa"/>
            <w:vAlign w:val="top"/>
          </w:tcPr>
          <w:p>
            <w:pPr>
              <w:kinsoku w:val="0"/>
              <w:autoSpaceDE w:val="0"/>
              <w:autoSpaceDN w:val="0"/>
              <w:adjustRightInd w:val="0"/>
              <w:snapToGrid w:val="0"/>
              <w:spacing w:before="129" w:line="237" w:lineRule="auto"/>
              <w:ind w:left="23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49" w:type="dxa"/>
            <w:vAlign w:val="top"/>
          </w:tcPr>
          <w:p>
            <w:pPr>
              <w:kinsoku w:val="0"/>
              <w:autoSpaceDE w:val="0"/>
              <w:autoSpaceDN w:val="0"/>
              <w:adjustRightInd w:val="0"/>
              <w:snapToGrid w:val="0"/>
              <w:spacing w:before="146" w:line="184" w:lineRule="auto"/>
              <w:ind w:left="26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60" w:type="dxa"/>
            <w:vAlign w:val="top"/>
          </w:tcPr>
          <w:p>
            <w:pPr>
              <w:kinsoku w:val="0"/>
              <w:autoSpaceDE w:val="0"/>
              <w:autoSpaceDN w:val="0"/>
              <w:adjustRightInd w:val="0"/>
              <w:snapToGrid w:val="0"/>
              <w:spacing w:before="146" w:line="184" w:lineRule="auto"/>
              <w:ind w:left="26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49" w:type="dxa"/>
            <w:vAlign w:val="top"/>
          </w:tcPr>
          <w:p>
            <w:pPr>
              <w:kinsoku w:val="0"/>
              <w:autoSpaceDE w:val="0"/>
              <w:autoSpaceDN w:val="0"/>
              <w:adjustRightInd w:val="0"/>
              <w:snapToGrid w:val="0"/>
              <w:spacing w:before="146" w:line="184" w:lineRule="auto"/>
              <w:ind w:left="26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59" w:type="dxa"/>
            <w:vAlign w:val="top"/>
          </w:tcPr>
          <w:p>
            <w:pPr>
              <w:kinsoku w:val="0"/>
              <w:autoSpaceDE w:val="0"/>
              <w:autoSpaceDN w:val="0"/>
              <w:adjustRightInd w:val="0"/>
              <w:snapToGrid w:val="0"/>
              <w:spacing w:before="129" w:line="237" w:lineRule="auto"/>
              <w:ind w:left="234"/>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60" w:type="dxa"/>
            <w:vAlign w:val="top"/>
          </w:tcPr>
          <w:p>
            <w:pPr>
              <w:kinsoku w:val="0"/>
              <w:autoSpaceDE w:val="0"/>
              <w:autoSpaceDN w:val="0"/>
              <w:adjustRightInd w:val="0"/>
              <w:snapToGrid w:val="0"/>
              <w:spacing w:before="129" w:line="237" w:lineRule="auto"/>
              <w:ind w:left="23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49" w:type="dxa"/>
            <w:vAlign w:val="top"/>
          </w:tcPr>
          <w:p>
            <w:pPr>
              <w:kinsoku w:val="0"/>
              <w:autoSpaceDE w:val="0"/>
              <w:autoSpaceDN w:val="0"/>
              <w:adjustRightInd w:val="0"/>
              <w:snapToGrid w:val="0"/>
              <w:spacing w:before="146" w:line="184" w:lineRule="auto"/>
              <w:ind w:left="26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59" w:type="dxa"/>
            <w:vAlign w:val="top"/>
          </w:tcPr>
          <w:p>
            <w:pPr>
              <w:kinsoku w:val="0"/>
              <w:autoSpaceDE w:val="0"/>
              <w:autoSpaceDN w:val="0"/>
              <w:adjustRightInd w:val="0"/>
              <w:snapToGrid w:val="0"/>
              <w:spacing w:before="146" w:line="184" w:lineRule="auto"/>
              <w:ind w:left="266"/>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60" w:type="dxa"/>
            <w:vAlign w:val="top"/>
          </w:tcPr>
          <w:p>
            <w:pPr>
              <w:kinsoku w:val="0"/>
              <w:autoSpaceDE w:val="0"/>
              <w:autoSpaceDN w:val="0"/>
              <w:adjustRightInd w:val="0"/>
              <w:snapToGrid w:val="0"/>
              <w:spacing w:before="146" w:line="184" w:lineRule="auto"/>
              <w:ind w:left="26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49" w:type="dxa"/>
            <w:vAlign w:val="top"/>
          </w:tcPr>
          <w:p>
            <w:pPr>
              <w:kinsoku w:val="0"/>
              <w:autoSpaceDE w:val="0"/>
              <w:autoSpaceDN w:val="0"/>
              <w:adjustRightInd w:val="0"/>
              <w:snapToGrid w:val="0"/>
              <w:spacing w:before="146" w:line="184" w:lineRule="auto"/>
              <w:ind w:left="26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60" w:type="dxa"/>
            <w:vAlign w:val="top"/>
          </w:tcPr>
          <w:p>
            <w:pPr>
              <w:kinsoku w:val="0"/>
              <w:autoSpaceDE w:val="0"/>
              <w:autoSpaceDN w:val="0"/>
              <w:adjustRightInd w:val="0"/>
              <w:snapToGrid w:val="0"/>
              <w:spacing w:before="146" w:line="184" w:lineRule="auto"/>
              <w:ind w:left="26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50" w:type="dxa"/>
            <w:vAlign w:val="top"/>
          </w:tcPr>
          <w:p>
            <w:pPr>
              <w:kinsoku w:val="0"/>
              <w:autoSpaceDE w:val="0"/>
              <w:autoSpaceDN w:val="0"/>
              <w:adjustRightInd w:val="0"/>
              <w:snapToGrid w:val="0"/>
              <w:spacing w:before="146" w:line="184" w:lineRule="auto"/>
              <w:ind w:left="26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659" w:type="dxa"/>
            <w:vAlign w:val="top"/>
          </w:tcPr>
          <w:p>
            <w:pPr>
              <w:kinsoku w:val="0"/>
              <w:autoSpaceDE w:val="0"/>
              <w:autoSpaceDN w:val="0"/>
              <w:adjustRightInd w:val="0"/>
              <w:snapToGrid w:val="0"/>
              <w:spacing w:before="146" w:line="184" w:lineRule="auto"/>
              <w:ind w:left="26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707" w:type="dxa"/>
            <w:vAlign w:val="top"/>
          </w:tcPr>
          <w:p>
            <w:pPr>
              <w:kinsoku w:val="0"/>
              <w:autoSpaceDE w:val="0"/>
              <w:autoSpaceDN w:val="0"/>
              <w:adjustRightInd w:val="0"/>
              <w:snapToGrid w:val="0"/>
              <w:spacing w:before="129" w:line="237" w:lineRule="auto"/>
              <w:ind w:left="23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≥1</w:t>
            </w:r>
          </w:p>
        </w:tc>
        <w:tc>
          <w:tcPr>
            <w:tcW w:w="917" w:type="dxa"/>
            <w:vAlign w:val="top"/>
          </w:tcPr>
          <w:p>
            <w:pPr>
              <w:widowControl/>
              <w:kinsoku w:val="0"/>
              <w:autoSpaceDE w:val="0"/>
              <w:autoSpaceDN w:val="0"/>
              <w:adjustRightInd w:val="0"/>
              <w:snapToGrid w:val="0"/>
              <w:spacing w:line="240" w:lineRule="auto"/>
              <w:jc w:val="both"/>
              <w:textAlignment w:val="baseline"/>
              <w:rPr>
                <w:rFonts w:ascii="Arial" w:hAnsi="Arial" w:eastAsia="Arial" w:cs="Arial"/>
                <w:snapToGrid w:val="0"/>
                <w:color w:val="000000"/>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763" w:type="dxa"/>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1888" w:type="dxa"/>
            <w:vAlign w:val="top"/>
          </w:tcPr>
          <w:p>
            <w:pPr>
              <w:kinsoku w:val="0"/>
              <w:autoSpaceDE w:val="0"/>
              <w:autoSpaceDN w:val="0"/>
              <w:adjustRightInd w:val="0"/>
              <w:snapToGrid w:val="0"/>
              <w:spacing w:before="29" w:line="210" w:lineRule="auto"/>
              <w:ind w:left="11"/>
              <w:jc w:val="both"/>
              <w:textAlignment w:val="baseline"/>
              <w:rPr>
                <w:rFonts w:hint="default" w:ascii="宋体" w:hAnsi="宋体" w:eastAsia="宋体" w:cs="宋体"/>
                <w:snapToGrid w:val="0"/>
                <w:color w:val="000000"/>
                <w:kern w:val="0"/>
                <w:sz w:val="12"/>
                <w:szCs w:val="12"/>
                <w:lang w:val="en-US" w:eastAsia="zh-CN" w:bidi="ar-SA"/>
              </w:rPr>
            </w:pPr>
            <w:r>
              <w:rPr>
                <w:rFonts w:hint="eastAsia" w:ascii="宋体" w:hAnsi="宋体" w:eastAsia="宋体" w:cs="宋体"/>
                <w:snapToGrid w:val="0"/>
                <w:color w:val="000000"/>
                <w:kern w:val="0"/>
                <w:sz w:val="12"/>
                <w:szCs w:val="12"/>
                <w:lang w:val="en-US" w:eastAsia="zh-CN" w:bidi="ar-SA"/>
              </w:rPr>
              <w:t>完成包虫病疫区犬的驱虫数量</w:t>
            </w:r>
          </w:p>
        </w:tc>
        <w:tc>
          <w:tcPr>
            <w:tcW w:w="473" w:type="dxa"/>
            <w:vAlign w:val="top"/>
          </w:tcPr>
          <w:p>
            <w:pPr>
              <w:kinsoku w:val="0"/>
              <w:autoSpaceDE w:val="0"/>
              <w:autoSpaceDN w:val="0"/>
              <w:adjustRightInd w:val="0"/>
              <w:snapToGrid w:val="0"/>
              <w:spacing w:before="109" w:line="220" w:lineRule="auto"/>
              <w:ind w:left="13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7"/>
                <w:kern w:val="0"/>
                <w:sz w:val="12"/>
                <w:szCs w:val="12"/>
                <w:lang w:val="en-US" w:eastAsia="en-US" w:bidi="ar-SA"/>
              </w:rPr>
              <w:t>万只</w:t>
            </w:r>
          </w:p>
        </w:tc>
        <w:tc>
          <w:tcPr>
            <w:tcW w:w="1163" w:type="dxa"/>
            <w:vAlign w:val="top"/>
          </w:tcPr>
          <w:p>
            <w:pPr>
              <w:kinsoku w:val="0"/>
              <w:autoSpaceDE w:val="0"/>
              <w:autoSpaceDN w:val="0"/>
              <w:adjustRightInd w:val="0"/>
              <w:snapToGrid w:val="0"/>
              <w:spacing w:before="137" w:line="184" w:lineRule="auto"/>
              <w:ind w:left="43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51.36</w:t>
            </w:r>
          </w:p>
        </w:tc>
        <w:tc>
          <w:tcPr>
            <w:tcW w:w="599" w:type="dxa"/>
            <w:vAlign w:val="top"/>
          </w:tcPr>
          <w:p>
            <w:pPr>
              <w:kinsoku w:val="0"/>
              <w:autoSpaceDE w:val="0"/>
              <w:autoSpaceDN w:val="0"/>
              <w:adjustRightInd w:val="0"/>
              <w:snapToGrid w:val="0"/>
              <w:spacing w:before="137" w:line="183" w:lineRule="auto"/>
              <w:ind w:left="23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0.3</w:t>
            </w:r>
          </w:p>
        </w:tc>
        <w:tc>
          <w:tcPr>
            <w:tcW w:w="649" w:type="dxa"/>
            <w:vAlign w:val="top"/>
          </w:tcPr>
          <w:p>
            <w:pPr>
              <w:kinsoku w:val="0"/>
              <w:autoSpaceDE w:val="0"/>
              <w:autoSpaceDN w:val="0"/>
              <w:adjustRightInd w:val="0"/>
              <w:snapToGrid w:val="0"/>
              <w:spacing w:before="138" w:line="182" w:lineRule="auto"/>
              <w:ind w:left="23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7.7</w:t>
            </w:r>
          </w:p>
        </w:tc>
        <w:tc>
          <w:tcPr>
            <w:tcW w:w="660" w:type="dxa"/>
            <w:vAlign w:val="top"/>
          </w:tcPr>
          <w:p>
            <w:pPr>
              <w:kinsoku w:val="0"/>
              <w:autoSpaceDE w:val="0"/>
              <w:autoSpaceDN w:val="0"/>
              <w:adjustRightInd w:val="0"/>
              <w:snapToGrid w:val="0"/>
              <w:spacing w:before="137" w:line="183" w:lineRule="auto"/>
              <w:ind w:left="23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3.5</w:t>
            </w:r>
          </w:p>
        </w:tc>
        <w:tc>
          <w:tcPr>
            <w:tcW w:w="649" w:type="dxa"/>
            <w:vAlign w:val="top"/>
          </w:tcPr>
          <w:p>
            <w:pPr>
              <w:kinsoku w:val="0"/>
              <w:autoSpaceDE w:val="0"/>
              <w:autoSpaceDN w:val="0"/>
              <w:adjustRightInd w:val="0"/>
              <w:snapToGrid w:val="0"/>
              <w:spacing w:before="137" w:line="183" w:lineRule="auto"/>
              <w:ind w:left="28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2</w:t>
            </w:r>
          </w:p>
        </w:tc>
        <w:tc>
          <w:tcPr>
            <w:tcW w:w="659" w:type="dxa"/>
            <w:vAlign w:val="top"/>
          </w:tcPr>
          <w:p>
            <w:pPr>
              <w:kinsoku w:val="0"/>
              <w:autoSpaceDE w:val="0"/>
              <w:autoSpaceDN w:val="0"/>
              <w:adjustRightInd w:val="0"/>
              <w:snapToGrid w:val="0"/>
              <w:spacing w:before="137" w:line="183" w:lineRule="auto"/>
              <w:ind w:left="234"/>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0.5</w:t>
            </w:r>
          </w:p>
        </w:tc>
        <w:tc>
          <w:tcPr>
            <w:tcW w:w="660" w:type="dxa"/>
            <w:vAlign w:val="top"/>
          </w:tcPr>
          <w:p>
            <w:pPr>
              <w:kinsoku w:val="0"/>
              <w:autoSpaceDE w:val="0"/>
              <w:autoSpaceDN w:val="0"/>
              <w:adjustRightInd w:val="0"/>
              <w:snapToGrid w:val="0"/>
              <w:spacing w:before="137" w:line="183" w:lineRule="auto"/>
              <w:ind w:left="23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0.7</w:t>
            </w:r>
          </w:p>
        </w:tc>
        <w:tc>
          <w:tcPr>
            <w:tcW w:w="649" w:type="dxa"/>
            <w:vAlign w:val="top"/>
          </w:tcPr>
          <w:p>
            <w:pPr>
              <w:kinsoku w:val="0"/>
              <w:autoSpaceDE w:val="0"/>
              <w:autoSpaceDN w:val="0"/>
              <w:adjustRightInd w:val="0"/>
              <w:snapToGrid w:val="0"/>
              <w:spacing w:before="137" w:line="183" w:lineRule="auto"/>
              <w:ind w:left="23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7.6</w:t>
            </w:r>
          </w:p>
        </w:tc>
        <w:tc>
          <w:tcPr>
            <w:tcW w:w="659" w:type="dxa"/>
            <w:vAlign w:val="top"/>
          </w:tcPr>
          <w:p>
            <w:pPr>
              <w:kinsoku w:val="0"/>
              <w:autoSpaceDE w:val="0"/>
              <w:autoSpaceDN w:val="0"/>
              <w:adjustRightInd w:val="0"/>
              <w:snapToGrid w:val="0"/>
              <w:spacing w:before="137" w:line="184" w:lineRule="auto"/>
              <w:ind w:left="236"/>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1.2</w:t>
            </w:r>
          </w:p>
        </w:tc>
        <w:tc>
          <w:tcPr>
            <w:tcW w:w="660" w:type="dxa"/>
            <w:vAlign w:val="top"/>
          </w:tcPr>
          <w:p>
            <w:pPr>
              <w:kinsoku w:val="0"/>
              <w:autoSpaceDE w:val="0"/>
              <w:autoSpaceDN w:val="0"/>
              <w:adjustRightInd w:val="0"/>
              <w:snapToGrid w:val="0"/>
              <w:spacing w:before="137" w:line="183" w:lineRule="auto"/>
              <w:ind w:left="23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0.5</w:t>
            </w:r>
          </w:p>
        </w:tc>
        <w:tc>
          <w:tcPr>
            <w:tcW w:w="649" w:type="dxa"/>
            <w:vAlign w:val="top"/>
          </w:tcPr>
          <w:p>
            <w:pPr>
              <w:kinsoku w:val="0"/>
              <w:autoSpaceDE w:val="0"/>
              <w:autoSpaceDN w:val="0"/>
              <w:adjustRightInd w:val="0"/>
              <w:snapToGrid w:val="0"/>
              <w:spacing w:before="137" w:line="183" w:lineRule="auto"/>
              <w:ind w:left="20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6.66</w:t>
            </w:r>
          </w:p>
        </w:tc>
        <w:tc>
          <w:tcPr>
            <w:tcW w:w="660" w:type="dxa"/>
            <w:vAlign w:val="top"/>
          </w:tcPr>
          <w:p>
            <w:pPr>
              <w:kinsoku w:val="0"/>
              <w:autoSpaceDE w:val="0"/>
              <w:autoSpaceDN w:val="0"/>
              <w:adjustRightInd w:val="0"/>
              <w:snapToGrid w:val="0"/>
              <w:spacing w:before="137" w:line="183" w:lineRule="auto"/>
              <w:ind w:left="29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6</w:t>
            </w:r>
          </w:p>
        </w:tc>
        <w:tc>
          <w:tcPr>
            <w:tcW w:w="650" w:type="dxa"/>
            <w:vAlign w:val="top"/>
          </w:tcPr>
          <w:p>
            <w:pPr>
              <w:kinsoku w:val="0"/>
              <w:autoSpaceDE w:val="0"/>
              <w:autoSpaceDN w:val="0"/>
              <w:adjustRightInd w:val="0"/>
              <w:snapToGrid w:val="0"/>
              <w:spacing w:before="137" w:line="183" w:lineRule="auto"/>
              <w:ind w:left="23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0.2</w:t>
            </w:r>
          </w:p>
        </w:tc>
        <w:tc>
          <w:tcPr>
            <w:tcW w:w="659" w:type="dxa"/>
            <w:vAlign w:val="top"/>
          </w:tcPr>
          <w:p>
            <w:pPr>
              <w:kinsoku w:val="0"/>
              <w:autoSpaceDE w:val="0"/>
              <w:autoSpaceDN w:val="0"/>
              <w:adjustRightInd w:val="0"/>
              <w:snapToGrid w:val="0"/>
              <w:spacing w:before="137" w:line="183" w:lineRule="auto"/>
              <w:ind w:left="23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9.2</w:t>
            </w:r>
          </w:p>
        </w:tc>
        <w:tc>
          <w:tcPr>
            <w:tcW w:w="707" w:type="dxa"/>
            <w:vAlign w:val="top"/>
          </w:tcPr>
          <w:p>
            <w:pPr>
              <w:kinsoku w:val="0"/>
              <w:autoSpaceDE w:val="0"/>
              <w:autoSpaceDN w:val="0"/>
              <w:adjustRightInd w:val="0"/>
              <w:snapToGrid w:val="0"/>
              <w:spacing w:before="137" w:line="183" w:lineRule="auto"/>
              <w:ind w:left="23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5.3</w:t>
            </w:r>
          </w:p>
        </w:tc>
        <w:tc>
          <w:tcPr>
            <w:tcW w:w="917" w:type="dxa"/>
            <w:vAlign w:val="top"/>
          </w:tcPr>
          <w:p>
            <w:pPr>
              <w:widowControl/>
              <w:kinsoku w:val="0"/>
              <w:autoSpaceDE w:val="0"/>
              <w:autoSpaceDN w:val="0"/>
              <w:adjustRightInd w:val="0"/>
              <w:snapToGrid w:val="0"/>
              <w:spacing w:line="240" w:lineRule="auto"/>
              <w:jc w:val="both"/>
              <w:textAlignment w:val="baseline"/>
              <w:rPr>
                <w:rFonts w:ascii="Arial" w:hAnsi="Arial" w:eastAsia="Arial" w:cs="Arial"/>
                <w:snapToGrid w:val="0"/>
                <w:color w:val="000000"/>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763" w:type="dxa"/>
            <w:vMerge w:val="restart"/>
            <w:tcBorders>
              <w:bottom w:val="nil"/>
            </w:tcBorders>
            <w:vAlign w:val="top"/>
          </w:tcPr>
          <w:p>
            <w:pPr>
              <w:widowControl/>
              <w:kinsoku w:val="0"/>
              <w:autoSpaceDE w:val="0"/>
              <w:autoSpaceDN w:val="0"/>
              <w:adjustRightInd w:val="0"/>
              <w:snapToGrid w:val="0"/>
              <w:spacing w:line="246"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46" w:lineRule="auto"/>
              <w:jc w:val="left"/>
              <w:textAlignment w:val="baseline"/>
              <w:rPr>
                <w:rFonts w:ascii="Arial" w:hAnsi="Arial" w:eastAsia="Arial" w:cs="Arial"/>
                <w:snapToGrid w:val="0"/>
                <w:color w:val="000000"/>
                <w:kern w:val="0"/>
                <w:sz w:val="12"/>
                <w:szCs w:val="12"/>
                <w:lang w:eastAsia="en-US"/>
              </w:rPr>
            </w:pPr>
          </w:p>
          <w:p>
            <w:pPr>
              <w:kinsoku w:val="0"/>
              <w:autoSpaceDE w:val="0"/>
              <w:autoSpaceDN w:val="0"/>
              <w:adjustRightInd w:val="0"/>
              <w:snapToGrid w:val="0"/>
              <w:spacing w:before="35" w:line="220" w:lineRule="auto"/>
              <w:ind w:left="150"/>
              <w:jc w:val="left"/>
              <w:textAlignment w:val="baseline"/>
              <w:rPr>
                <w:rFonts w:ascii="宋体" w:hAnsi="宋体" w:eastAsia="宋体" w:cs="宋体"/>
                <w:snapToGrid w:val="0"/>
                <w:color w:val="000000"/>
                <w:spacing w:val="-1"/>
                <w:kern w:val="0"/>
                <w:sz w:val="12"/>
                <w:szCs w:val="12"/>
                <w:lang w:val="en-US" w:eastAsia="en-US" w:bidi="ar-SA"/>
              </w:rPr>
            </w:pPr>
          </w:p>
          <w:p>
            <w:pPr>
              <w:kinsoku w:val="0"/>
              <w:autoSpaceDE w:val="0"/>
              <w:autoSpaceDN w:val="0"/>
              <w:adjustRightInd w:val="0"/>
              <w:snapToGrid w:val="0"/>
              <w:spacing w:before="35" w:line="220" w:lineRule="auto"/>
              <w:ind w:left="150"/>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1"/>
                <w:kern w:val="0"/>
                <w:sz w:val="12"/>
                <w:szCs w:val="12"/>
                <w:lang w:val="en-US" w:eastAsia="zh-CN" w:bidi="ar-SA"/>
              </w:rPr>
              <w:t>质量</w:t>
            </w:r>
            <w:r>
              <w:rPr>
                <w:rFonts w:ascii="宋体" w:hAnsi="宋体" w:eastAsia="宋体" w:cs="宋体"/>
                <w:snapToGrid w:val="0"/>
                <w:color w:val="000000"/>
                <w:spacing w:val="-1"/>
                <w:kern w:val="0"/>
                <w:sz w:val="12"/>
                <w:szCs w:val="12"/>
                <w:lang w:val="en-US" w:eastAsia="en-US" w:bidi="ar-SA"/>
              </w:rPr>
              <w:t>指标</w:t>
            </w:r>
          </w:p>
        </w:tc>
        <w:tc>
          <w:tcPr>
            <w:tcW w:w="1888" w:type="dxa"/>
            <w:vAlign w:val="top"/>
          </w:tcPr>
          <w:p>
            <w:pPr>
              <w:kinsoku w:val="0"/>
              <w:autoSpaceDE w:val="0"/>
              <w:autoSpaceDN w:val="0"/>
              <w:adjustRightInd w:val="0"/>
              <w:snapToGrid w:val="0"/>
              <w:spacing w:before="120" w:line="219" w:lineRule="auto"/>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中央财政补助经费使用率</w:t>
            </w:r>
          </w:p>
        </w:tc>
        <w:tc>
          <w:tcPr>
            <w:tcW w:w="473" w:type="dxa"/>
            <w:vAlign w:val="top"/>
          </w:tcPr>
          <w:p>
            <w:pPr>
              <w:kinsoku w:val="0"/>
              <w:autoSpaceDE w:val="0"/>
              <w:autoSpaceDN w:val="0"/>
              <w:adjustRightInd w:val="0"/>
              <w:snapToGrid w:val="0"/>
              <w:spacing w:before="131" w:line="240" w:lineRule="auto"/>
              <w:ind w:left="21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1163" w:type="dxa"/>
            <w:vAlign w:val="top"/>
          </w:tcPr>
          <w:p>
            <w:pPr>
              <w:kinsoku w:val="0"/>
              <w:autoSpaceDE w:val="0"/>
              <w:autoSpaceDN w:val="0"/>
              <w:adjustRightInd w:val="0"/>
              <w:snapToGrid w:val="0"/>
              <w:spacing w:before="148" w:line="184" w:lineRule="auto"/>
              <w:ind w:left="46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599" w:type="dxa"/>
            <w:vAlign w:val="top"/>
          </w:tcPr>
          <w:p>
            <w:pPr>
              <w:kinsoku w:val="0"/>
              <w:autoSpaceDE w:val="0"/>
              <w:autoSpaceDN w:val="0"/>
              <w:adjustRightInd w:val="0"/>
              <w:snapToGrid w:val="0"/>
              <w:spacing w:before="148" w:line="184" w:lineRule="auto"/>
              <w:ind w:left="21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8" w:line="184" w:lineRule="auto"/>
              <w:ind w:left="20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8" w:line="184" w:lineRule="auto"/>
              <w:ind w:left="21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8" w:line="184" w:lineRule="auto"/>
              <w:ind w:left="20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9" w:type="dxa"/>
            <w:vAlign w:val="top"/>
          </w:tcPr>
          <w:p>
            <w:pPr>
              <w:kinsoku w:val="0"/>
              <w:autoSpaceDE w:val="0"/>
              <w:autoSpaceDN w:val="0"/>
              <w:adjustRightInd w:val="0"/>
              <w:snapToGrid w:val="0"/>
              <w:spacing w:before="148" w:line="184" w:lineRule="auto"/>
              <w:ind w:left="214"/>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8" w:line="184" w:lineRule="auto"/>
              <w:ind w:left="21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8" w:line="184" w:lineRule="auto"/>
              <w:ind w:left="20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9" w:type="dxa"/>
            <w:vAlign w:val="top"/>
          </w:tcPr>
          <w:p>
            <w:pPr>
              <w:kinsoku w:val="0"/>
              <w:autoSpaceDE w:val="0"/>
              <w:autoSpaceDN w:val="0"/>
              <w:adjustRightInd w:val="0"/>
              <w:snapToGrid w:val="0"/>
              <w:spacing w:before="148" w:line="184" w:lineRule="auto"/>
              <w:ind w:left="216"/>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8" w:line="184" w:lineRule="auto"/>
              <w:ind w:left="21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8" w:line="184" w:lineRule="auto"/>
              <w:ind w:left="20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8" w:line="184" w:lineRule="auto"/>
              <w:ind w:left="21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0" w:type="dxa"/>
            <w:vAlign w:val="top"/>
          </w:tcPr>
          <w:p>
            <w:pPr>
              <w:kinsoku w:val="0"/>
              <w:autoSpaceDE w:val="0"/>
              <w:autoSpaceDN w:val="0"/>
              <w:adjustRightInd w:val="0"/>
              <w:snapToGrid w:val="0"/>
              <w:spacing w:before="148" w:line="184" w:lineRule="auto"/>
              <w:ind w:left="20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9" w:type="dxa"/>
            <w:vAlign w:val="top"/>
          </w:tcPr>
          <w:p>
            <w:pPr>
              <w:kinsoku w:val="0"/>
              <w:autoSpaceDE w:val="0"/>
              <w:autoSpaceDN w:val="0"/>
              <w:adjustRightInd w:val="0"/>
              <w:snapToGrid w:val="0"/>
              <w:spacing w:before="148" w:line="184" w:lineRule="auto"/>
              <w:ind w:left="21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707" w:type="dxa"/>
            <w:vAlign w:val="top"/>
          </w:tcPr>
          <w:p>
            <w:pPr>
              <w:kinsoku w:val="0"/>
              <w:autoSpaceDE w:val="0"/>
              <w:autoSpaceDN w:val="0"/>
              <w:adjustRightInd w:val="0"/>
              <w:snapToGrid w:val="0"/>
              <w:spacing w:before="148" w:line="184" w:lineRule="auto"/>
              <w:ind w:left="21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917" w:type="dxa"/>
            <w:vAlign w:val="top"/>
          </w:tcPr>
          <w:p>
            <w:pPr>
              <w:kinsoku w:val="0"/>
              <w:autoSpaceDE w:val="0"/>
              <w:autoSpaceDN w:val="0"/>
              <w:adjustRightInd w:val="0"/>
              <w:snapToGrid w:val="0"/>
              <w:spacing w:before="148" w:line="184" w:lineRule="auto"/>
              <w:ind w:left="36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763"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1888" w:type="dxa"/>
            <w:vAlign w:val="top"/>
          </w:tcPr>
          <w:p>
            <w:pPr>
              <w:kinsoku w:val="0"/>
              <w:autoSpaceDE w:val="0"/>
              <w:autoSpaceDN w:val="0"/>
              <w:adjustRightInd w:val="0"/>
              <w:snapToGrid w:val="0"/>
              <w:spacing w:before="50" w:line="211" w:lineRule="auto"/>
              <w:ind w:left="11" w:right="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依法对重大动物疫情处置</w:t>
            </w:r>
            <w:r>
              <w:rPr>
                <w:rFonts w:ascii="宋体" w:hAnsi="宋体" w:eastAsia="宋体" w:cs="宋体"/>
                <w:snapToGrid w:val="0"/>
                <w:color w:val="000000"/>
                <w:kern w:val="0"/>
                <w:sz w:val="12"/>
                <w:szCs w:val="12"/>
                <w:lang w:val="en-US" w:eastAsia="en-US" w:bidi="ar-SA"/>
              </w:rPr>
              <w:t>率</w:t>
            </w:r>
          </w:p>
        </w:tc>
        <w:tc>
          <w:tcPr>
            <w:tcW w:w="473" w:type="dxa"/>
            <w:vAlign w:val="top"/>
          </w:tcPr>
          <w:p>
            <w:pPr>
              <w:kinsoku w:val="0"/>
              <w:autoSpaceDE w:val="0"/>
              <w:autoSpaceDN w:val="0"/>
              <w:adjustRightInd w:val="0"/>
              <w:snapToGrid w:val="0"/>
              <w:spacing w:before="132" w:line="240" w:lineRule="auto"/>
              <w:ind w:left="21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1163" w:type="dxa"/>
            <w:vAlign w:val="top"/>
          </w:tcPr>
          <w:p>
            <w:pPr>
              <w:kinsoku w:val="0"/>
              <w:autoSpaceDE w:val="0"/>
              <w:autoSpaceDN w:val="0"/>
              <w:adjustRightInd w:val="0"/>
              <w:snapToGrid w:val="0"/>
              <w:spacing w:before="149" w:line="184" w:lineRule="auto"/>
              <w:ind w:left="46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599" w:type="dxa"/>
            <w:vAlign w:val="top"/>
          </w:tcPr>
          <w:p>
            <w:pPr>
              <w:kinsoku w:val="0"/>
              <w:autoSpaceDE w:val="0"/>
              <w:autoSpaceDN w:val="0"/>
              <w:adjustRightInd w:val="0"/>
              <w:snapToGrid w:val="0"/>
              <w:spacing w:before="149" w:line="184" w:lineRule="auto"/>
              <w:ind w:left="21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9" w:line="184" w:lineRule="auto"/>
              <w:ind w:left="20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9" w:line="184" w:lineRule="auto"/>
              <w:ind w:left="21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9" w:line="184" w:lineRule="auto"/>
              <w:ind w:left="20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9" w:type="dxa"/>
            <w:vAlign w:val="top"/>
          </w:tcPr>
          <w:p>
            <w:pPr>
              <w:kinsoku w:val="0"/>
              <w:autoSpaceDE w:val="0"/>
              <w:autoSpaceDN w:val="0"/>
              <w:adjustRightInd w:val="0"/>
              <w:snapToGrid w:val="0"/>
              <w:spacing w:before="149" w:line="184" w:lineRule="auto"/>
              <w:ind w:left="214"/>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9" w:line="184" w:lineRule="auto"/>
              <w:ind w:left="21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9" w:line="184" w:lineRule="auto"/>
              <w:ind w:left="20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9" w:type="dxa"/>
            <w:vAlign w:val="top"/>
          </w:tcPr>
          <w:p>
            <w:pPr>
              <w:kinsoku w:val="0"/>
              <w:autoSpaceDE w:val="0"/>
              <w:autoSpaceDN w:val="0"/>
              <w:adjustRightInd w:val="0"/>
              <w:snapToGrid w:val="0"/>
              <w:spacing w:before="149" w:line="184" w:lineRule="auto"/>
              <w:ind w:left="216"/>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9" w:line="184" w:lineRule="auto"/>
              <w:ind w:left="21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9" w:line="184" w:lineRule="auto"/>
              <w:ind w:left="20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9" w:line="184" w:lineRule="auto"/>
              <w:ind w:left="21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0" w:type="dxa"/>
            <w:vAlign w:val="top"/>
          </w:tcPr>
          <w:p>
            <w:pPr>
              <w:kinsoku w:val="0"/>
              <w:autoSpaceDE w:val="0"/>
              <w:autoSpaceDN w:val="0"/>
              <w:adjustRightInd w:val="0"/>
              <w:snapToGrid w:val="0"/>
              <w:spacing w:before="149" w:line="184" w:lineRule="auto"/>
              <w:ind w:left="20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9" w:type="dxa"/>
            <w:vAlign w:val="top"/>
          </w:tcPr>
          <w:p>
            <w:pPr>
              <w:kinsoku w:val="0"/>
              <w:autoSpaceDE w:val="0"/>
              <w:autoSpaceDN w:val="0"/>
              <w:adjustRightInd w:val="0"/>
              <w:snapToGrid w:val="0"/>
              <w:spacing w:before="149" w:line="184" w:lineRule="auto"/>
              <w:ind w:left="21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707" w:type="dxa"/>
            <w:vAlign w:val="top"/>
          </w:tcPr>
          <w:p>
            <w:pPr>
              <w:kinsoku w:val="0"/>
              <w:autoSpaceDE w:val="0"/>
              <w:autoSpaceDN w:val="0"/>
              <w:adjustRightInd w:val="0"/>
              <w:snapToGrid w:val="0"/>
              <w:spacing w:before="149" w:line="184" w:lineRule="auto"/>
              <w:ind w:left="21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917" w:type="dxa"/>
            <w:vAlign w:val="top"/>
          </w:tcPr>
          <w:p>
            <w:pPr>
              <w:kinsoku w:val="0"/>
              <w:autoSpaceDE w:val="0"/>
              <w:autoSpaceDN w:val="0"/>
              <w:adjustRightInd w:val="0"/>
              <w:snapToGrid w:val="0"/>
              <w:spacing w:before="149" w:line="184" w:lineRule="auto"/>
              <w:ind w:left="36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763" w:type="dxa"/>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1888" w:type="dxa"/>
            <w:vAlign w:val="top"/>
          </w:tcPr>
          <w:p>
            <w:pPr>
              <w:kinsoku w:val="0"/>
              <w:autoSpaceDE w:val="0"/>
              <w:autoSpaceDN w:val="0"/>
              <w:adjustRightInd w:val="0"/>
              <w:snapToGrid w:val="0"/>
              <w:spacing w:before="61" w:line="213" w:lineRule="auto"/>
              <w:ind w:left="1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免疫</w:t>
            </w:r>
            <w:r>
              <w:rPr>
                <w:rFonts w:hint="eastAsia" w:ascii="宋体" w:hAnsi="宋体" w:eastAsia="宋体" w:cs="宋体"/>
                <w:snapToGrid w:val="0"/>
                <w:color w:val="000000"/>
                <w:spacing w:val="-3"/>
                <w:kern w:val="0"/>
                <w:sz w:val="12"/>
                <w:szCs w:val="12"/>
                <w:lang w:val="en-US" w:eastAsia="zh-CN" w:bidi="ar-SA"/>
              </w:rPr>
              <w:t>质量</w:t>
            </w:r>
            <w:r>
              <w:rPr>
                <w:rFonts w:ascii="宋体" w:hAnsi="宋体" w:eastAsia="宋体" w:cs="宋体"/>
                <w:snapToGrid w:val="0"/>
                <w:color w:val="000000"/>
                <w:spacing w:val="-3"/>
                <w:kern w:val="0"/>
                <w:sz w:val="12"/>
                <w:szCs w:val="12"/>
                <w:lang w:val="en-US" w:eastAsia="en-US" w:bidi="ar-SA"/>
              </w:rPr>
              <w:t>和免疫效果(除</w:t>
            </w:r>
            <w:r>
              <w:rPr>
                <w:rFonts w:ascii="宋体" w:hAnsi="宋体" w:eastAsia="宋体" w:cs="宋体"/>
                <w:snapToGrid w:val="0"/>
                <w:color w:val="000000"/>
                <w:spacing w:val="4"/>
                <w:kern w:val="0"/>
                <w:sz w:val="12"/>
                <w:szCs w:val="12"/>
                <w:lang w:val="en-US" w:eastAsia="en-US" w:bidi="ar-SA"/>
              </w:rPr>
              <w:t xml:space="preserve">  </w:t>
            </w:r>
            <w:r>
              <w:rPr>
                <w:rFonts w:ascii="宋体" w:hAnsi="宋体" w:eastAsia="宋体" w:cs="宋体"/>
                <w:snapToGrid w:val="0"/>
                <w:color w:val="000000"/>
                <w:spacing w:val="-2"/>
                <w:kern w:val="0"/>
                <w:sz w:val="12"/>
                <w:szCs w:val="12"/>
                <w:lang w:val="en-US" w:eastAsia="en-US" w:bidi="ar-SA"/>
              </w:rPr>
              <w:t>布病外其他强制免疫病种</w:t>
            </w:r>
            <w:r>
              <w:rPr>
                <w:rFonts w:ascii="宋体" w:hAnsi="宋体" w:eastAsia="宋体" w:cs="宋体"/>
                <w:snapToGrid w:val="0"/>
                <w:color w:val="000000"/>
                <w:kern w:val="0"/>
                <w:sz w:val="12"/>
                <w:szCs w:val="12"/>
                <w:lang w:val="en-US" w:eastAsia="en-US" w:bidi="ar-SA"/>
              </w:rPr>
              <w:t>的平均</w:t>
            </w:r>
            <w:r>
              <w:rPr>
                <w:rFonts w:hint="eastAsia" w:ascii="宋体" w:hAnsi="宋体" w:eastAsia="宋体" w:cs="宋体"/>
                <w:snapToGrid w:val="0"/>
                <w:color w:val="000000"/>
                <w:kern w:val="0"/>
                <w:sz w:val="12"/>
                <w:szCs w:val="12"/>
                <w:lang w:val="en-US" w:eastAsia="zh-CN" w:bidi="ar-SA"/>
              </w:rPr>
              <w:t>免疫抗体</w:t>
            </w:r>
            <w:r>
              <w:rPr>
                <w:rFonts w:ascii="宋体" w:hAnsi="宋体" w:eastAsia="宋体" w:cs="宋体"/>
                <w:snapToGrid w:val="0"/>
                <w:color w:val="000000"/>
                <w:kern w:val="0"/>
                <w:sz w:val="12"/>
                <w:szCs w:val="12"/>
                <w:lang w:val="en-US" w:eastAsia="en-US" w:bidi="ar-SA"/>
              </w:rPr>
              <w:t>合格率)</w:t>
            </w:r>
          </w:p>
        </w:tc>
        <w:tc>
          <w:tcPr>
            <w:tcW w:w="473" w:type="dxa"/>
            <w:vAlign w:val="top"/>
          </w:tcPr>
          <w:p>
            <w:pPr>
              <w:kinsoku w:val="0"/>
              <w:autoSpaceDE w:val="0"/>
              <w:autoSpaceDN w:val="0"/>
              <w:adjustRightInd w:val="0"/>
              <w:snapToGrid w:val="0"/>
              <w:spacing w:before="192" w:line="240" w:lineRule="auto"/>
              <w:ind w:left="21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1163" w:type="dxa"/>
            <w:vAlign w:val="top"/>
          </w:tcPr>
          <w:p>
            <w:pPr>
              <w:kinsoku w:val="0"/>
              <w:autoSpaceDE w:val="0"/>
              <w:autoSpaceDN w:val="0"/>
              <w:adjustRightInd w:val="0"/>
              <w:snapToGrid w:val="0"/>
              <w:spacing w:before="209" w:line="183" w:lineRule="auto"/>
              <w:ind w:left="46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599" w:type="dxa"/>
            <w:vAlign w:val="top"/>
          </w:tcPr>
          <w:p>
            <w:pPr>
              <w:kinsoku w:val="0"/>
              <w:autoSpaceDE w:val="0"/>
              <w:autoSpaceDN w:val="0"/>
              <w:adjustRightInd w:val="0"/>
              <w:snapToGrid w:val="0"/>
              <w:spacing w:before="209" w:line="183" w:lineRule="auto"/>
              <w:ind w:left="21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49" w:type="dxa"/>
            <w:vAlign w:val="top"/>
          </w:tcPr>
          <w:p>
            <w:pPr>
              <w:kinsoku w:val="0"/>
              <w:autoSpaceDE w:val="0"/>
              <w:autoSpaceDN w:val="0"/>
              <w:adjustRightInd w:val="0"/>
              <w:snapToGrid w:val="0"/>
              <w:spacing w:before="209" w:line="183" w:lineRule="auto"/>
              <w:ind w:left="20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60" w:type="dxa"/>
            <w:vAlign w:val="top"/>
          </w:tcPr>
          <w:p>
            <w:pPr>
              <w:kinsoku w:val="0"/>
              <w:autoSpaceDE w:val="0"/>
              <w:autoSpaceDN w:val="0"/>
              <w:adjustRightInd w:val="0"/>
              <w:snapToGrid w:val="0"/>
              <w:spacing w:before="209" w:line="183" w:lineRule="auto"/>
              <w:ind w:left="21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49" w:type="dxa"/>
            <w:vAlign w:val="top"/>
          </w:tcPr>
          <w:p>
            <w:pPr>
              <w:kinsoku w:val="0"/>
              <w:autoSpaceDE w:val="0"/>
              <w:autoSpaceDN w:val="0"/>
              <w:adjustRightInd w:val="0"/>
              <w:snapToGrid w:val="0"/>
              <w:spacing w:before="209" w:line="183" w:lineRule="auto"/>
              <w:ind w:left="20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59" w:type="dxa"/>
            <w:vAlign w:val="top"/>
          </w:tcPr>
          <w:p>
            <w:pPr>
              <w:kinsoku w:val="0"/>
              <w:autoSpaceDE w:val="0"/>
              <w:autoSpaceDN w:val="0"/>
              <w:adjustRightInd w:val="0"/>
              <w:snapToGrid w:val="0"/>
              <w:spacing w:before="192" w:line="237" w:lineRule="auto"/>
              <w:ind w:left="184"/>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60" w:type="dxa"/>
            <w:vAlign w:val="top"/>
          </w:tcPr>
          <w:p>
            <w:pPr>
              <w:kinsoku w:val="0"/>
              <w:autoSpaceDE w:val="0"/>
              <w:autoSpaceDN w:val="0"/>
              <w:adjustRightInd w:val="0"/>
              <w:snapToGrid w:val="0"/>
              <w:spacing w:before="192" w:line="237" w:lineRule="auto"/>
              <w:ind w:left="18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49" w:type="dxa"/>
            <w:vAlign w:val="top"/>
          </w:tcPr>
          <w:p>
            <w:pPr>
              <w:kinsoku w:val="0"/>
              <w:autoSpaceDE w:val="0"/>
              <w:autoSpaceDN w:val="0"/>
              <w:adjustRightInd w:val="0"/>
              <w:snapToGrid w:val="0"/>
              <w:spacing w:before="209" w:line="183" w:lineRule="auto"/>
              <w:ind w:left="20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59" w:type="dxa"/>
            <w:vAlign w:val="top"/>
          </w:tcPr>
          <w:p>
            <w:pPr>
              <w:kinsoku w:val="0"/>
              <w:autoSpaceDE w:val="0"/>
              <w:autoSpaceDN w:val="0"/>
              <w:adjustRightInd w:val="0"/>
              <w:snapToGrid w:val="0"/>
              <w:spacing w:before="209" w:line="183" w:lineRule="auto"/>
              <w:ind w:left="216"/>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60" w:type="dxa"/>
            <w:vAlign w:val="top"/>
          </w:tcPr>
          <w:p>
            <w:pPr>
              <w:kinsoku w:val="0"/>
              <w:autoSpaceDE w:val="0"/>
              <w:autoSpaceDN w:val="0"/>
              <w:adjustRightInd w:val="0"/>
              <w:snapToGrid w:val="0"/>
              <w:spacing w:before="209" w:line="183" w:lineRule="auto"/>
              <w:ind w:left="21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49" w:type="dxa"/>
            <w:vAlign w:val="top"/>
          </w:tcPr>
          <w:p>
            <w:pPr>
              <w:kinsoku w:val="0"/>
              <w:autoSpaceDE w:val="0"/>
              <w:autoSpaceDN w:val="0"/>
              <w:adjustRightInd w:val="0"/>
              <w:snapToGrid w:val="0"/>
              <w:spacing w:before="192" w:line="237" w:lineRule="auto"/>
              <w:ind w:left="17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60" w:type="dxa"/>
            <w:vAlign w:val="top"/>
          </w:tcPr>
          <w:p>
            <w:pPr>
              <w:kinsoku w:val="0"/>
              <w:autoSpaceDE w:val="0"/>
              <w:autoSpaceDN w:val="0"/>
              <w:adjustRightInd w:val="0"/>
              <w:snapToGrid w:val="0"/>
              <w:spacing w:before="209" w:line="183" w:lineRule="auto"/>
              <w:ind w:left="21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50" w:type="dxa"/>
            <w:vAlign w:val="top"/>
          </w:tcPr>
          <w:p>
            <w:pPr>
              <w:kinsoku w:val="0"/>
              <w:autoSpaceDE w:val="0"/>
              <w:autoSpaceDN w:val="0"/>
              <w:adjustRightInd w:val="0"/>
              <w:snapToGrid w:val="0"/>
              <w:spacing w:before="209" w:line="183" w:lineRule="auto"/>
              <w:ind w:left="20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659" w:type="dxa"/>
            <w:vAlign w:val="top"/>
          </w:tcPr>
          <w:p>
            <w:pPr>
              <w:kinsoku w:val="0"/>
              <w:autoSpaceDE w:val="0"/>
              <w:autoSpaceDN w:val="0"/>
              <w:adjustRightInd w:val="0"/>
              <w:snapToGrid w:val="0"/>
              <w:spacing w:before="192" w:line="237" w:lineRule="auto"/>
              <w:ind w:left="18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707" w:type="dxa"/>
            <w:vAlign w:val="top"/>
          </w:tcPr>
          <w:p>
            <w:pPr>
              <w:kinsoku w:val="0"/>
              <w:autoSpaceDE w:val="0"/>
              <w:autoSpaceDN w:val="0"/>
              <w:adjustRightInd w:val="0"/>
              <w:snapToGrid w:val="0"/>
              <w:spacing w:before="192" w:line="237" w:lineRule="auto"/>
              <w:ind w:left="18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c>
          <w:tcPr>
            <w:tcW w:w="917" w:type="dxa"/>
            <w:vAlign w:val="top"/>
          </w:tcPr>
          <w:p>
            <w:pPr>
              <w:kinsoku w:val="0"/>
              <w:autoSpaceDE w:val="0"/>
              <w:autoSpaceDN w:val="0"/>
              <w:adjustRightInd w:val="0"/>
              <w:snapToGrid w:val="0"/>
              <w:spacing w:before="209" w:line="183" w:lineRule="auto"/>
              <w:ind w:left="36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6"/>
                <w:kern w:val="0"/>
                <w:sz w:val="12"/>
                <w:szCs w:val="12"/>
                <w:lang w:val="en-US" w:eastAsia="en-US" w:bidi="ar-SA"/>
              </w:rPr>
              <w:t>≥</w:t>
            </w:r>
            <w:r>
              <w:rPr>
                <w:rFonts w:ascii="宋体" w:hAnsi="宋体" w:eastAsia="宋体" w:cs="宋体"/>
                <w:snapToGrid w:val="0"/>
                <w:color w:val="000000"/>
                <w:spacing w:val="-2"/>
                <w:kern w:val="0"/>
                <w:sz w:val="12"/>
                <w:szCs w:val="12"/>
                <w:lang w:val="en-US" w:eastAsia="en-US"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763" w:type="dxa"/>
            <w:vAlign w:val="top"/>
          </w:tcPr>
          <w:p>
            <w:pPr>
              <w:kinsoku w:val="0"/>
              <w:autoSpaceDE w:val="0"/>
              <w:autoSpaceDN w:val="0"/>
              <w:adjustRightInd w:val="0"/>
              <w:snapToGrid w:val="0"/>
              <w:spacing w:before="112" w:line="220" w:lineRule="auto"/>
              <w:ind w:left="15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时效指标</w:t>
            </w:r>
          </w:p>
        </w:tc>
        <w:tc>
          <w:tcPr>
            <w:tcW w:w="1888" w:type="dxa"/>
            <w:vAlign w:val="top"/>
          </w:tcPr>
          <w:p>
            <w:pPr>
              <w:kinsoku w:val="0"/>
              <w:autoSpaceDE w:val="0"/>
              <w:autoSpaceDN w:val="0"/>
              <w:adjustRightInd w:val="0"/>
              <w:snapToGrid w:val="0"/>
              <w:spacing w:before="111" w:line="218" w:lineRule="auto"/>
              <w:ind w:right="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重大动物疫情及时报告率</w:t>
            </w:r>
          </w:p>
        </w:tc>
        <w:tc>
          <w:tcPr>
            <w:tcW w:w="473" w:type="dxa"/>
            <w:vAlign w:val="top"/>
          </w:tcPr>
          <w:p>
            <w:pPr>
              <w:kinsoku w:val="0"/>
              <w:autoSpaceDE w:val="0"/>
              <w:autoSpaceDN w:val="0"/>
              <w:adjustRightInd w:val="0"/>
              <w:snapToGrid w:val="0"/>
              <w:spacing w:before="123" w:line="240" w:lineRule="auto"/>
              <w:ind w:left="21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1163" w:type="dxa"/>
            <w:vAlign w:val="top"/>
          </w:tcPr>
          <w:p>
            <w:pPr>
              <w:kinsoku w:val="0"/>
              <w:autoSpaceDE w:val="0"/>
              <w:autoSpaceDN w:val="0"/>
              <w:adjustRightInd w:val="0"/>
              <w:snapToGrid w:val="0"/>
              <w:spacing w:before="140" w:line="184" w:lineRule="auto"/>
              <w:ind w:left="46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599" w:type="dxa"/>
            <w:vAlign w:val="top"/>
          </w:tcPr>
          <w:p>
            <w:pPr>
              <w:kinsoku w:val="0"/>
              <w:autoSpaceDE w:val="0"/>
              <w:autoSpaceDN w:val="0"/>
              <w:adjustRightInd w:val="0"/>
              <w:snapToGrid w:val="0"/>
              <w:spacing w:before="140" w:line="184" w:lineRule="auto"/>
              <w:ind w:left="21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0" w:line="184" w:lineRule="auto"/>
              <w:ind w:left="20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0" w:line="184" w:lineRule="auto"/>
              <w:ind w:left="21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0" w:line="184" w:lineRule="auto"/>
              <w:ind w:left="20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9" w:type="dxa"/>
            <w:vAlign w:val="top"/>
          </w:tcPr>
          <w:p>
            <w:pPr>
              <w:kinsoku w:val="0"/>
              <w:autoSpaceDE w:val="0"/>
              <w:autoSpaceDN w:val="0"/>
              <w:adjustRightInd w:val="0"/>
              <w:snapToGrid w:val="0"/>
              <w:spacing w:before="140" w:line="184" w:lineRule="auto"/>
              <w:ind w:left="214"/>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0" w:line="184" w:lineRule="auto"/>
              <w:ind w:left="21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0" w:line="184" w:lineRule="auto"/>
              <w:ind w:left="20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9" w:type="dxa"/>
            <w:vAlign w:val="top"/>
          </w:tcPr>
          <w:p>
            <w:pPr>
              <w:kinsoku w:val="0"/>
              <w:autoSpaceDE w:val="0"/>
              <w:autoSpaceDN w:val="0"/>
              <w:adjustRightInd w:val="0"/>
              <w:snapToGrid w:val="0"/>
              <w:spacing w:before="140" w:line="184" w:lineRule="auto"/>
              <w:ind w:left="216"/>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0" w:line="184" w:lineRule="auto"/>
              <w:ind w:left="21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49" w:type="dxa"/>
            <w:vAlign w:val="top"/>
          </w:tcPr>
          <w:p>
            <w:pPr>
              <w:kinsoku w:val="0"/>
              <w:autoSpaceDE w:val="0"/>
              <w:autoSpaceDN w:val="0"/>
              <w:adjustRightInd w:val="0"/>
              <w:snapToGrid w:val="0"/>
              <w:spacing w:before="140" w:line="184" w:lineRule="auto"/>
              <w:ind w:left="20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60" w:type="dxa"/>
            <w:vAlign w:val="top"/>
          </w:tcPr>
          <w:p>
            <w:pPr>
              <w:kinsoku w:val="0"/>
              <w:autoSpaceDE w:val="0"/>
              <w:autoSpaceDN w:val="0"/>
              <w:adjustRightInd w:val="0"/>
              <w:snapToGrid w:val="0"/>
              <w:spacing w:before="140" w:line="184" w:lineRule="auto"/>
              <w:ind w:left="21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0" w:type="dxa"/>
            <w:vAlign w:val="top"/>
          </w:tcPr>
          <w:p>
            <w:pPr>
              <w:kinsoku w:val="0"/>
              <w:autoSpaceDE w:val="0"/>
              <w:autoSpaceDN w:val="0"/>
              <w:adjustRightInd w:val="0"/>
              <w:snapToGrid w:val="0"/>
              <w:spacing w:before="140" w:line="184" w:lineRule="auto"/>
              <w:ind w:left="20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659" w:type="dxa"/>
            <w:vAlign w:val="top"/>
          </w:tcPr>
          <w:p>
            <w:pPr>
              <w:kinsoku w:val="0"/>
              <w:autoSpaceDE w:val="0"/>
              <w:autoSpaceDN w:val="0"/>
              <w:adjustRightInd w:val="0"/>
              <w:snapToGrid w:val="0"/>
              <w:spacing w:before="140" w:line="184" w:lineRule="auto"/>
              <w:ind w:left="21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707" w:type="dxa"/>
            <w:vAlign w:val="top"/>
          </w:tcPr>
          <w:p>
            <w:pPr>
              <w:kinsoku w:val="0"/>
              <w:autoSpaceDE w:val="0"/>
              <w:autoSpaceDN w:val="0"/>
              <w:adjustRightInd w:val="0"/>
              <w:snapToGrid w:val="0"/>
              <w:spacing w:before="140" w:line="184" w:lineRule="auto"/>
              <w:ind w:left="21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c>
          <w:tcPr>
            <w:tcW w:w="917" w:type="dxa"/>
            <w:vAlign w:val="top"/>
          </w:tcPr>
          <w:p>
            <w:pPr>
              <w:kinsoku w:val="0"/>
              <w:autoSpaceDE w:val="0"/>
              <w:autoSpaceDN w:val="0"/>
              <w:adjustRightInd w:val="0"/>
              <w:snapToGrid w:val="0"/>
              <w:spacing w:before="140" w:line="184" w:lineRule="auto"/>
              <w:ind w:left="36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3"/>
                <w:kern w:val="0"/>
                <w:sz w:val="12"/>
                <w:szCs w:val="12"/>
                <w:lang w:val="en-US" w:eastAsia="en-US"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Merge w:val="restart"/>
            <w:tcBorders>
              <w:bottom w:val="nil"/>
            </w:tcBorders>
            <w:vAlign w:val="top"/>
          </w:tcPr>
          <w:p>
            <w:pPr>
              <w:widowControl/>
              <w:kinsoku w:val="0"/>
              <w:autoSpaceDE w:val="0"/>
              <w:autoSpaceDN w:val="0"/>
              <w:adjustRightInd w:val="0"/>
              <w:snapToGrid w:val="0"/>
              <w:spacing w:line="286" w:lineRule="auto"/>
              <w:jc w:val="left"/>
              <w:textAlignment w:val="baseline"/>
              <w:rPr>
                <w:rFonts w:ascii="Arial" w:hAnsi="Arial" w:eastAsia="Arial" w:cs="Arial"/>
                <w:snapToGrid w:val="0"/>
                <w:color w:val="000000"/>
                <w:kern w:val="0"/>
                <w:sz w:val="12"/>
                <w:szCs w:val="12"/>
                <w:lang w:eastAsia="en-US"/>
              </w:rPr>
            </w:pPr>
          </w:p>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12"/>
                <w:szCs w:val="12"/>
                <w:lang w:eastAsia="en-US"/>
              </w:rPr>
            </w:pPr>
          </w:p>
          <w:p>
            <w:pPr>
              <w:kinsoku w:val="0"/>
              <w:autoSpaceDE w:val="0"/>
              <w:autoSpaceDN w:val="0"/>
              <w:adjustRightInd w:val="0"/>
              <w:snapToGrid w:val="0"/>
              <w:spacing w:before="36" w:line="220" w:lineRule="auto"/>
              <w:ind w:left="4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效益指标</w:t>
            </w:r>
          </w:p>
        </w:tc>
        <w:tc>
          <w:tcPr>
            <w:tcW w:w="763" w:type="dxa"/>
            <w:vMerge w:val="restart"/>
            <w:tcBorders>
              <w:bottom w:val="nil"/>
            </w:tcBorders>
            <w:vAlign w:val="top"/>
          </w:tcPr>
          <w:p>
            <w:pPr>
              <w:widowControl/>
              <w:kinsoku w:val="0"/>
              <w:autoSpaceDE w:val="0"/>
              <w:autoSpaceDN w:val="0"/>
              <w:adjustRightInd w:val="0"/>
              <w:snapToGrid w:val="0"/>
              <w:spacing w:line="344" w:lineRule="auto"/>
              <w:jc w:val="left"/>
              <w:textAlignment w:val="baseline"/>
              <w:rPr>
                <w:rFonts w:ascii="Arial" w:hAnsi="Arial" w:eastAsia="Arial" w:cs="Arial"/>
                <w:snapToGrid w:val="0"/>
                <w:color w:val="000000"/>
                <w:kern w:val="0"/>
                <w:sz w:val="12"/>
                <w:szCs w:val="12"/>
                <w:lang w:eastAsia="en-US"/>
              </w:rPr>
            </w:pPr>
          </w:p>
          <w:p>
            <w:pPr>
              <w:kinsoku w:val="0"/>
              <w:autoSpaceDE w:val="0"/>
              <w:autoSpaceDN w:val="0"/>
              <w:adjustRightInd w:val="0"/>
              <w:snapToGrid w:val="0"/>
              <w:spacing w:before="36" w:line="219" w:lineRule="auto"/>
              <w:ind w:left="15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社会效益</w:t>
            </w:r>
          </w:p>
          <w:p>
            <w:pPr>
              <w:kinsoku w:val="0"/>
              <w:autoSpaceDE w:val="0"/>
              <w:autoSpaceDN w:val="0"/>
              <w:adjustRightInd w:val="0"/>
              <w:snapToGrid w:val="0"/>
              <w:spacing w:line="220" w:lineRule="auto"/>
              <w:ind w:left="260"/>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指标</w:t>
            </w:r>
          </w:p>
        </w:tc>
        <w:tc>
          <w:tcPr>
            <w:tcW w:w="1888" w:type="dxa"/>
            <w:vAlign w:val="top"/>
          </w:tcPr>
          <w:p>
            <w:pPr>
              <w:kinsoku w:val="0"/>
              <w:autoSpaceDE w:val="0"/>
              <w:autoSpaceDN w:val="0"/>
              <w:adjustRightInd w:val="0"/>
              <w:snapToGrid w:val="0"/>
              <w:spacing w:line="220" w:lineRule="auto"/>
              <w:ind w:left="11"/>
              <w:jc w:val="both"/>
              <w:textAlignment w:val="baseline"/>
              <w:rPr>
                <w:rFonts w:hint="default" w:ascii="宋体" w:hAnsi="宋体" w:eastAsia="宋体" w:cs="宋体"/>
                <w:snapToGrid w:val="0"/>
                <w:color w:val="000000"/>
                <w:kern w:val="0"/>
                <w:sz w:val="12"/>
                <w:szCs w:val="12"/>
                <w:lang w:val="en-US" w:eastAsia="zh-CN" w:bidi="ar-SA"/>
              </w:rPr>
            </w:pPr>
            <w:r>
              <w:rPr>
                <w:rFonts w:hint="eastAsia" w:ascii="宋体" w:hAnsi="宋体" w:eastAsia="宋体" w:cs="宋体"/>
                <w:snapToGrid w:val="0"/>
                <w:color w:val="000000"/>
                <w:kern w:val="0"/>
                <w:sz w:val="12"/>
                <w:szCs w:val="12"/>
                <w:lang w:val="en-US" w:eastAsia="zh-CN" w:bidi="ar-SA"/>
              </w:rPr>
              <w:t>口蹄疫、高致病性禽流感、布病、包虫病等优先防治病种防治工作</w:t>
            </w:r>
          </w:p>
        </w:tc>
        <w:tc>
          <w:tcPr>
            <w:tcW w:w="473" w:type="dxa"/>
            <w:vAlign w:val="top"/>
          </w:tcPr>
          <w:p>
            <w:pPr>
              <w:kinsoku w:val="0"/>
              <w:autoSpaceDE w:val="0"/>
              <w:autoSpaceDN w:val="0"/>
              <w:adjustRightInd w:val="0"/>
              <w:snapToGrid w:val="0"/>
              <w:spacing w:before="192" w:line="235" w:lineRule="auto"/>
              <w:ind w:right="32"/>
              <w:jc w:val="left"/>
              <w:textAlignment w:val="baseline"/>
              <w:rPr>
                <w:rFonts w:hint="default" w:ascii="宋体" w:hAnsi="宋体" w:eastAsia="宋体" w:cs="宋体"/>
                <w:snapToGrid w:val="0"/>
                <w:color w:val="000000"/>
                <w:kern w:val="0"/>
                <w:sz w:val="12"/>
                <w:szCs w:val="12"/>
                <w:lang w:val="en-US" w:eastAsia="zh-CN" w:bidi="ar-SA"/>
              </w:rPr>
            </w:pPr>
            <w:r>
              <w:rPr>
                <w:rFonts w:hint="eastAsia" w:ascii="宋体" w:hAnsi="宋体" w:eastAsia="宋体" w:cs="宋体"/>
                <w:snapToGrid w:val="0"/>
                <w:color w:val="000000"/>
                <w:kern w:val="0"/>
                <w:sz w:val="12"/>
                <w:szCs w:val="12"/>
                <w:lang w:val="en-US" w:eastAsia="zh-CN" w:bidi="ar-SA"/>
              </w:rPr>
              <w:t>疫情保持稳定</w:t>
            </w:r>
          </w:p>
        </w:tc>
        <w:tc>
          <w:tcPr>
            <w:tcW w:w="1163"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599"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49"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60"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49"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59"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60"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49"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59"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60"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49"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60"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50"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659"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707"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c>
          <w:tcPr>
            <w:tcW w:w="917" w:type="dxa"/>
            <w:vAlign w:val="top"/>
          </w:tcPr>
          <w:p>
            <w:pPr>
              <w:kinsoku w:val="0"/>
              <w:autoSpaceDE w:val="0"/>
              <w:autoSpaceDN w:val="0"/>
              <w:adjustRightInd w:val="0"/>
              <w:snapToGrid w:val="0"/>
              <w:spacing w:before="262" w:line="219" w:lineRule="auto"/>
              <w:jc w:val="both"/>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kern w:val="0"/>
                <w:sz w:val="12"/>
                <w:szCs w:val="12"/>
                <w:lang w:val="en-US" w:eastAsia="zh-CN" w:bidi="ar-SA"/>
              </w:rPr>
              <w:t>疫情保持稳定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763" w:type="dxa"/>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1888" w:type="dxa"/>
            <w:vAlign w:val="top"/>
          </w:tcPr>
          <w:p>
            <w:pPr>
              <w:kinsoku w:val="0"/>
              <w:autoSpaceDE w:val="0"/>
              <w:autoSpaceDN w:val="0"/>
              <w:adjustRightInd w:val="0"/>
              <w:snapToGrid w:val="0"/>
              <w:spacing w:before="113" w:line="219" w:lineRule="auto"/>
              <w:jc w:val="both"/>
              <w:textAlignment w:val="baseline"/>
              <w:rPr>
                <w:rFonts w:hint="default" w:ascii="宋体" w:hAnsi="宋体" w:eastAsia="宋体" w:cs="宋体"/>
                <w:snapToGrid w:val="0"/>
                <w:color w:val="000000"/>
                <w:kern w:val="0"/>
                <w:sz w:val="12"/>
                <w:szCs w:val="12"/>
                <w:lang w:val="en-US" w:eastAsia="zh-CN" w:bidi="ar-SA"/>
              </w:rPr>
            </w:pPr>
            <w:r>
              <w:rPr>
                <w:rFonts w:hint="eastAsia" w:ascii="宋体" w:hAnsi="宋体" w:eastAsia="宋体" w:cs="宋体"/>
                <w:snapToGrid w:val="0"/>
                <w:color w:val="000000"/>
                <w:kern w:val="0"/>
                <w:sz w:val="12"/>
                <w:szCs w:val="12"/>
                <w:lang w:val="en-US" w:eastAsia="zh-CN" w:bidi="ar-SA"/>
              </w:rPr>
              <w:t>资金使用重大违规违纪问题</w:t>
            </w:r>
          </w:p>
        </w:tc>
        <w:tc>
          <w:tcPr>
            <w:tcW w:w="473" w:type="dxa"/>
            <w:vAlign w:val="top"/>
          </w:tcPr>
          <w:p>
            <w:pPr>
              <w:kinsoku w:val="0"/>
              <w:autoSpaceDE w:val="0"/>
              <w:autoSpaceDN w:val="0"/>
              <w:adjustRightInd w:val="0"/>
              <w:snapToGrid w:val="0"/>
              <w:spacing w:before="113" w:line="220" w:lineRule="auto"/>
              <w:ind w:left="10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1"/>
                <w:kern w:val="0"/>
                <w:sz w:val="12"/>
                <w:szCs w:val="12"/>
                <w:lang w:val="en-US" w:eastAsia="en-US" w:bidi="ar-SA"/>
              </w:rPr>
              <w:t>有/无</w:t>
            </w:r>
          </w:p>
        </w:tc>
        <w:tc>
          <w:tcPr>
            <w:tcW w:w="1163" w:type="dxa"/>
            <w:vAlign w:val="top"/>
          </w:tcPr>
          <w:p>
            <w:pPr>
              <w:kinsoku w:val="0"/>
              <w:autoSpaceDE w:val="0"/>
              <w:autoSpaceDN w:val="0"/>
              <w:adjustRightInd w:val="0"/>
              <w:snapToGrid w:val="0"/>
              <w:spacing w:before="113" w:line="220" w:lineRule="auto"/>
              <w:ind w:left="51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599" w:type="dxa"/>
            <w:vAlign w:val="top"/>
          </w:tcPr>
          <w:p>
            <w:pPr>
              <w:kinsoku w:val="0"/>
              <w:autoSpaceDE w:val="0"/>
              <w:autoSpaceDN w:val="0"/>
              <w:adjustRightInd w:val="0"/>
              <w:snapToGrid w:val="0"/>
              <w:spacing w:before="113" w:line="220" w:lineRule="auto"/>
              <w:ind w:left="26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49" w:type="dxa"/>
            <w:vAlign w:val="top"/>
          </w:tcPr>
          <w:p>
            <w:pPr>
              <w:kinsoku w:val="0"/>
              <w:autoSpaceDE w:val="0"/>
              <w:autoSpaceDN w:val="0"/>
              <w:adjustRightInd w:val="0"/>
              <w:snapToGrid w:val="0"/>
              <w:spacing w:before="113" w:line="220" w:lineRule="auto"/>
              <w:ind w:left="26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60" w:type="dxa"/>
            <w:vAlign w:val="top"/>
          </w:tcPr>
          <w:p>
            <w:pPr>
              <w:kinsoku w:val="0"/>
              <w:autoSpaceDE w:val="0"/>
              <w:autoSpaceDN w:val="0"/>
              <w:adjustRightInd w:val="0"/>
              <w:snapToGrid w:val="0"/>
              <w:spacing w:before="113" w:line="220" w:lineRule="auto"/>
              <w:ind w:left="26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49" w:type="dxa"/>
            <w:vAlign w:val="top"/>
          </w:tcPr>
          <w:p>
            <w:pPr>
              <w:kinsoku w:val="0"/>
              <w:autoSpaceDE w:val="0"/>
              <w:autoSpaceDN w:val="0"/>
              <w:adjustRightInd w:val="0"/>
              <w:snapToGrid w:val="0"/>
              <w:spacing w:before="113" w:line="220" w:lineRule="auto"/>
              <w:ind w:left="26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59" w:type="dxa"/>
            <w:vAlign w:val="top"/>
          </w:tcPr>
          <w:p>
            <w:pPr>
              <w:kinsoku w:val="0"/>
              <w:autoSpaceDE w:val="0"/>
              <w:autoSpaceDN w:val="0"/>
              <w:adjustRightInd w:val="0"/>
              <w:snapToGrid w:val="0"/>
              <w:spacing w:before="113" w:line="220" w:lineRule="auto"/>
              <w:ind w:left="264"/>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60" w:type="dxa"/>
            <w:vAlign w:val="top"/>
          </w:tcPr>
          <w:p>
            <w:pPr>
              <w:kinsoku w:val="0"/>
              <w:autoSpaceDE w:val="0"/>
              <w:autoSpaceDN w:val="0"/>
              <w:adjustRightInd w:val="0"/>
              <w:snapToGrid w:val="0"/>
              <w:spacing w:before="113" w:line="220" w:lineRule="auto"/>
              <w:ind w:left="26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49" w:type="dxa"/>
            <w:vAlign w:val="top"/>
          </w:tcPr>
          <w:p>
            <w:pPr>
              <w:kinsoku w:val="0"/>
              <w:autoSpaceDE w:val="0"/>
              <w:autoSpaceDN w:val="0"/>
              <w:adjustRightInd w:val="0"/>
              <w:snapToGrid w:val="0"/>
              <w:spacing w:before="113" w:line="220" w:lineRule="auto"/>
              <w:ind w:left="26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59" w:type="dxa"/>
            <w:vAlign w:val="top"/>
          </w:tcPr>
          <w:p>
            <w:pPr>
              <w:kinsoku w:val="0"/>
              <w:autoSpaceDE w:val="0"/>
              <w:autoSpaceDN w:val="0"/>
              <w:adjustRightInd w:val="0"/>
              <w:snapToGrid w:val="0"/>
              <w:spacing w:before="113" w:line="220" w:lineRule="auto"/>
              <w:ind w:left="266"/>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60" w:type="dxa"/>
            <w:vAlign w:val="top"/>
          </w:tcPr>
          <w:p>
            <w:pPr>
              <w:kinsoku w:val="0"/>
              <w:autoSpaceDE w:val="0"/>
              <w:autoSpaceDN w:val="0"/>
              <w:adjustRightInd w:val="0"/>
              <w:snapToGrid w:val="0"/>
              <w:spacing w:before="113" w:line="220" w:lineRule="auto"/>
              <w:ind w:left="26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49" w:type="dxa"/>
            <w:vAlign w:val="top"/>
          </w:tcPr>
          <w:p>
            <w:pPr>
              <w:kinsoku w:val="0"/>
              <w:autoSpaceDE w:val="0"/>
              <w:autoSpaceDN w:val="0"/>
              <w:adjustRightInd w:val="0"/>
              <w:snapToGrid w:val="0"/>
              <w:spacing w:before="113" w:line="220" w:lineRule="auto"/>
              <w:ind w:left="26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60" w:type="dxa"/>
            <w:vAlign w:val="top"/>
          </w:tcPr>
          <w:p>
            <w:pPr>
              <w:kinsoku w:val="0"/>
              <w:autoSpaceDE w:val="0"/>
              <w:autoSpaceDN w:val="0"/>
              <w:adjustRightInd w:val="0"/>
              <w:snapToGrid w:val="0"/>
              <w:spacing w:before="113" w:line="220" w:lineRule="auto"/>
              <w:ind w:left="26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50" w:type="dxa"/>
            <w:vAlign w:val="top"/>
          </w:tcPr>
          <w:p>
            <w:pPr>
              <w:kinsoku w:val="0"/>
              <w:autoSpaceDE w:val="0"/>
              <w:autoSpaceDN w:val="0"/>
              <w:adjustRightInd w:val="0"/>
              <w:snapToGrid w:val="0"/>
              <w:spacing w:before="113" w:line="220" w:lineRule="auto"/>
              <w:ind w:left="26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659" w:type="dxa"/>
            <w:vAlign w:val="top"/>
          </w:tcPr>
          <w:p>
            <w:pPr>
              <w:kinsoku w:val="0"/>
              <w:autoSpaceDE w:val="0"/>
              <w:autoSpaceDN w:val="0"/>
              <w:adjustRightInd w:val="0"/>
              <w:snapToGrid w:val="0"/>
              <w:spacing w:before="113" w:line="220" w:lineRule="auto"/>
              <w:ind w:left="26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707" w:type="dxa"/>
            <w:vAlign w:val="top"/>
          </w:tcPr>
          <w:p>
            <w:pPr>
              <w:kinsoku w:val="0"/>
              <w:autoSpaceDE w:val="0"/>
              <w:autoSpaceDN w:val="0"/>
              <w:adjustRightInd w:val="0"/>
              <w:snapToGrid w:val="0"/>
              <w:spacing w:before="113" w:line="220" w:lineRule="auto"/>
              <w:ind w:left="26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c>
          <w:tcPr>
            <w:tcW w:w="917" w:type="dxa"/>
            <w:vAlign w:val="top"/>
          </w:tcPr>
          <w:p>
            <w:pPr>
              <w:kinsoku w:val="0"/>
              <w:autoSpaceDE w:val="0"/>
              <w:autoSpaceDN w:val="0"/>
              <w:adjustRightInd w:val="0"/>
              <w:snapToGrid w:val="0"/>
              <w:spacing w:before="113" w:line="220" w:lineRule="auto"/>
              <w:ind w:left="41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589" w:type="dxa"/>
            <w:vMerge w:val="continue"/>
            <w:tcBorders>
              <w:top w:val="nil"/>
              <w:bottom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763" w:type="dxa"/>
            <w:vAlign w:val="top"/>
          </w:tcPr>
          <w:p>
            <w:pPr>
              <w:kinsoku w:val="0"/>
              <w:autoSpaceDE w:val="0"/>
              <w:autoSpaceDN w:val="0"/>
              <w:adjustRightInd w:val="0"/>
              <w:snapToGrid w:val="0"/>
              <w:spacing w:line="210" w:lineRule="auto"/>
              <w:jc w:val="left"/>
              <w:textAlignment w:val="baseline"/>
              <w:rPr>
                <w:rFonts w:hint="default"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position w:val="4"/>
                <w:sz w:val="12"/>
                <w:szCs w:val="12"/>
                <w:lang w:val="en-US" w:eastAsia="zh-CN" w:bidi="ar-SA"/>
              </w:rPr>
              <w:t>生态效益指标</w:t>
            </w:r>
          </w:p>
        </w:tc>
        <w:tc>
          <w:tcPr>
            <w:tcW w:w="1888" w:type="dxa"/>
            <w:vAlign w:val="top"/>
          </w:tcPr>
          <w:p>
            <w:pPr>
              <w:kinsoku w:val="0"/>
              <w:autoSpaceDE w:val="0"/>
              <w:autoSpaceDN w:val="0"/>
              <w:adjustRightInd w:val="0"/>
              <w:snapToGrid w:val="0"/>
              <w:spacing w:before="53" w:line="219" w:lineRule="auto"/>
              <w:ind w:left="1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2"/>
                <w:kern w:val="0"/>
                <w:sz w:val="12"/>
                <w:szCs w:val="12"/>
                <w:lang w:val="en-US" w:eastAsia="en-US" w:bidi="ar-SA"/>
              </w:rPr>
              <w:t>大规</w:t>
            </w:r>
            <w:r>
              <w:rPr>
                <w:rFonts w:hint="eastAsia" w:ascii="宋体" w:hAnsi="宋体" w:eastAsia="宋体" w:cs="宋体"/>
                <w:snapToGrid w:val="0"/>
                <w:color w:val="000000"/>
                <w:spacing w:val="-2"/>
                <w:kern w:val="0"/>
                <w:sz w:val="12"/>
                <w:szCs w:val="12"/>
                <w:lang w:val="en-US" w:eastAsia="zh-CN" w:bidi="ar-SA"/>
              </w:rPr>
              <w:t>模</w:t>
            </w:r>
            <w:r>
              <w:rPr>
                <w:rFonts w:ascii="宋体" w:hAnsi="宋体" w:eastAsia="宋体" w:cs="宋体"/>
                <w:snapToGrid w:val="0"/>
                <w:color w:val="000000"/>
                <w:spacing w:val="-2"/>
                <w:kern w:val="0"/>
                <w:sz w:val="12"/>
                <w:szCs w:val="12"/>
                <w:lang w:val="en-US" w:eastAsia="en-US" w:bidi="ar-SA"/>
              </w:rPr>
              <w:t>随意抛弃病</w:t>
            </w:r>
            <w:r>
              <w:rPr>
                <w:rFonts w:hint="eastAsia" w:ascii="宋体" w:hAnsi="宋体" w:eastAsia="宋体" w:cs="宋体"/>
                <w:snapToGrid w:val="0"/>
                <w:color w:val="000000"/>
                <w:spacing w:val="-2"/>
                <w:kern w:val="0"/>
                <w:sz w:val="12"/>
                <w:szCs w:val="12"/>
                <w:lang w:val="en-US" w:eastAsia="zh-CN" w:bidi="ar-SA"/>
              </w:rPr>
              <w:t>死</w:t>
            </w:r>
            <w:r>
              <w:rPr>
                <w:rFonts w:ascii="宋体" w:hAnsi="宋体" w:eastAsia="宋体" w:cs="宋体"/>
                <w:snapToGrid w:val="0"/>
                <w:color w:val="000000"/>
                <w:spacing w:val="-2"/>
                <w:kern w:val="0"/>
                <w:sz w:val="12"/>
                <w:szCs w:val="12"/>
                <w:lang w:val="en-US" w:eastAsia="en-US" w:bidi="ar-SA"/>
              </w:rPr>
              <w:t>猪</w:t>
            </w:r>
            <w:r>
              <w:rPr>
                <w:rFonts w:hint="eastAsia" w:ascii="宋体" w:hAnsi="宋体" w:eastAsia="宋体" w:cs="宋体"/>
                <w:snapToGrid w:val="0"/>
                <w:color w:val="000000"/>
                <w:spacing w:val="-2"/>
                <w:kern w:val="0"/>
                <w:sz w:val="12"/>
                <w:szCs w:val="12"/>
                <w:lang w:val="en-US" w:eastAsia="zh-CN" w:bidi="ar-SA"/>
              </w:rPr>
              <w:t>事件</w:t>
            </w:r>
            <w:r>
              <w:rPr>
                <w:rFonts w:ascii="宋体" w:hAnsi="宋体" w:eastAsia="宋体" w:cs="宋体"/>
                <w:snapToGrid w:val="0"/>
                <w:color w:val="000000"/>
                <w:spacing w:val="-2"/>
                <w:kern w:val="0"/>
                <w:sz w:val="12"/>
                <w:szCs w:val="12"/>
                <w:lang w:val="en-US" w:eastAsia="en-US" w:bidi="ar-SA"/>
              </w:rPr>
              <w:t>发生率</w:t>
            </w:r>
          </w:p>
        </w:tc>
        <w:tc>
          <w:tcPr>
            <w:tcW w:w="473" w:type="dxa"/>
            <w:vAlign w:val="top"/>
          </w:tcPr>
          <w:p>
            <w:pPr>
              <w:kinsoku w:val="0"/>
              <w:autoSpaceDE w:val="0"/>
              <w:autoSpaceDN w:val="0"/>
              <w:adjustRightInd w:val="0"/>
              <w:snapToGrid w:val="0"/>
              <w:spacing w:before="151" w:line="183" w:lineRule="auto"/>
              <w:ind w:left="21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1163" w:type="dxa"/>
            <w:vAlign w:val="top"/>
          </w:tcPr>
          <w:p>
            <w:pPr>
              <w:kinsoku w:val="0"/>
              <w:autoSpaceDE w:val="0"/>
              <w:autoSpaceDN w:val="0"/>
              <w:adjustRightInd w:val="0"/>
              <w:snapToGrid w:val="0"/>
              <w:spacing w:before="151" w:line="183" w:lineRule="auto"/>
              <w:ind w:left="541"/>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599" w:type="dxa"/>
            <w:vAlign w:val="top"/>
          </w:tcPr>
          <w:p>
            <w:pPr>
              <w:kinsoku w:val="0"/>
              <w:autoSpaceDE w:val="0"/>
              <w:autoSpaceDN w:val="0"/>
              <w:adjustRightInd w:val="0"/>
              <w:snapToGrid w:val="0"/>
              <w:spacing w:before="151" w:line="183" w:lineRule="auto"/>
              <w:ind w:left="29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49" w:type="dxa"/>
            <w:vAlign w:val="top"/>
          </w:tcPr>
          <w:p>
            <w:pPr>
              <w:kinsoku w:val="0"/>
              <w:autoSpaceDE w:val="0"/>
              <w:autoSpaceDN w:val="0"/>
              <w:adjustRightInd w:val="0"/>
              <w:snapToGrid w:val="0"/>
              <w:spacing w:before="151" w:line="183" w:lineRule="auto"/>
              <w:ind w:left="282"/>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60" w:type="dxa"/>
            <w:vAlign w:val="top"/>
          </w:tcPr>
          <w:p>
            <w:pPr>
              <w:kinsoku w:val="0"/>
              <w:autoSpaceDE w:val="0"/>
              <w:autoSpaceDN w:val="0"/>
              <w:adjustRightInd w:val="0"/>
              <w:snapToGrid w:val="0"/>
              <w:spacing w:before="151" w:line="183" w:lineRule="auto"/>
              <w:ind w:left="29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49" w:type="dxa"/>
            <w:vAlign w:val="top"/>
          </w:tcPr>
          <w:p>
            <w:pPr>
              <w:kinsoku w:val="0"/>
              <w:autoSpaceDE w:val="0"/>
              <w:autoSpaceDN w:val="0"/>
              <w:adjustRightInd w:val="0"/>
              <w:snapToGrid w:val="0"/>
              <w:spacing w:before="151" w:line="183" w:lineRule="auto"/>
              <w:ind w:left="283"/>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59" w:type="dxa"/>
            <w:vAlign w:val="top"/>
          </w:tcPr>
          <w:p>
            <w:pPr>
              <w:kinsoku w:val="0"/>
              <w:autoSpaceDE w:val="0"/>
              <w:autoSpaceDN w:val="0"/>
              <w:adjustRightInd w:val="0"/>
              <w:snapToGrid w:val="0"/>
              <w:spacing w:before="151" w:line="183" w:lineRule="auto"/>
              <w:ind w:left="294"/>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60" w:type="dxa"/>
            <w:vAlign w:val="top"/>
          </w:tcPr>
          <w:p>
            <w:pPr>
              <w:kinsoku w:val="0"/>
              <w:autoSpaceDE w:val="0"/>
              <w:autoSpaceDN w:val="0"/>
              <w:adjustRightInd w:val="0"/>
              <w:snapToGrid w:val="0"/>
              <w:spacing w:before="151" w:line="183" w:lineRule="auto"/>
              <w:ind w:left="29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49" w:type="dxa"/>
            <w:vAlign w:val="top"/>
          </w:tcPr>
          <w:p>
            <w:pPr>
              <w:kinsoku w:val="0"/>
              <w:autoSpaceDE w:val="0"/>
              <w:autoSpaceDN w:val="0"/>
              <w:adjustRightInd w:val="0"/>
              <w:snapToGrid w:val="0"/>
              <w:spacing w:before="151" w:line="183" w:lineRule="auto"/>
              <w:ind w:left="285"/>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59" w:type="dxa"/>
            <w:vAlign w:val="top"/>
          </w:tcPr>
          <w:p>
            <w:pPr>
              <w:kinsoku w:val="0"/>
              <w:autoSpaceDE w:val="0"/>
              <w:autoSpaceDN w:val="0"/>
              <w:adjustRightInd w:val="0"/>
              <w:snapToGrid w:val="0"/>
              <w:spacing w:before="151" w:line="183" w:lineRule="auto"/>
              <w:ind w:left="296"/>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60" w:type="dxa"/>
            <w:vAlign w:val="top"/>
          </w:tcPr>
          <w:p>
            <w:pPr>
              <w:kinsoku w:val="0"/>
              <w:autoSpaceDE w:val="0"/>
              <w:autoSpaceDN w:val="0"/>
              <w:adjustRightInd w:val="0"/>
              <w:snapToGrid w:val="0"/>
              <w:spacing w:before="151" w:line="183" w:lineRule="auto"/>
              <w:ind w:left="29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49" w:type="dxa"/>
            <w:vAlign w:val="top"/>
          </w:tcPr>
          <w:p>
            <w:pPr>
              <w:kinsoku w:val="0"/>
              <w:autoSpaceDE w:val="0"/>
              <w:autoSpaceDN w:val="0"/>
              <w:adjustRightInd w:val="0"/>
              <w:snapToGrid w:val="0"/>
              <w:spacing w:before="151" w:line="183" w:lineRule="auto"/>
              <w:ind w:left="287"/>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60" w:type="dxa"/>
            <w:vAlign w:val="top"/>
          </w:tcPr>
          <w:p>
            <w:pPr>
              <w:kinsoku w:val="0"/>
              <w:autoSpaceDE w:val="0"/>
              <w:autoSpaceDN w:val="0"/>
              <w:adjustRightInd w:val="0"/>
              <w:snapToGrid w:val="0"/>
              <w:spacing w:before="151" w:line="183" w:lineRule="auto"/>
              <w:ind w:left="29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50" w:type="dxa"/>
            <w:vAlign w:val="top"/>
          </w:tcPr>
          <w:p>
            <w:pPr>
              <w:kinsoku w:val="0"/>
              <w:autoSpaceDE w:val="0"/>
              <w:autoSpaceDN w:val="0"/>
              <w:adjustRightInd w:val="0"/>
              <w:snapToGrid w:val="0"/>
              <w:spacing w:before="151" w:line="183" w:lineRule="auto"/>
              <w:ind w:left="28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659" w:type="dxa"/>
            <w:vAlign w:val="top"/>
          </w:tcPr>
          <w:p>
            <w:pPr>
              <w:kinsoku w:val="0"/>
              <w:autoSpaceDE w:val="0"/>
              <w:autoSpaceDN w:val="0"/>
              <w:adjustRightInd w:val="0"/>
              <w:snapToGrid w:val="0"/>
              <w:spacing w:before="151" w:line="183" w:lineRule="auto"/>
              <w:ind w:left="298"/>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707" w:type="dxa"/>
            <w:vAlign w:val="top"/>
          </w:tcPr>
          <w:p>
            <w:pPr>
              <w:kinsoku w:val="0"/>
              <w:autoSpaceDE w:val="0"/>
              <w:autoSpaceDN w:val="0"/>
              <w:adjustRightInd w:val="0"/>
              <w:snapToGrid w:val="0"/>
              <w:spacing w:before="151" w:line="183" w:lineRule="auto"/>
              <w:ind w:left="29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c>
          <w:tcPr>
            <w:tcW w:w="917" w:type="dxa"/>
            <w:vAlign w:val="top"/>
          </w:tcPr>
          <w:p>
            <w:pPr>
              <w:kinsoku w:val="0"/>
              <w:autoSpaceDE w:val="0"/>
              <w:autoSpaceDN w:val="0"/>
              <w:adjustRightInd w:val="0"/>
              <w:snapToGrid w:val="0"/>
              <w:spacing w:before="151" w:line="183" w:lineRule="auto"/>
              <w:ind w:left="449"/>
              <w:jc w:val="both"/>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589" w:type="dxa"/>
            <w:vMerge w:val="continue"/>
            <w:tcBorders>
              <w:top w:val="nil"/>
            </w:tcBorders>
            <w:vAlign w:val="top"/>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2"/>
                <w:szCs w:val="12"/>
                <w:lang w:eastAsia="en-US"/>
              </w:rPr>
            </w:pPr>
          </w:p>
        </w:tc>
        <w:tc>
          <w:tcPr>
            <w:tcW w:w="568" w:type="dxa"/>
            <w:vAlign w:val="top"/>
          </w:tcPr>
          <w:p>
            <w:pPr>
              <w:kinsoku w:val="0"/>
              <w:autoSpaceDE w:val="0"/>
              <w:autoSpaceDN w:val="0"/>
              <w:adjustRightInd w:val="0"/>
              <w:snapToGrid w:val="0"/>
              <w:spacing w:before="164" w:line="219" w:lineRule="auto"/>
              <w:jc w:val="righ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9"/>
                <w:kern w:val="0"/>
                <w:sz w:val="12"/>
                <w:szCs w:val="12"/>
                <w:lang w:val="en-US" w:eastAsia="en-US" w:bidi="ar-SA"/>
              </w:rPr>
              <w:t>满意度</w:t>
            </w:r>
            <w:r>
              <w:rPr>
                <w:rFonts w:ascii="宋体" w:hAnsi="宋体" w:eastAsia="宋体" w:cs="宋体"/>
                <w:snapToGrid w:val="0"/>
                <w:color w:val="000000"/>
                <w:spacing w:val="-8"/>
                <w:kern w:val="0"/>
                <w:sz w:val="12"/>
                <w:szCs w:val="12"/>
                <w:lang w:val="en-US" w:eastAsia="en-US" w:bidi="ar-SA"/>
              </w:rPr>
              <w:t>指</w:t>
            </w:r>
            <w:r>
              <w:rPr>
                <w:rFonts w:ascii="宋体" w:hAnsi="宋体" w:eastAsia="宋体" w:cs="宋体"/>
                <w:snapToGrid w:val="0"/>
                <w:color w:val="000000"/>
                <w:spacing w:val="-5"/>
                <w:kern w:val="0"/>
                <w:sz w:val="12"/>
                <w:szCs w:val="12"/>
                <w:lang w:val="en-US" w:eastAsia="en-US" w:bidi="ar-SA"/>
              </w:rPr>
              <w:t>标</w:t>
            </w:r>
          </w:p>
        </w:tc>
        <w:tc>
          <w:tcPr>
            <w:tcW w:w="763" w:type="dxa"/>
            <w:vAlign w:val="top"/>
          </w:tcPr>
          <w:p>
            <w:pPr>
              <w:kinsoku w:val="0"/>
              <w:autoSpaceDE w:val="0"/>
              <w:autoSpaceDN w:val="0"/>
              <w:adjustRightInd w:val="0"/>
              <w:snapToGrid w:val="0"/>
              <w:spacing w:before="114" w:line="211" w:lineRule="auto"/>
              <w:ind w:left="254" w:hanging="244"/>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spacing w:val="-4"/>
                <w:kern w:val="0"/>
                <w:sz w:val="12"/>
                <w:szCs w:val="12"/>
                <w:lang w:val="en-US" w:eastAsia="en-US" w:bidi="ar-SA"/>
              </w:rPr>
              <w:t>服务对象满意度</w:t>
            </w:r>
            <w:r>
              <w:rPr>
                <w:rFonts w:ascii="宋体" w:hAnsi="宋体" w:eastAsia="宋体" w:cs="宋体"/>
                <w:snapToGrid w:val="0"/>
                <w:color w:val="000000"/>
                <w:spacing w:val="-3"/>
                <w:kern w:val="0"/>
                <w:sz w:val="12"/>
                <w:szCs w:val="12"/>
                <w:lang w:val="en-US" w:eastAsia="en-US" w:bidi="ar-SA"/>
              </w:rPr>
              <w:t>指标</w:t>
            </w:r>
          </w:p>
        </w:tc>
        <w:tc>
          <w:tcPr>
            <w:tcW w:w="1888" w:type="dxa"/>
            <w:vAlign w:val="top"/>
          </w:tcPr>
          <w:p>
            <w:pPr>
              <w:kinsoku w:val="0"/>
              <w:autoSpaceDE w:val="0"/>
              <w:autoSpaceDN w:val="0"/>
              <w:adjustRightInd w:val="0"/>
              <w:snapToGrid w:val="0"/>
              <w:spacing w:before="105" w:line="219" w:lineRule="auto"/>
              <w:ind w:left="11"/>
              <w:jc w:val="both"/>
              <w:textAlignment w:val="baseline"/>
              <w:rPr>
                <w:rFonts w:hint="default" w:ascii="宋体" w:hAnsi="宋体" w:eastAsia="宋体" w:cs="宋体"/>
                <w:snapToGrid w:val="0"/>
                <w:color w:val="000000"/>
                <w:kern w:val="0"/>
                <w:sz w:val="12"/>
                <w:szCs w:val="12"/>
                <w:lang w:val="en-US" w:eastAsia="zh-CN" w:bidi="ar-SA"/>
              </w:rPr>
            </w:pPr>
            <w:r>
              <w:rPr>
                <w:rFonts w:ascii="宋体" w:hAnsi="宋体" w:eastAsia="宋体" w:cs="宋体"/>
                <w:snapToGrid w:val="0"/>
                <w:color w:val="000000"/>
                <w:spacing w:val="-2"/>
                <w:kern w:val="0"/>
                <w:sz w:val="12"/>
                <w:szCs w:val="12"/>
                <w:lang w:val="en-US" w:eastAsia="en-US" w:bidi="ar-SA"/>
              </w:rPr>
              <w:t>补助对象对政策实施</w:t>
            </w:r>
            <w:r>
              <w:rPr>
                <w:rFonts w:hint="eastAsia" w:ascii="宋体" w:hAnsi="宋体" w:eastAsia="宋体" w:cs="宋体"/>
                <w:snapToGrid w:val="0"/>
                <w:color w:val="000000"/>
                <w:spacing w:val="-2"/>
                <w:kern w:val="0"/>
                <w:sz w:val="12"/>
                <w:szCs w:val="12"/>
                <w:lang w:val="en-US" w:eastAsia="zh-CN" w:bidi="ar-SA"/>
              </w:rPr>
              <w:t>的满意度</w:t>
            </w:r>
          </w:p>
        </w:tc>
        <w:tc>
          <w:tcPr>
            <w:tcW w:w="473" w:type="dxa"/>
            <w:vAlign w:val="top"/>
          </w:tcPr>
          <w:p>
            <w:pPr>
              <w:kinsoku w:val="0"/>
              <w:autoSpaceDE w:val="0"/>
              <w:autoSpaceDN w:val="0"/>
              <w:adjustRightInd w:val="0"/>
              <w:snapToGrid w:val="0"/>
              <w:spacing w:before="175" w:line="240" w:lineRule="auto"/>
              <w:ind w:left="211"/>
              <w:jc w:val="left"/>
              <w:textAlignment w:val="baseline"/>
              <w:rPr>
                <w:rFonts w:ascii="宋体" w:hAnsi="宋体" w:eastAsia="宋体" w:cs="宋体"/>
                <w:snapToGrid w:val="0"/>
                <w:color w:val="000000"/>
                <w:kern w:val="0"/>
                <w:sz w:val="12"/>
                <w:szCs w:val="12"/>
                <w:lang w:val="en-US" w:eastAsia="en-US" w:bidi="ar-SA"/>
              </w:rPr>
            </w:pPr>
            <w:r>
              <w:rPr>
                <w:rFonts w:ascii="宋体" w:hAnsi="宋体" w:eastAsia="宋体" w:cs="宋体"/>
                <w:snapToGrid w:val="0"/>
                <w:color w:val="000000"/>
                <w:kern w:val="0"/>
                <w:sz w:val="12"/>
                <w:szCs w:val="12"/>
                <w:lang w:val="en-US" w:eastAsia="en-US" w:bidi="ar-SA"/>
              </w:rPr>
              <w:t>%</w:t>
            </w:r>
          </w:p>
        </w:tc>
        <w:tc>
          <w:tcPr>
            <w:tcW w:w="1163" w:type="dxa"/>
            <w:vAlign w:val="top"/>
          </w:tcPr>
          <w:p>
            <w:pPr>
              <w:kinsoku w:val="0"/>
              <w:autoSpaceDE w:val="0"/>
              <w:autoSpaceDN w:val="0"/>
              <w:adjustRightInd w:val="0"/>
              <w:snapToGrid w:val="0"/>
              <w:spacing w:before="192" w:line="183" w:lineRule="auto"/>
              <w:ind w:left="461"/>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599" w:type="dxa"/>
            <w:vAlign w:val="top"/>
          </w:tcPr>
          <w:p>
            <w:pPr>
              <w:kinsoku w:val="0"/>
              <w:autoSpaceDE w:val="0"/>
              <w:autoSpaceDN w:val="0"/>
              <w:adjustRightInd w:val="0"/>
              <w:snapToGrid w:val="0"/>
              <w:spacing w:before="192" w:line="183" w:lineRule="auto"/>
              <w:ind w:left="212"/>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49" w:type="dxa"/>
            <w:vAlign w:val="top"/>
          </w:tcPr>
          <w:p>
            <w:pPr>
              <w:kinsoku w:val="0"/>
              <w:autoSpaceDE w:val="0"/>
              <w:autoSpaceDN w:val="0"/>
              <w:adjustRightInd w:val="0"/>
              <w:snapToGrid w:val="0"/>
              <w:spacing w:before="175" w:line="237" w:lineRule="auto"/>
              <w:ind w:left="172"/>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60" w:type="dxa"/>
            <w:vAlign w:val="top"/>
          </w:tcPr>
          <w:p>
            <w:pPr>
              <w:kinsoku w:val="0"/>
              <w:autoSpaceDE w:val="0"/>
              <w:autoSpaceDN w:val="0"/>
              <w:adjustRightInd w:val="0"/>
              <w:snapToGrid w:val="0"/>
              <w:spacing w:before="192" w:line="183" w:lineRule="auto"/>
              <w:ind w:left="213"/>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49" w:type="dxa"/>
            <w:vAlign w:val="top"/>
          </w:tcPr>
          <w:p>
            <w:pPr>
              <w:kinsoku w:val="0"/>
              <w:autoSpaceDE w:val="0"/>
              <w:autoSpaceDN w:val="0"/>
              <w:adjustRightInd w:val="0"/>
              <w:snapToGrid w:val="0"/>
              <w:spacing w:before="192" w:line="183" w:lineRule="auto"/>
              <w:ind w:left="203"/>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59" w:type="dxa"/>
            <w:vAlign w:val="top"/>
          </w:tcPr>
          <w:p>
            <w:pPr>
              <w:kinsoku w:val="0"/>
              <w:autoSpaceDE w:val="0"/>
              <w:autoSpaceDN w:val="0"/>
              <w:adjustRightInd w:val="0"/>
              <w:snapToGrid w:val="0"/>
              <w:spacing w:before="192" w:line="183" w:lineRule="auto"/>
              <w:ind w:left="214"/>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60" w:type="dxa"/>
            <w:vAlign w:val="top"/>
          </w:tcPr>
          <w:p>
            <w:pPr>
              <w:kinsoku w:val="0"/>
              <w:autoSpaceDE w:val="0"/>
              <w:autoSpaceDN w:val="0"/>
              <w:adjustRightInd w:val="0"/>
              <w:snapToGrid w:val="0"/>
              <w:spacing w:before="175" w:line="237" w:lineRule="auto"/>
              <w:ind w:left="185"/>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49" w:type="dxa"/>
            <w:vAlign w:val="top"/>
          </w:tcPr>
          <w:p>
            <w:pPr>
              <w:kinsoku w:val="0"/>
              <w:autoSpaceDE w:val="0"/>
              <w:autoSpaceDN w:val="0"/>
              <w:adjustRightInd w:val="0"/>
              <w:snapToGrid w:val="0"/>
              <w:spacing w:before="192" w:line="183" w:lineRule="auto"/>
              <w:ind w:left="205"/>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59" w:type="dxa"/>
            <w:vAlign w:val="top"/>
          </w:tcPr>
          <w:p>
            <w:pPr>
              <w:kinsoku w:val="0"/>
              <w:autoSpaceDE w:val="0"/>
              <w:autoSpaceDN w:val="0"/>
              <w:adjustRightInd w:val="0"/>
              <w:snapToGrid w:val="0"/>
              <w:spacing w:before="192" w:line="183" w:lineRule="auto"/>
              <w:ind w:left="216"/>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60" w:type="dxa"/>
            <w:vAlign w:val="top"/>
          </w:tcPr>
          <w:p>
            <w:pPr>
              <w:kinsoku w:val="0"/>
              <w:autoSpaceDE w:val="0"/>
              <w:autoSpaceDN w:val="0"/>
              <w:adjustRightInd w:val="0"/>
              <w:snapToGrid w:val="0"/>
              <w:spacing w:before="192" w:line="183" w:lineRule="auto"/>
              <w:ind w:left="217"/>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49" w:type="dxa"/>
            <w:vAlign w:val="top"/>
          </w:tcPr>
          <w:p>
            <w:pPr>
              <w:kinsoku w:val="0"/>
              <w:autoSpaceDE w:val="0"/>
              <w:autoSpaceDN w:val="0"/>
              <w:adjustRightInd w:val="0"/>
              <w:snapToGrid w:val="0"/>
              <w:spacing w:before="175" w:line="237" w:lineRule="auto"/>
              <w:ind w:left="177"/>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60" w:type="dxa"/>
            <w:vAlign w:val="top"/>
          </w:tcPr>
          <w:p>
            <w:pPr>
              <w:kinsoku w:val="0"/>
              <w:autoSpaceDE w:val="0"/>
              <w:autoSpaceDN w:val="0"/>
              <w:adjustRightInd w:val="0"/>
              <w:snapToGrid w:val="0"/>
              <w:spacing w:before="192" w:line="183" w:lineRule="auto"/>
              <w:ind w:left="218"/>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50" w:type="dxa"/>
            <w:vAlign w:val="top"/>
          </w:tcPr>
          <w:p>
            <w:pPr>
              <w:kinsoku w:val="0"/>
              <w:autoSpaceDE w:val="0"/>
              <w:autoSpaceDN w:val="0"/>
              <w:adjustRightInd w:val="0"/>
              <w:snapToGrid w:val="0"/>
              <w:spacing w:before="192" w:line="183" w:lineRule="auto"/>
              <w:ind w:left="208"/>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659" w:type="dxa"/>
            <w:vAlign w:val="top"/>
          </w:tcPr>
          <w:p>
            <w:pPr>
              <w:kinsoku w:val="0"/>
              <w:autoSpaceDE w:val="0"/>
              <w:autoSpaceDN w:val="0"/>
              <w:adjustRightInd w:val="0"/>
              <w:snapToGrid w:val="0"/>
              <w:spacing w:before="192" w:line="183" w:lineRule="auto"/>
              <w:ind w:left="218"/>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707" w:type="dxa"/>
            <w:vAlign w:val="top"/>
          </w:tcPr>
          <w:p>
            <w:pPr>
              <w:kinsoku w:val="0"/>
              <w:autoSpaceDE w:val="0"/>
              <w:autoSpaceDN w:val="0"/>
              <w:adjustRightInd w:val="0"/>
              <w:snapToGrid w:val="0"/>
              <w:spacing w:before="192" w:line="183" w:lineRule="auto"/>
              <w:ind w:left="219"/>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c>
          <w:tcPr>
            <w:tcW w:w="917" w:type="dxa"/>
            <w:vAlign w:val="top"/>
          </w:tcPr>
          <w:p>
            <w:pPr>
              <w:kinsoku w:val="0"/>
              <w:autoSpaceDE w:val="0"/>
              <w:autoSpaceDN w:val="0"/>
              <w:adjustRightInd w:val="0"/>
              <w:snapToGrid w:val="0"/>
              <w:spacing w:before="192" w:line="183" w:lineRule="auto"/>
              <w:ind w:left="369"/>
              <w:jc w:val="left"/>
              <w:textAlignment w:val="baseline"/>
              <w:rPr>
                <w:rFonts w:ascii="宋体" w:hAnsi="宋体" w:eastAsia="宋体" w:cs="宋体"/>
                <w:snapToGrid w:val="0"/>
                <w:color w:val="000000"/>
                <w:kern w:val="0"/>
                <w:sz w:val="12"/>
                <w:szCs w:val="12"/>
                <w:lang w:val="en-US" w:eastAsia="en-US" w:bidi="ar-SA"/>
              </w:rPr>
            </w:pPr>
            <w:r>
              <w:rPr>
                <w:rFonts w:hint="eastAsia" w:ascii="宋体" w:hAnsi="宋体" w:eastAsia="宋体" w:cs="宋体"/>
                <w:snapToGrid w:val="0"/>
                <w:color w:val="000000"/>
                <w:spacing w:val="-2"/>
                <w:kern w:val="0"/>
                <w:sz w:val="12"/>
                <w:szCs w:val="12"/>
                <w:lang w:val="en-US" w:eastAsia="zh-CN" w:bidi="ar-SA"/>
              </w:rPr>
              <w:t>≥</w:t>
            </w:r>
            <w:r>
              <w:rPr>
                <w:rFonts w:ascii="宋体" w:hAnsi="宋体" w:eastAsia="宋体" w:cs="宋体"/>
                <w:snapToGrid w:val="0"/>
                <w:color w:val="000000"/>
                <w:spacing w:val="-2"/>
                <w:kern w:val="0"/>
                <w:sz w:val="12"/>
                <w:szCs w:val="12"/>
                <w:lang w:val="en-US" w:eastAsia="en-US" w:bidi="ar-SA"/>
              </w:rPr>
              <w:t>90%</w:t>
            </w:r>
          </w:p>
        </w:tc>
      </w:tr>
    </w:tbl>
    <w:p>
      <w:pPr>
        <w:rPr>
          <w:rFonts w:hint="default"/>
        </w:rPr>
        <w:sectPr>
          <w:pgSz w:w="16838" w:h="11906" w:orient="landscape"/>
          <w:pgMar w:top="1800" w:right="1440" w:bottom="1800" w:left="1440" w:header="851" w:footer="992" w:gutter="0"/>
          <w:pgNumType w:fmt="decimal"/>
          <w:cols w:space="425" w:num="1"/>
          <w:docGrid w:type="lines" w:linePitch="312" w:charSpace="0"/>
        </w:sectPr>
      </w:pPr>
    </w:p>
    <w:p>
      <w:pPr>
        <w:pStyle w:val="17"/>
        <w:keepNext w:val="0"/>
        <w:keepLines w:val="0"/>
        <w:pageBreakBefore w:val="0"/>
        <w:widowControl w:val="0"/>
        <w:kinsoku/>
        <w:wordWrap/>
        <w:overflowPunct/>
        <w:topLinePunct w:val="0"/>
        <w:autoSpaceDE/>
        <w:autoSpaceDN/>
        <w:bidi w:val="0"/>
        <w:adjustRightInd/>
        <w:snapToGrid/>
        <w:spacing w:line="560" w:lineRule="exact"/>
        <w:ind w:firstLine="441" w:firstLineChars="200"/>
        <w:jc w:val="center"/>
        <w:textAlignment w:val="auto"/>
        <w:rPr>
          <w:rFonts w:hint="default" w:ascii="Times New Roman" w:hAnsi="Times New Roman" w:eastAsia="仿宋_GB2312" w:cs="Times New Roman"/>
          <w:b/>
          <w:bCs/>
          <w:color w:val="auto"/>
          <w:sz w:val="22"/>
          <w:szCs w:val="22"/>
          <w:lang w:val="en-US" w:eastAsia="zh-CN"/>
        </w:rPr>
      </w:pPr>
      <w:r>
        <w:rPr>
          <w:rFonts w:hint="default" w:ascii="Times New Roman" w:hAnsi="Times New Roman" w:eastAsia="仿宋_GB2312" w:cs="Times New Roman"/>
          <w:b/>
          <w:bCs/>
          <w:color w:val="auto"/>
          <w:sz w:val="22"/>
          <w:szCs w:val="22"/>
          <w:lang w:val="en-US" w:eastAsia="zh-CN"/>
        </w:rPr>
        <w:t>2023年中央农业防灾减灾和水利救灾资金预算（防灾救灾第一批）区域绩效目标表</w:t>
      </w:r>
    </w:p>
    <w:tbl>
      <w:tblPr>
        <w:tblStyle w:val="12"/>
        <w:tblW w:w="5654" w:type="pct"/>
        <w:tblInd w:w="-7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9"/>
        <w:gridCol w:w="789"/>
        <w:gridCol w:w="820"/>
        <w:gridCol w:w="1196"/>
        <w:gridCol w:w="810"/>
        <w:gridCol w:w="770"/>
        <w:gridCol w:w="790"/>
        <w:gridCol w:w="800"/>
        <w:gridCol w:w="780"/>
        <w:gridCol w:w="770"/>
        <w:gridCol w:w="780"/>
        <w:gridCol w:w="790"/>
        <w:gridCol w:w="780"/>
        <w:gridCol w:w="770"/>
        <w:gridCol w:w="750"/>
        <w:gridCol w:w="750"/>
        <w:gridCol w:w="710"/>
        <w:gridCol w:w="760"/>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trPr>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8"/>
                <w:rFonts w:hint="default" w:ascii="Times New Roman" w:hAnsi="Times New Roman" w:eastAsia="宋体" w:cs="Times New Roman"/>
                <w:b/>
                <w:bCs/>
                <w:color w:val="auto"/>
                <w:sz w:val="12"/>
                <w:szCs w:val="12"/>
                <w:lang w:val="en-US" w:eastAsia="zh-CN" w:bidi="ar"/>
              </w:rPr>
              <w:t>资金名称</w:t>
            </w:r>
          </w:p>
        </w:tc>
        <w:tc>
          <w:tcPr>
            <w:tcW w:w="8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Fonts w:hint="default" w:ascii="Times New Roman" w:hAnsi="Times New Roman" w:eastAsia="宋体" w:cs="Times New Roman"/>
                <w:b/>
                <w:bCs/>
                <w:i w:val="0"/>
                <w:iCs w:val="0"/>
                <w:color w:val="auto"/>
                <w:kern w:val="0"/>
                <w:sz w:val="12"/>
                <w:szCs w:val="12"/>
                <w:u w:val="none"/>
                <w:lang w:val="en-US" w:eastAsia="zh-CN" w:bidi="ar"/>
              </w:rPr>
              <w:t>2023</w:t>
            </w:r>
            <w:r>
              <w:rPr>
                <w:rStyle w:val="18"/>
                <w:rFonts w:hint="default" w:ascii="Times New Roman" w:hAnsi="Times New Roman" w:eastAsia="宋体" w:cs="Times New Roman"/>
                <w:b/>
                <w:bCs/>
                <w:color w:val="auto"/>
                <w:sz w:val="12"/>
                <w:szCs w:val="12"/>
                <w:lang w:val="en-US" w:eastAsia="zh-CN" w:bidi="ar"/>
              </w:rPr>
              <w:t>年中央农业防灾减灾和水利救灾资金预算（防灾救灾第一批）</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8"/>
                <w:rFonts w:hint="default" w:ascii="Times New Roman" w:hAnsi="Times New Roman" w:eastAsia="宋体" w:cs="Times New Roman"/>
                <w:b/>
                <w:bCs/>
                <w:color w:val="auto"/>
                <w:sz w:val="12"/>
                <w:szCs w:val="12"/>
                <w:lang w:val="en-US" w:eastAsia="zh-CN" w:bidi="ar"/>
              </w:rPr>
              <w:t>全区总目标</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924"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8"/>
                <w:rFonts w:hint="default" w:ascii="Times New Roman" w:hAnsi="Times New Roman" w:eastAsia="宋体" w:cs="Times New Roman"/>
                <w:b/>
                <w:bCs/>
                <w:color w:val="auto"/>
                <w:sz w:val="12"/>
                <w:szCs w:val="12"/>
                <w:lang w:val="en-US" w:eastAsia="zh-CN" w:bidi="ar"/>
              </w:rPr>
              <w:t>分区域绩效目标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中央主管部门</w:t>
            </w:r>
          </w:p>
        </w:tc>
        <w:tc>
          <w:tcPr>
            <w:tcW w:w="8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农业农村部</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合计</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乌鲁木齐市</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伊犁州</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塔城地区</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阿勒泰地区</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博州</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昌吉州</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哈密市</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吐鲁番市</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巴州</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阿克苏地区</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克州</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喀什地区</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和田地区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省级财政部门</w:t>
            </w:r>
          </w:p>
        </w:tc>
        <w:tc>
          <w:tcPr>
            <w:tcW w:w="8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新疆维吾尔自治区财政厅</w:t>
            </w:r>
          </w:p>
        </w:tc>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3170" w:type="pct"/>
            <w:gridSpan w:val="1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8"/>
                <w:rFonts w:hint="default" w:ascii="Times New Roman" w:hAnsi="Times New Roman" w:eastAsia="宋体" w:cs="Times New Roman"/>
                <w:b w:val="0"/>
                <w:bCs w:val="0"/>
                <w:color w:val="auto"/>
                <w:sz w:val="12"/>
                <w:szCs w:val="12"/>
                <w:lang w:val="en-US" w:eastAsia="zh-CN" w:bidi="ar"/>
              </w:rPr>
              <w:t>各地州市财政局、农业农村局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省级主管部门</w:t>
            </w:r>
          </w:p>
        </w:tc>
        <w:tc>
          <w:tcPr>
            <w:tcW w:w="8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新疆维吾尔自治区农业农村厅</w:t>
            </w:r>
          </w:p>
        </w:tc>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3170" w:type="pct"/>
            <w:gridSpan w:val="1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资金情况</w:t>
            </w:r>
            <w:r>
              <w:rPr>
                <w:rStyle w:val="20"/>
                <w:rFonts w:hint="default" w:ascii="Times New Roman" w:hAnsi="Times New Roman" w:eastAsia="宋体" w:cs="Times New Roman"/>
                <w:b/>
                <w:bCs/>
                <w:color w:val="auto"/>
                <w:sz w:val="12"/>
                <w:szCs w:val="12"/>
                <w:lang w:val="en-US" w:eastAsia="zh-CN" w:bidi="ar"/>
              </w:rPr>
              <w:t xml:space="preserve"> </w:t>
            </w:r>
            <w:r>
              <w:rPr>
                <w:rStyle w:val="19"/>
                <w:rFonts w:hint="default" w:ascii="Times New Roman" w:hAnsi="Times New Roman" w:eastAsia="宋体" w:cs="Times New Roman"/>
                <w:b/>
                <w:bCs/>
                <w:color w:val="auto"/>
                <w:sz w:val="12"/>
                <w:szCs w:val="12"/>
                <w:lang w:val="en-US" w:eastAsia="zh-CN" w:bidi="ar"/>
              </w:rPr>
              <w:t>（万元）</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年度金额：</w:t>
            </w:r>
          </w:p>
        </w:tc>
        <w:tc>
          <w:tcPr>
            <w:tcW w:w="8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1330</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1330</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5</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270</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230</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95</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60</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150</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15</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5</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25</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150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25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220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其中：中央补助</w:t>
            </w:r>
          </w:p>
        </w:tc>
        <w:tc>
          <w:tcPr>
            <w:tcW w:w="8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1330</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1330</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5</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270</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230</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95</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60</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150</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15</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5</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25</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150</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25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220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地方资金</w:t>
            </w:r>
          </w:p>
        </w:tc>
        <w:tc>
          <w:tcPr>
            <w:tcW w:w="87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年度目标</w:t>
            </w:r>
          </w:p>
        </w:tc>
        <w:tc>
          <w:tcPr>
            <w:tcW w:w="1123"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支持小麦、玉米重大病虫害以及农区蝗虫等农作物重大病虫疫情防控，重发区域病虫疫情得到有效控制，新发突发重大农业植物疫情有效处置，不出现大面积绝收成灾，有力保障粮食安全和农业生产安全</w:t>
            </w:r>
          </w:p>
        </w:tc>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c>
          <w:tcPr>
            <w:tcW w:w="3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1123"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2"/>
                <w:szCs w:val="12"/>
                <w:u w:val="none"/>
              </w:rPr>
            </w:pPr>
          </w:p>
        </w:tc>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绩效指标</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8"/>
                <w:rFonts w:hint="default" w:ascii="Times New Roman" w:hAnsi="Times New Roman" w:eastAsia="宋体" w:cs="Times New Roman"/>
                <w:b/>
                <w:bCs/>
                <w:color w:val="auto"/>
                <w:sz w:val="12"/>
                <w:szCs w:val="12"/>
                <w:lang w:val="en-US" w:eastAsia="zh-CN" w:bidi="ar"/>
              </w:rPr>
              <w:t>一级指标</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8"/>
                <w:rFonts w:hint="default" w:ascii="Times New Roman" w:hAnsi="Times New Roman" w:eastAsia="宋体" w:cs="Times New Roman"/>
                <w:b/>
                <w:bCs/>
                <w:color w:val="auto"/>
                <w:sz w:val="12"/>
                <w:szCs w:val="12"/>
                <w:lang w:val="en-US" w:eastAsia="zh-CN" w:bidi="ar"/>
              </w:rPr>
              <w:t>二级指标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8"/>
                <w:rFonts w:hint="default" w:ascii="Times New Roman" w:hAnsi="Times New Roman" w:eastAsia="宋体" w:cs="Times New Roman"/>
                <w:b/>
                <w:bCs/>
                <w:color w:val="auto"/>
                <w:sz w:val="12"/>
                <w:szCs w:val="12"/>
                <w:lang w:val="en-US" w:eastAsia="zh-CN" w:bidi="ar"/>
              </w:rPr>
              <w:t>三级指标</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8"/>
                <w:rFonts w:hint="default" w:ascii="Times New Roman" w:hAnsi="Times New Roman" w:eastAsia="宋体" w:cs="Times New Roman"/>
                <w:b/>
                <w:bCs/>
                <w:color w:val="auto"/>
                <w:sz w:val="12"/>
                <w:szCs w:val="12"/>
                <w:lang w:val="en-US" w:eastAsia="zh-CN" w:bidi="ar"/>
              </w:rPr>
              <w:t>指标值</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val="0"/>
                <w:bCs w:val="0"/>
                <w:i w:val="0"/>
                <w:iCs w:val="0"/>
                <w:color w:val="auto"/>
                <w:sz w:val="12"/>
                <w:szCs w:val="12"/>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产出指标</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数量指标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重大病虫疫情防控面积</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≥97</w:t>
            </w:r>
            <w:r>
              <w:rPr>
                <w:rStyle w:val="19"/>
                <w:rFonts w:hint="default" w:ascii="Times New Roman" w:hAnsi="Times New Roman" w:eastAsia="宋体" w:cs="Times New Roman"/>
                <w:color w:val="auto"/>
                <w:sz w:val="12"/>
                <w:szCs w:val="12"/>
                <w:lang w:val="en-US" w:eastAsia="zh-CN" w:bidi="ar"/>
              </w:rPr>
              <w:t>万亩</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≥97</w:t>
            </w:r>
            <w:r>
              <w:rPr>
                <w:rStyle w:val="19"/>
                <w:rFonts w:hint="default" w:ascii="Times New Roman" w:hAnsi="Times New Roman" w:eastAsia="宋体" w:cs="Times New Roman"/>
                <w:color w:val="auto"/>
                <w:sz w:val="12"/>
                <w:szCs w:val="12"/>
                <w:lang w:val="en-US" w:eastAsia="zh-CN" w:bidi="ar"/>
              </w:rPr>
              <w:t>万亩</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≥0.4</w:t>
            </w:r>
            <w:r>
              <w:rPr>
                <w:rStyle w:val="21"/>
                <w:rFonts w:hint="default" w:ascii="Times New Roman" w:hAnsi="Times New Roman" w:eastAsia="宋体" w:cs="Times New Roman"/>
                <w:color w:val="auto"/>
                <w:sz w:val="12"/>
                <w:szCs w:val="12"/>
                <w:lang w:val="en-US" w:eastAsia="zh-CN" w:bidi="ar"/>
              </w:rPr>
              <w:t>万亩</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≥20.1</w:t>
            </w:r>
            <w:r>
              <w:rPr>
                <w:rStyle w:val="21"/>
                <w:rFonts w:hint="default" w:ascii="Times New Roman" w:hAnsi="Times New Roman" w:eastAsia="宋体" w:cs="Times New Roman"/>
                <w:color w:val="auto"/>
                <w:sz w:val="12"/>
                <w:szCs w:val="12"/>
                <w:lang w:val="en-US" w:eastAsia="zh-CN" w:bidi="ar"/>
              </w:rPr>
              <w:t>万亩</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≥17.3</w:t>
            </w:r>
            <w:r>
              <w:rPr>
                <w:rStyle w:val="21"/>
                <w:rFonts w:hint="default" w:ascii="Times New Roman" w:hAnsi="Times New Roman" w:eastAsia="宋体" w:cs="Times New Roman"/>
                <w:color w:val="auto"/>
                <w:sz w:val="12"/>
                <w:szCs w:val="12"/>
                <w:lang w:val="en-US" w:eastAsia="zh-CN" w:bidi="ar"/>
              </w:rPr>
              <w:t>万亩</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≥8.1</w:t>
            </w:r>
            <w:r>
              <w:rPr>
                <w:rStyle w:val="21"/>
                <w:rFonts w:hint="default" w:ascii="Times New Roman" w:hAnsi="Times New Roman" w:eastAsia="宋体" w:cs="Times New Roman"/>
                <w:color w:val="auto"/>
                <w:sz w:val="12"/>
                <w:szCs w:val="12"/>
                <w:lang w:val="en-US" w:eastAsia="zh-CN" w:bidi="ar"/>
              </w:rPr>
              <w:t>万亩</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≥4.6</w:t>
            </w:r>
            <w:r>
              <w:rPr>
                <w:rStyle w:val="21"/>
                <w:rFonts w:hint="default" w:ascii="Times New Roman" w:hAnsi="Times New Roman" w:eastAsia="宋体" w:cs="Times New Roman"/>
                <w:color w:val="auto"/>
                <w:sz w:val="12"/>
                <w:szCs w:val="12"/>
                <w:lang w:val="en-US" w:eastAsia="zh-CN" w:bidi="ar"/>
              </w:rPr>
              <w:t>万亩</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≥10.7</w:t>
            </w:r>
            <w:r>
              <w:rPr>
                <w:rStyle w:val="21"/>
                <w:rFonts w:hint="default" w:ascii="Times New Roman" w:hAnsi="Times New Roman" w:eastAsia="宋体" w:cs="Times New Roman"/>
                <w:color w:val="auto"/>
                <w:sz w:val="12"/>
                <w:szCs w:val="12"/>
                <w:lang w:val="en-US" w:eastAsia="zh-CN" w:bidi="ar"/>
              </w:rPr>
              <w:t>万亩</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w:t>
            </w:r>
            <w:r>
              <w:rPr>
                <w:rStyle w:val="21"/>
                <w:rFonts w:hint="default" w:ascii="Times New Roman" w:hAnsi="Times New Roman" w:eastAsia="宋体" w:cs="Times New Roman"/>
                <w:color w:val="auto"/>
                <w:sz w:val="12"/>
                <w:szCs w:val="12"/>
                <w:lang w:val="en-US" w:eastAsia="zh-CN" w:bidi="ar"/>
              </w:rPr>
              <w:t>万亩</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≥0.4</w:t>
            </w:r>
            <w:r>
              <w:rPr>
                <w:rStyle w:val="21"/>
                <w:rFonts w:hint="default" w:ascii="Times New Roman" w:hAnsi="Times New Roman" w:eastAsia="宋体" w:cs="Times New Roman"/>
                <w:color w:val="auto"/>
                <w:sz w:val="12"/>
                <w:szCs w:val="12"/>
                <w:lang w:val="en-US" w:eastAsia="zh-CN" w:bidi="ar"/>
              </w:rPr>
              <w:t>万亩</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≥1.6</w:t>
            </w:r>
            <w:r>
              <w:rPr>
                <w:rStyle w:val="21"/>
                <w:rFonts w:hint="default" w:ascii="Times New Roman" w:hAnsi="Times New Roman" w:eastAsia="宋体" w:cs="Times New Roman"/>
                <w:color w:val="auto"/>
                <w:sz w:val="12"/>
                <w:szCs w:val="12"/>
                <w:lang w:val="en-US" w:eastAsia="zh-CN" w:bidi="ar"/>
              </w:rPr>
              <w:t>万亩</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≥10.3</w:t>
            </w:r>
            <w:r>
              <w:rPr>
                <w:rStyle w:val="21"/>
                <w:rFonts w:hint="default" w:ascii="Times New Roman" w:hAnsi="Times New Roman" w:eastAsia="宋体" w:cs="Times New Roman"/>
                <w:color w:val="auto"/>
                <w:sz w:val="12"/>
                <w:szCs w:val="12"/>
                <w:lang w:val="en-US" w:eastAsia="zh-CN" w:bidi="ar"/>
              </w:rPr>
              <w:t>万亩</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≥1.7</w:t>
            </w:r>
            <w:r>
              <w:rPr>
                <w:rStyle w:val="21"/>
                <w:rFonts w:hint="default" w:ascii="Times New Roman" w:hAnsi="Times New Roman" w:eastAsia="宋体" w:cs="Times New Roman"/>
                <w:color w:val="auto"/>
                <w:sz w:val="12"/>
                <w:szCs w:val="12"/>
                <w:lang w:val="en-US" w:eastAsia="zh-CN" w:bidi="ar"/>
              </w:rPr>
              <w:t>万亩</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≥15.3</w:t>
            </w:r>
            <w:r>
              <w:rPr>
                <w:rStyle w:val="21"/>
                <w:rFonts w:hint="default" w:ascii="Times New Roman" w:hAnsi="Times New Roman" w:eastAsia="宋体" w:cs="Times New Roman"/>
                <w:color w:val="auto"/>
                <w:sz w:val="12"/>
                <w:szCs w:val="12"/>
                <w:lang w:val="en-US" w:eastAsia="zh-CN" w:bidi="ar"/>
              </w:rPr>
              <w:t>万亩</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≥5.5</w:t>
            </w:r>
            <w:r>
              <w:rPr>
                <w:rStyle w:val="21"/>
                <w:rFonts w:hint="default" w:ascii="Times New Roman" w:hAnsi="Times New Roman" w:eastAsia="宋体" w:cs="Times New Roman"/>
                <w:color w:val="auto"/>
                <w:sz w:val="12"/>
                <w:szCs w:val="12"/>
                <w:lang w:val="en-US" w:eastAsia="zh-CN" w:bidi="ar"/>
              </w:rPr>
              <w:t>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26"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质量指标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防控效果</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有效遏制暴发流行成灾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项目实施区统防统治覆盖率</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&gt;43%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92"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时效指标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农作物病虫害防治组织实施时效</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在农作物病虫害防控期及时组织实施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82"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成本指标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采购物资或服务价格</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22"/>
                <w:rFonts w:hint="default" w:ascii="Times New Roman" w:hAnsi="Times New Roman" w:eastAsia="宋体" w:cs="Times New Roman"/>
                <w:color w:val="auto"/>
                <w:sz w:val="12"/>
                <w:szCs w:val="12"/>
                <w:lang w:val="en-US" w:eastAsia="zh-CN" w:bidi="ar"/>
              </w:rPr>
              <w:t>不超过市场价格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9"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社会效益指标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防灾措施保障粮食安全和农业生产安全效果</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重发区域病虫害得到有效控制，农作物不出现大范围成灾绝收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66"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可持续影响指标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有效保持重大病虫疫情灾情监测预警能力</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病虫害防控期内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2" w:hRule="atLeast"/>
        </w:trPr>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b/>
                <w:bCs/>
                <w:i w:val="0"/>
                <w:iCs w:val="0"/>
                <w:color w:val="auto"/>
                <w:sz w:val="12"/>
                <w:szCs w:val="12"/>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满意度指标</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bCs/>
                <w:i w:val="0"/>
                <w:iCs w:val="0"/>
                <w:color w:val="auto"/>
                <w:sz w:val="12"/>
                <w:szCs w:val="12"/>
                <w:u w:val="none"/>
              </w:rPr>
            </w:pPr>
            <w:r>
              <w:rPr>
                <w:rStyle w:val="19"/>
                <w:rFonts w:hint="default" w:ascii="Times New Roman" w:hAnsi="Times New Roman" w:eastAsia="宋体" w:cs="Times New Roman"/>
                <w:b/>
                <w:bCs/>
                <w:color w:val="auto"/>
                <w:sz w:val="12"/>
                <w:szCs w:val="12"/>
                <w:lang w:val="en-US" w:eastAsia="zh-CN" w:bidi="ar"/>
              </w:rPr>
              <w:t>服务对象满意度指标</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2"/>
                <w:szCs w:val="12"/>
                <w:u w:val="none"/>
              </w:rPr>
            </w:pPr>
            <w:r>
              <w:rPr>
                <w:rStyle w:val="19"/>
                <w:rFonts w:hint="default" w:ascii="Times New Roman" w:hAnsi="Times New Roman" w:eastAsia="宋体" w:cs="Times New Roman"/>
                <w:color w:val="auto"/>
                <w:sz w:val="12"/>
                <w:szCs w:val="12"/>
                <w:lang w:val="en-US" w:eastAsia="zh-CN" w:bidi="ar"/>
              </w:rPr>
              <w:t>受灾农民或防治服务组织满意度</w:t>
            </w:r>
          </w:p>
        </w:tc>
        <w:tc>
          <w:tcPr>
            <w:tcW w:w="2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2"/>
                <w:szCs w:val="12"/>
                <w:u w:val="none"/>
              </w:rPr>
            </w:pPr>
            <w:r>
              <w:rPr>
                <w:rFonts w:hint="default" w:ascii="Times New Roman" w:hAnsi="Times New Roman" w:eastAsia="宋体" w:cs="Times New Roman"/>
                <w:i w:val="0"/>
                <w:iCs w:val="0"/>
                <w:color w:val="auto"/>
                <w:kern w:val="0"/>
                <w:sz w:val="12"/>
                <w:szCs w:val="12"/>
                <w:u w:val="none"/>
                <w:lang w:val="en-US" w:eastAsia="zh-CN" w:bidi="ar"/>
              </w:rPr>
              <w:t>≥85%</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sectPr>
          <w:pgSz w:w="16838" w:h="11906" w:orient="landscape"/>
          <w:pgMar w:top="1134" w:right="1417" w:bottom="1134" w:left="1417" w:header="851" w:footer="992" w:gutter="0"/>
          <w:pgNumType w:fmt="decimal"/>
          <w:cols w:space="0" w:num="1"/>
          <w:rtlGutter w:val="0"/>
          <w:docGrid w:type="lines" w:linePitch="312" w:charSpace="0"/>
        </w:sectPr>
      </w:pPr>
    </w:p>
    <w:p>
      <w:pPr>
        <w:pStyle w:val="17"/>
        <w:keepNext w:val="0"/>
        <w:keepLines w:val="0"/>
        <w:pageBreakBefore w:val="0"/>
        <w:widowControl w:val="0"/>
        <w:kinsoku/>
        <w:wordWrap/>
        <w:overflowPunct/>
        <w:topLinePunct w:val="0"/>
        <w:autoSpaceDE/>
        <w:autoSpaceDN/>
        <w:bidi w:val="0"/>
        <w:adjustRightInd/>
        <w:snapToGrid/>
        <w:spacing w:line="560" w:lineRule="exact"/>
        <w:ind w:firstLine="441" w:firstLineChars="20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22"/>
          <w:szCs w:val="22"/>
          <w:lang w:val="en-US" w:eastAsia="zh-CN"/>
        </w:rPr>
        <w:t>2023年中央农业防灾减灾和水利救灾资金预算（防灾救灾第四批）区域绩效目标表</w:t>
      </w:r>
    </w:p>
    <w:tbl>
      <w:tblPr>
        <w:tblStyle w:val="16"/>
        <w:tblW w:w="142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859"/>
        <w:gridCol w:w="1499"/>
        <w:gridCol w:w="2357"/>
        <w:gridCol w:w="1000"/>
        <w:gridCol w:w="1760"/>
        <w:gridCol w:w="1550"/>
        <w:gridCol w:w="1130"/>
        <w:gridCol w:w="1570"/>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170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60"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转移支付</w:t>
            </w:r>
          </w:p>
        </w:tc>
        <w:tc>
          <w:tcPr>
            <w:tcW w:w="6616" w:type="dxa"/>
            <w:gridSpan w:val="4"/>
            <w:vAlign w:val="center"/>
          </w:tcPr>
          <w:p>
            <w:pPr>
              <w:pStyle w:val="15"/>
              <w:keepNext w:val="0"/>
              <w:keepLines w:val="0"/>
              <w:pageBreakBefore w:val="0"/>
              <w:widowControl w:val="0"/>
              <w:kinsoku/>
              <w:wordWrap/>
              <w:overflowPunct/>
              <w:topLinePunct w:val="0"/>
              <w:autoSpaceDE/>
              <w:autoSpaceDN/>
              <w:bidi w:val="0"/>
              <w:adjustRightInd/>
              <w:snapToGrid/>
              <w:spacing w:before="60"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1"/>
                <w:sz w:val="13"/>
                <w:szCs w:val="13"/>
              </w:rPr>
              <w:t>农业防灾减灾和水利救灾资金</w:t>
            </w:r>
          </w:p>
        </w:tc>
        <w:tc>
          <w:tcPr>
            <w:tcW w:w="5970" w:type="dxa"/>
            <w:gridSpan w:val="4"/>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191"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1"/>
                <w:sz w:val="13"/>
                <w:szCs w:val="13"/>
              </w:rPr>
              <w:t>分区域绩效目标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170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57"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名称</w:t>
            </w:r>
          </w:p>
        </w:tc>
        <w:tc>
          <w:tcPr>
            <w:tcW w:w="6616" w:type="dxa"/>
            <w:gridSpan w:val="4"/>
            <w:vAlign w:val="center"/>
          </w:tcPr>
          <w:p>
            <w:pPr>
              <w:pStyle w:val="15"/>
              <w:keepNext w:val="0"/>
              <w:keepLines w:val="0"/>
              <w:pageBreakBefore w:val="0"/>
              <w:widowControl w:val="0"/>
              <w:kinsoku/>
              <w:wordWrap/>
              <w:overflowPunct/>
              <w:topLinePunct w:val="0"/>
              <w:autoSpaceDE/>
              <w:autoSpaceDN/>
              <w:bidi w:val="0"/>
              <w:adjustRightInd/>
              <w:snapToGrid/>
              <w:spacing w:before="55" w:line="0" w:lineRule="atLeast"/>
              <w:jc w:val="center"/>
              <w:textAlignment w:val="auto"/>
              <w:rPr>
                <w:rFonts w:hint="default" w:ascii="Times New Roman" w:hAnsi="Times New Roman" w:cs="Times New Roman"/>
                <w:color w:val="auto"/>
                <w:sz w:val="13"/>
                <w:szCs w:val="13"/>
              </w:rPr>
            </w:pPr>
            <w:r>
              <w:rPr>
                <w:rFonts w:hint="eastAsia" w:ascii="Times New Roman" w:hAnsi="Times New Roman" w:cs="Times New Roman"/>
                <w:color w:val="auto"/>
                <w:spacing w:val="3"/>
                <w:sz w:val="13"/>
                <w:szCs w:val="13"/>
                <w:lang w:eastAsia="zh-CN"/>
              </w:rPr>
              <w:t>（</w:t>
            </w:r>
            <w:r>
              <w:rPr>
                <w:rFonts w:hint="default" w:ascii="Times New Roman" w:hAnsi="Times New Roman" w:cs="Times New Roman"/>
                <w:color w:val="auto"/>
                <w:spacing w:val="3"/>
                <w:sz w:val="13"/>
                <w:szCs w:val="13"/>
              </w:rPr>
              <w:t>防灾救灾第四批</w:t>
            </w:r>
            <w:r>
              <w:rPr>
                <w:rFonts w:hint="eastAsia" w:ascii="Times New Roman" w:hAnsi="Times New Roman" w:cs="Times New Roman"/>
                <w:color w:val="auto"/>
                <w:spacing w:val="3"/>
                <w:sz w:val="13"/>
                <w:szCs w:val="13"/>
                <w:lang w:eastAsia="zh-CN"/>
              </w:rPr>
              <w:t>）</w:t>
            </w:r>
          </w:p>
        </w:tc>
        <w:tc>
          <w:tcPr>
            <w:tcW w:w="5970" w:type="dxa"/>
            <w:gridSpan w:val="4"/>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170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55"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中央主管部门</w:t>
            </w:r>
          </w:p>
        </w:tc>
        <w:tc>
          <w:tcPr>
            <w:tcW w:w="3856"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54"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农业农村部</w:t>
            </w:r>
          </w:p>
        </w:tc>
        <w:tc>
          <w:tcPr>
            <w:tcW w:w="1000" w:type="dxa"/>
            <w:vAlign w:val="center"/>
          </w:tcPr>
          <w:p>
            <w:pPr>
              <w:pStyle w:val="15"/>
              <w:keepNext w:val="0"/>
              <w:keepLines w:val="0"/>
              <w:pageBreakBefore w:val="0"/>
              <w:widowControl w:val="0"/>
              <w:kinsoku/>
              <w:wordWrap/>
              <w:overflowPunct/>
              <w:topLinePunct w:val="0"/>
              <w:autoSpaceDE/>
              <w:autoSpaceDN/>
              <w:bidi w:val="0"/>
              <w:adjustRightInd/>
              <w:snapToGrid/>
              <w:spacing w:before="56"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专项实施期</w:t>
            </w:r>
          </w:p>
        </w:tc>
        <w:tc>
          <w:tcPr>
            <w:tcW w:w="1760" w:type="dxa"/>
            <w:vAlign w:val="center"/>
          </w:tcPr>
          <w:p>
            <w:pPr>
              <w:pStyle w:val="15"/>
              <w:keepNext w:val="0"/>
              <w:keepLines w:val="0"/>
              <w:pageBreakBefore w:val="0"/>
              <w:widowControl w:val="0"/>
              <w:kinsoku/>
              <w:wordWrap/>
              <w:overflowPunct/>
              <w:topLinePunct w:val="0"/>
              <w:autoSpaceDE/>
              <w:autoSpaceDN/>
              <w:bidi w:val="0"/>
              <w:adjustRightInd/>
              <w:snapToGrid/>
              <w:spacing w:before="56"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长期</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54"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5"/>
                <w:sz w:val="13"/>
                <w:szCs w:val="13"/>
              </w:rPr>
              <w:t>伊犁州</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5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哈密市</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54"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0"/>
                <w:sz w:val="13"/>
                <w:szCs w:val="13"/>
              </w:rPr>
              <w:t>巴州</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5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喀什地区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170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215"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省级财政部门</w:t>
            </w:r>
          </w:p>
        </w:tc>
        <w:tc>
          <w:tcPr>
            <w:tcW w:w="3856"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216"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新疆维吾尔自治区财政厅</w:t>
            </w:r>
          </w:p>
        </w:tc>
        <w:tc>
          <w:tcPr>
            <w:tcW w:w="1000" w:type="dxa"/>
            <w:vAlign w:val="center"/>
          </w:tcPr>
          <w:p>
            <w:pPr>
              <w:pStyle w:val="15"/>
              <w:keepNext w:val="0"/>
              <w:keepLines w:val="0"/>
              <w:pageBreakBefore w:val="0"/>
              <w:widowControl w:val="0"/>
              <w:kinsoku/>
              <w:wordWrap/>
              <w:overflowPunct/>
              <w:topLinePunct w:val="0"/>
              <w:autoSpaceDE/>
              <w:autoSpaceDN/>
              <w:bidi w:val="0"/>
              <w:adjustRightInd/>
              <w:snapToGrid/>
              <w:spacing w:before="21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省级主管部门</w:t>
            </w:r>
          </w:p>
        </w:tc>
        <w:tc>
          <w:tcPr>
            <w:tcW w:w="1760" w:type="dxa"/>
            <w:vAlign w:val="center"/>
          </w:tcPr>
          <w:p>
            <w:pPr>
              <w:pStyle w:val="15"/>
              <w:keepNext w:val="0"/>
              <w:keepLines w:val="0"/>
              <w:pageBreakBefore w:val="0"/>
              <w:widowControl w:val="0"/>
              <w:kinsoku/>
              <w:wordWrap/>
              <w:overflowPunct/>
              <w:topLinePunct w:val="0"/>
              <w:autoSpaceDE/>
              <w:autoSpaceDN/>
              <w:bidi w:val="0"/>
              <w:adjustRightInd/>
              <w:snapToGrid/>
              <w:spacing w:before="145" w:line="0" w:lineRule="atLeast"/>
              <w:ind w:right="29"/>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新疆维吾尔自治区农业农村厅</w:t>
            </w:r>
          </w:p>
        </w:tc>
        <w:tc>
          <w:tcPr>
            <w:tcW w:w="5970" w:type="dxa"/>
            <w:gridSpan w:val="4"/>
            <w:vAlign w:val="center"/>
          </w:tcPr>
          <w:p>
            <w:pPr>
              <w:pStyle w:val="15"/>
              <w:keepNext w:val="0"/>
              <w:keepLines w:val="0"/>
              <w:pageBreakBefore w:val="0"/>
              <w:widowControl w:val="0"/>
              <w:kinsoku/>
              <w:wordWrap/>
              <w:overflowPunct/>
              <w:topLinePunct w:val="0"/>
              <w:autoSpaceDE/>
              <w:autoSpaceDN/>
              <w:bidi w:val="0"/>
              <w:adjustRightInd/>
              <w:snapToGrid/>
              <w:spacing w:before="214"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各地</w:t>
            </w:r>
            <w:r>
              <w:rPr>
                <w:rFonts w:hint="eastAsia" w:ascii="Times New Roman" w:hAnsi="Times New Roman" w:cs="Times New Roman"/>
                <w:color w:val="auto"/>
                <w:spacing w:val="-1"/>
                <w:sz w:val="13"/>
                <w:szCs w:val="13"/>
                <w:lang w:eastAsia="zh-CN"/>
              </w:rPr>
              <w:t>（</w:t>
            </w:r>
            <w:r>
              <w:rPr>
                <w:rFonts w:hint="default" w:ascii="Times New Roman" w:hAnsi="Times New Roman" w:cs="Times New Roman"/>
                <w:color w:val="auto"/>
                <w:spacing w:val="-1"/>
                <w:sz w:val="13"/>
                <w:szCs w:val="13"/>
              </w:rPr>
              <w:t>州、市</w:t>
            </w:r>
            <w:r>
              <w:rPr>
                <w:rFonts w:hint="eastAsia" w:ascii="Times New Roman" w:hAnsi="Times New Roman" w:cs="Times New Roman"/>
                <w:color w:val="auto"/>
                <w:spacing w:val="-1"/>
                <w:sz w:val="13"/>
                <w:szCs w:val="13"/>
                <w:lang w:eastAsia="zh-CN"/>
              </w:rPr>
              <w:t>）</w:t>
            </w:r>
            <w:r>
              <w:rPr>
                <w:rFonts w:hint="default" w:ascii="Times New Roman" w:hAnsi="Times New Roman" w:cs="Times New Roman"/>
                <w:color w:val="auto"/>
                <w:spacing w:val="-1"/>
                <w:sz w:val="13"/>
                <w:szCs w:val="13"/>
              </w:rPr>
              <w:t>:财政局、农业农村局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1703" w:type="dxa"/>
            <w:gridSpan w:val="2"/>
            <w:vMerge w:val="restart"/>
            <w:vAlign w:val="center"/>
          </w:tcPr>
          <w:p>
            <w:pPr>
              <w:pStyle w:val="15"/>
              <w:keepNext w:val="0"/>
              <w:keepLines w:val="0"/>
              <w:pageBreakBefore w:val="0"/>
              <w:widowControl w:val="0"/>
              <w:kinsoku/>
              <w:wordWrap/>
              <w:overflowPunct/>
              <w:topLinePunct w:val="0"/>
              <w:autoSpaceDE/>
              <w:autoSpaceDN/>
              <w:bidi w:val="0"/>
              <w:adjustRightInd/>
              <w:snapToGrid/>
              <w:spacing w:before="57"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3"/>
                <w:sz w:val="13"/>
                <w:szCs w:val="13"/>
              </w:rPr>
              <w:t>资金情况</w:t>
            </w:r>
            <w:r>
              <w:rPr>
                <w:rFonts w:hint="eastAsia" w:ascii="Times New Roman" w:hAnsi="Times New Roman" w:cs="Times New Roman"/>
                <w:b/>
                <w:bCs/>
                <w:color w:val="auto"/>
                <w:spacing w:val="7"/>
                <w:sz w:val="13"/>
                <w:szCs w:val="13"/>
                <w:lang w:eastAsia="zh-CN"/>
              </w:rPr>
              <w:t>（</w:t>
            </w:r>
            <w:r>
              <w:rPr>
                <w:rFonts w:hint="default" w:ascii="Times New Roman" w:hAnsi="Times New Roman" w:cs="Times New Roman"/>
                <w:b/>
                <w:bCs/>
                <w:color w:val="auto"/>
                <w:spacing w:val="7"/>
                <w:sz w:val="13"/>
                <w:szCs w:val="13"/>
              </w:rPr>
              <w:t>万元</w:t>
            </w:r>
            <w:r>
              <w:rPr>
                <w:rFonts w:hint="eastAsia" w:ascii="Times New Roman" w:hAnsi="Times New Roman" w:cs="Times New Roman"/>
                <w:b/>
                <w:bCs/>
                <w:color w:val="auto"/>
                <w:spacing w:val="7"/>
                <w:sz w:val="13"/>
                <w:szCs w:val="13"/>
                <w:lang w:eastAsia="zh-CN"/>
              </w:rPr>
              <w:t>）</w:t>
            </w:r>
          </w:p>
        </w:tc>
        <w:tc>
          <w:tcPr>
            <w:tcW w:w="3856"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56"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年度金额</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57"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2140万元</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92"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165.82</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92"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157.64</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92"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1696.59</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92"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119.95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1703" w:type="dxa"/>
            <w:gridSpan w:val="2"/>
            <w:vMerge w:val="continue"/>
            <w:vAlign w:val="center"/>
          </w:tcPr>
          <w:p>
            <w:pPr>
              <w:pStyle w:val="15"/>
              <w:keepNext w:val="0"/>
              <w:keepLines w:val="0"/>
              <w:pageBreakBefore w:val="0"/>
              <w:widowControl w:val="0"/>
              <w:kinsoku/>
              <w:wordWrap/>
              <w:overflowPunct/>
              <w:topLinePunct w:val="0"/>
              <w:autoSpaceDE/>
              <w:autoSpaceDN/>
              <w:bidi w:val="0"/>
              <w:adjustRightInd/>
              <w:snapToGrid/>
              <w:spacing w:before="58" w:line="0" w:lineRule="atLeast"/>
              <w:jc w:val="center"/>
              <w:textAlignment w:val="auto"/>
              <w:rPr>
                <w:rFonts w:hint="default" w:ascii="Times New Roman" w:hAnsi="Times New Roman" w:cs="Times New Roman"/>
                <w:color w:val="auto"/>
                <w:sz w:val="13"/>
                <w:szCs w:val="13"/>
              </w:rPr>
            </w:pPr>
          </w:p>
        </w:tc>
        <w:tc>
          <w:tcPr>
            <w:tcW w:w="3856"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58"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其中：中央补助</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58"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2140万元</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9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165.82</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9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157.64</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9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1696.59</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9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119.95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170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13"/>
                <w:szCs w:val="13"/>
              </w:rPr>
            </w:pPr>
          </w:p>
        </w:tc>
        <w:tc>
          <w:tcPr>
            <w:tcW w:w="3856"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58"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地方资金</w:t>
            </w:r>
          </w:p>
        </w:tc>
        <w:tc>
          <w:tcPr>
            <w:tcW w:w="2760"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13"/>
                <w:szCs w:val="13"/>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13"/>
                <w:szCs w:val="13"/>
              </w:rPr>
            </w:pPr>
          </w:p>
        </w:tc>
        <w:tc>
          <w:tcPr>
            <w:tcW w:w="113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13"/>
                <w:szCs w:val="13"/>
              </w:rPr>
            </w:pPr>
          </w:p>
        </w:tc>
        <w:tc>
          <w:tcPr>
            <w:tcW w:w="157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13"/>
                <w:szCs w:val="13"/>
              </w:rPr>
            </w:pP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1703"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117"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年度目标</w:t>
            </w:r>
          </w:p>
        </w:tc>
        <w:tc>
          <w:tcPr>
            <w:tcW w:w="6616" w:type="dxa"/>
            <w:gridSpan w:val="4"/>
            <w:vAlign w:val="center"/>
          </w:tcPr>
          <w:p>
            <w:pPr>
              <w:pStyle w:val="15"/>
              <w:keepNext w:val="0"/>
              <w:keepLines w:val="0"/>
              <w:pageBreakBefore w:val="0"/>
              <w:widowControl w:val="0"/>
              <w:kinsoku/>
              <w:wordWrap/>
              <w:overflowPunct/>
              <w:topLinePunct w:val="0"/>
              <w:autoSpaceDE/>
              <w:autoSpaceDN/>
              <w:bidi w:val="0"/>
              <w:adjustRightInd/>
              <w:snapToGrid/>
              <w:spacing w:before="117" w:line="0" w:lineRule="atLeast"/>
              <w:ind w:left="22"/>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z w:val="13"/>
                <w:szCs w:val="13"/>
              </w:rPr>
              <w:t>通过使用救灾资金，支持受灾地区恢复农业生产，保障全年农业生产稳</w:t>
            </w:r>
            <w:r>
              <w:rPr>
                <w:rFonts w:hint="default" w:ascii="Times New Roman" w:hAnsi="Times New Roman" w:cs="Times New Roman"/>
                <w:color w:val="auto"/>
                <w:spacing w:val="-1"/>
                <w:sz w:val="13"/>
                <w:szCs w:val="13"/>
              </w:rPr>
              <w:t>定。</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131"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z w:val="13"/>
                <w:szCs w:val="13"/>
              </w:rPr>
              <w:t>√</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131"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z w:val="13"/>
                <w:szCs w:val="13"/>
              </w:rPr>
              <w:t>√</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131"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z w:val="13"/>
                <w:szCs w:val="13"/>
              </w:rPr>
              <w:t>√</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131"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859" w:type="dxa"/>
            <w:vAlign w:val="center"/>
          </w:tcPr>
          <w:p>
            <w:pPr>
              <w:pStyle w:val="15"/>
              <w:keepNext w:val="0"/>
              <w:keepLines w:val="0"/>
              <w:pageBreakBefore w:val="0"/>
              <w:widowControl w:val="0"/>
              <w:kinsoku/>
              <w:wordWrap/>
              <w:overflowPunct/>
              <w:topLinePunct w:val="0"/>
              <w:autoSpaceDE/>
              <w:autoSpaceDN/>
              <w:bidi w:val="0"/>
              <w:adjustRightInd/>
              <w:snapToGrid/>
              <w:spacing w:before="59" w:line="0" w:lineRule="atLeast"/>
              <w:ind w:left="141"/>
              <w:jc w:val="both"/>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一级指标</w:t>
            </w:r>
          </w:p>
        </w:tc>
        <w:tc>
          <w:tcPr>
            <w:tcW w:w="1499" w:type="dxa"/>
            <w:vAlign w:val="center"/>
          </w:tcPr>
          <w:p>
            <w:pPr>
              <w:pStyle w:val="15"/>
              <w:keepNext w:val="0"/>
              <w:keepLines w:val="0"/>
              <w:pageBreakBefore w:val="0"/>
              <w:widowControl w:val="0"/>
              <w:kinsoku/>
              <w:wordWrap/>
              <w:overflowPunct/>
              <w:topLinePunct w:val="0"/>
              <w:autoSpaceDE/>
              <w:autoSpaceDN/>
              <w:bidi w:val="0"/>
              <w:adjustRightInd/>
              <w:snapToGrid/>
              <w:spacing w:before="59"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二级指标</w:t>
            </w: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59" w:line="0" w:lineRule="atLeast"/>
              <w:ind w:left="822"/>
              <w:jc w:val="both"/>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三级指标</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58"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指标值</w:t>
            </w:r>
          </w:p>
        </w:tc>
        <w:tc>
          <w:tcPr>
            <w:tcW w:w="5970" w:type="dxa"/>
            <w:gridSpan w:val="4"/>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46" w:line="0" w:lineRule="atLeast"/>
              <w:ind w:left="164"/>
              <w:jc w:val="both"/>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绩效指标</w:t>
            </w:r>
          </w:p>
        </w:tc>
        <w:tc>
          <w:tcPr>
            <w:tcW w:w="859" w:type="dxa"/>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46"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产出指标</w:t>
            </w:r>
          </w:p>
        </w:tc>
        <w:tc>
          <w:tcPr>
            <w:tcW w:w="1499" w:type="dxa"/>
            <w:vAlign w:val="center"/>
          </w:tcPr>
          <w:p>
            <w:pPr>
              <w:pStyle w:val="15"/>
              <w:keepNext w:val="0"/>
              <w:keepLines w:val="0"/>
              <w:pageBreakBefore w:val="0"/>
              <w:widowControl w:val="0"/>
              <w:kinsoku/>
              <w:wordWrap/>
              <w:overflowPunct/>
              <w:topLinePunct w:val="0"/>
              <w:autoSpaceDE/>
              <w:autoSpaceDN/>
              <w:bidi w:val="0"/>
              <w:adjustRightInd/>
              <w:snapToGrid/>
              <w:spacing w:before="218"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数量指标</w:t>
            </w: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148" w:line="0" w:lineRule="atLeast"/>
              <w:ind w:right="60"/>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支持农作物防灾减灾和灾后恢复生</w:t>
            </w:r>
            <w:r>
              <w:rPr>
                <w:rFonts w:hint="default" w:ascii="Times New Roman" w:hAnsi="Times New Roman" w:cs="Times New Roman"/>
                <w:color w:val="auto"/>
                <w:sz w:val="13"/>
                <w:szCs w:val="13"/>
              </w:rPr>
              <w:t>产</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219"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z w:val="13"/>
                <w:szCs w:val="13"/>
              </w:rPr>
              <w:t>≥71.34万亩</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219"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z w:val="13"/>
                <w:szCs w:val="13"/>
              </w:rPr>
              <w:t>≥5.88万亩</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219"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z w:val="13"/>
                <w:szCs w:val="13"/>
              </w:rPr>
              <w:t>≥5.59万亩</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219"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z w:val="13"/>
                <w:szCs w:val="13"/>
              </w:rPr>
              <w:t>≥59.87万亩</w:t>
            </w: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8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1499" w:type="dxa"/>
            <w:vAlign w:val="center"/>
          </w:tcPr>
          <w:p>
            <w:pPr>
              <w:pStyle w:val="15"/>
              <w:keepNext w:val="0"/>
              <w:keepLines w:val="0"/>
              <w:pageBreakBefore w:val="0"/>
              <w:widowControl w:val="0"/>
              <w:kinsoku/>
              <w:wordWrap/>
              <w:overflowPunct/>
              <w:topLinePunct w:val="0"/>
              <w:autoSpaceDE/>
              <w:autoSpaceDN/>
              <w:bidi w:val="0"/>
              <w:adjustRightInd/>
              <w:snapToGrid/>
              <w:spacing w:before="210"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质量指标</w:t>
            </w: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209"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用于农业生产救灾相关支出的比例</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24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100%</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24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100%</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24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100%</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24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100%</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24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3"/>
                <w:sz w:val="13"/>
                <w:szCs w:val="13"/>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8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149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p>
            <w:pPr>
              <w:pStyle w:val="15"/>
              <w:keepNext w:val="0"/>
              <w:keepLines w:val="0"/>
              <w:pageBreakBefore w:val="0"/>
              <w:widowControl w:val="0"/>
              <w:kinsoku/>
              <w:wordWrap/>
              <w:overflowPunct/>
              <w:topLinePunct w:val="0"/>
              <w:autoSpaceDE/>
              <w:autoSpaceDN/>
              <w:bidi w:val="0"/>
              <w:adjustRightInd/>
              <w:snapToGrid/>
              <w:spacing w:before="46"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3"/>
                <w:sz w:val="13"/>
                <w:szCs w:val="13"/>
              </w:rPr>
              <w:t>时效指标</w:t>
            </w: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130"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灾后生产恢复时效性</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130"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及时恢复正常生产</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130"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及时恢复正常生产</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60" w:line="0" w:lineRule="atLeast"/>
              <w:ind w:right="85"/>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及时恢复正</w:t>
            </w:r>
            <w:r>
              <w:rPr>
                <w:rFonts w:hint="default" w:ascii="Times New Roman" w:hAnsi="Times New Roman" w:cs="Times New Roman"/>
                <w:color w:val="auto"/>
                <w:spacing w:val="-2"/>
                <w:sz w:val="13"/>
                <w:szCs w:val="13"/>
              </w:rPr>
              <w:t>常生产</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60" w:line="0" w:lineRule="atLeast"/>
              <w:ind w:right="64"/>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及时恢复正</w:t>
            </w:r>
            <w:r>
              <w:rPr>
                <w:rFonts w:hint="default" w:ascii="Times New Roman" w:hAnsi="Times New Roman" w:cs="Times New Roman"/>
                <w:color w:val="auto"/>
                <w:spacing w:val="-2"/>
                <w:sz w:val="13"/>
                <w:szCs w:val="13"/>
              </w:rPr>
              <w:t>常生产</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60" w:line="0" w:lineRule="atLeast"/>
              <w:ind w:right="88"/>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及时恢复正</w:t>
            </w:r>
            <w:r>
              <w:rPr>
                <w:rFonts w:hint="default" w:ascii="Times New Roman" w:hAnsi="Times New Roman" w:cs="Times New Roman"/>
                <w:color w:val="auto"/>
                <w:spacing w:val="-2"/>
                <w:sz w:val="13"/>
                <w:szCs w:val="13"/>
              </w:rPr>
              <w:t>常生产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8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14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241" w:line="0" w:lineRule="atLeast"/>
              <w:ind w:right="106"/>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资金下达到地</w:t>
            </w:r>
            <w:r>
              <w:rPr>
                <w:rFonts w:hint="eastAsia" w:ascii="Times New Roman" w:hAnsi="Times New Roman" w:cs="Times New Roman"/>
                <w:color w:val="auto"/>
                <w:spacing w:val="-1"/>
                <w:sz w:val="13"/>
                <w:szCs w:val="13"/>
                <w:lang w:eastAsia="zh-CN"/>
              </w:rPr>
              <w:t>（</w:t>
            </w:r>
            <w:r>
              <w:rPr>
                <w:rFonts w:hint="default" w:ascii="Times New Roman" w:hAnsi="Times New Roman" w:cs="Times New Roman"/>
                <w:color w:val="auto"/>
                <w:spacing w:val="-1"/>
                <w:sz w:val="13"/>
                <w:szCs w:val="13"/>
              </w:rPr>
              <w:t>市</w:t>
            </w:r>
            <w:r>
              <w:rPr>
                <w:rFonts w:hint="eastAsia" w:ascii="Times New Roman" w:hAnsi="Times New Roman" w:cs="Times New Roman"/>
                <w:color w:val="auto"/>
                <w:spacing w:val="-1"/>
                <w:sz w:val="13"/>
                <w:szCs w:val="13"/>
                <w:lang w:eastAsia="zh-CN"/>
              </w:rPr>
              <w:t>）</w:t>
            </w:r>
            <w:r>
              <w:rPr>
                <w:rFonts w:hint="default" w:ascii="Times New Roman" w:hAnsi="Times New Roman" w:cs="Times New Roman"/>
                <w:color w:val="auto"/>
                <w:spacing w:val="-1"/>
                <w:sz w:val="13"/>
                <w:szCs w:val="13"/>
              </w:rPr>
              <w:t>级6个月内预算</w:t>
            </w:r>
            <w:r>
              <w:rPr>
                <w:rFonts w:hint="default" w:ascii="Times New Roman" w:hAnsi="Times New Roman" w:cs="Times New Roman"/>
                <w:color w:val="auto"/>
                <w:spacing w:val="-2"/>
                <w:sz w:val="13"/>
                <w:szCs w:val="13"/>
              </w:rPr>
              <w:t>执行率</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4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≥80%</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4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≥80%</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4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≥80%</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4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≥80%</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4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8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1499" w:type="dxa"/>
            <w:vAlign w:val="center"/>
          </w:tcPr>
          <w:p>
            <w:pPr>
              <w:pStyle w:val="15"/>
              <w:keepNext w:val="0"/>
              <w:keepLines w:val="0"/>
              <w:pageBreakBefore w:val="0"/>
              <w:widowControl w:val="0"/>
              <w:kinsoku/>
              <w:wordWrap/>
              <w:overflowPunct/>
              <w:topLinePunct w:val="0"/>
              <w:autoSpaceDE/>
              <w:autoSpaceDN/>
              <w:bidi w:val="0"/>
              <w:adjustRightInd/>
              <w:snapToGrid/>
              <w:spacing w:before="121"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成本指标</w:t>
            </w: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121"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采购物资或服务价格</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121"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不超过市场价格</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121"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不超过市场价格</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42" w:line="0" w:lineRule="atLeast"/>
              <w:ind w:right="88"/>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不超过市场价格</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42" w:line="0" w:lineRule="atLeast"/>
              <w:ind w:right="67"/>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不超过市场价格</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42" w:line="0" w:lineRule="atLeast"/>
              <w:ind w:right="91"/>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不超过市场价格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859" w:type="dxa"/>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45"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2"/>
                <w:sz w:val="13"/>
                <w:szCs w:val="13"/>
              </w:rPr>
              <w:t>效益指标</w:t>
            </w:r>
          </w:p>
        </w:tc>
        <w:tc>
          <w:tcPr>
            <w:tcW w:w="1499" w:type="dxa"/>
            <w:vAlign w:val="center"/>
          </w:tcPr>
          <w:p>
            <w:pPr>
              <w:pStyle w:val="15"/>
              <w:keepNext w:val="0"/>
              <w:keepLines w:val="0"/>
              <w:pageBreakBefore w:val="0"/>
              <w:widowControl w:val="0"/>
              <w:kinsoku/>
              <w:wordWrap/>
              <w:overflowPunct/>
              <w:topLinePunct w:val="0"/>
              <w:autoSpaceDE/>
              <w:autoSpaceDN/>
              <w:bidi w:val="0"/>
              <w:adjustRightInd/>
              <w:snapToGrid/>
              <w:spacing w:before="224"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1"/>
                <w:sz w:val="13"/>
                <w:szCs w:val="13"/>
              </w:rPr>
              <w:t>经济效益指标</w:t>
            </w: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222"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受灾地区主要农作物单产减幅</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236"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≤5%</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236"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≤5%</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236"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≤5%</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236"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≤5%</w:t>
            </w: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8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1499" w:type="dxa"/>
            <w:vAlign w:val="center"/>
          </w:tcPr>
          <w:p>
            <w:pPr>
              <w:pStyle w:val="15"/>
              <w:keepNext w:val="0"/>
              <w:keepLines w:val="0"/>
              <w:pageBreakBefore w:val="0"/>
              <w:widowControl w:val="0"/>
              <w:kinsoku/>
              <w:wordWrap/>
              <w:overflowPunct/>
              <w:topLinePunct w:val="0"/>
              <w:autoSpaceDE/>
              <w:autoSpaceDN/>
              <w:bidi w:val="0"/>
              <w:adjustRightInd/>
              <w:snapToGrid/>
              <w:spacing w:before="123"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1"/>
                <w:sz w:val="13"/>
                <w:szCs w:val="13"/>
              </w:rPr>
              <w:t>社会效益指标</w:t>
            </w: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124"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灾区农业生产秩序恢复</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12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基本恢复</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12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基本恢复</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12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基本恢复</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12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基本恢复</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12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基本恢复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8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1499" w:type="dxa"/>
            <w:vAlign w:val="center"/>
          </w:tcPr>
          <w:p>
            <w:pPr>
              <w:pStyle w:val="15"/>
              <w:keepNext w:val="0"/>
              <w:keepLines w:val="0"/>
              <w:pageBreakBefore w:val="0"/>
              <w:widowControl w:val="0"/>
              <w:kinsoku/>
              <w:wordWrap/>
              <w:overflowPunct/>
              <w:topLinePunct w:val="0"/>
              <w:autoSpaceDE/>
              <w:autoSpaceDN/>
              <w:bidi w:val="0"/>
              <w:adjustRightInd/>
              <w:snapToGrid/>
              <w:spacing w:before="135"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1"/>
                <w:sz w:val="13"/>
                <w:szCs w:val="13"/>
              </w:rPr>
              <w:t>生态效益指标</w:t>
            </w: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134"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灾区生产能力恢复</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13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基本恢复</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13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基本恢复</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13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基本恢复</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13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基本恢复</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133"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基本恢复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8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1499" w:type="dxa"/>
            <w:vMerge w:val="restart"/>
            <w:tcBorders>
              <w:bottom w:val="nil"/>
            </w:tcBorders>
            <w:vAlign w:val="center"/>
          </w:tcPr>
          <w:p>
            <w:pPr>
              <w:pStyle w:val="15"/>
              <w:keepNext w:val="0"/>
              <w:keepLines w:val="0"/>
              <w:pageBreakBefore w:val="0"/>
              <w:widowControl w:val="0"/>
              <w:kinsoku/>
              <w:wordWrap/>
              <w:overflowPunct/>
              <w:topLinePunct w:val="0"/>
              <w:autoSpaceDE/>
              <w:autoSpaceDN/>
              <w:bidi w:val="0"/>
              <w:adjustRightInd/>
              <w:snapToGrid/>
              <w:spacing w:before="245"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1"/>
                <w:sz w:val="13"/>
                <w:szCs w:val="13"/>
              </w:rPr>
              <w:t>可持续影响指标</w:t>
            </w: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12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稳定受灾农作物播种面积</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12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保持稳定</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12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保持稳定</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12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保持稳定</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12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保持稳定</w:t>
            </w:r>
          </w:p>
        </w:tc>
        <w:tc>
          <w:tcPr>
            <w:tcW w:w="172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auto"/>
                <w:sz w:val="13"/>
                <w:szCs w:val="1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8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14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5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稳定农民生产积极性</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5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保持稳定</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5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保持稳定</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5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保持稳定</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5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保持稳定</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5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2"/>
                <w:sz w:val="13"/>
                <w:szCs w:val="13"/>
              </w:rPr>
              <w:t>保持稳定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trPr>
        <w:tc>
          <w:tcPr>
            <w:tcW w:w="84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b/>
                <w:bCs/>
                <w:color w:val="auto"/>
                <w:sz w:val="13"/>
                <w:szCs w:val="13"/>
              </w:rPr>
            </w:pPr>
          </w:p>
        </w:tc>
        <w:tc>
          <w:tcPr>
            <w:tcW w:w="859" w:type="dxa"/>
            <w:vAlign w:val="center"/>
          </w:tcPr>
          <w:p>
            <w:pPr>
              <w:pStyle w:val="15"/>
              <w:keepNext w:val="0"/>
              <w:keepLines w:val="0"/>
              <w:pageBreakBefore w:val="0"/>
              <w:widowControl w:val="0"/>
              <w:kinsoku/>
              <w:wordWrap/>
              <w:overflowPunct/>
              <w:topLinePunct w:val="0"/>
              <w:autoSpaceDE/>
              <w:autoSpaceDN/>
              <w:bidi w:val="0"/>
              <w:adjustRightInd/>
              <w:snapToGrid/>
              <w:spacing w:before="155" w:line="0" w:lineRule="atLeast"/>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1"/>
                <w:sz w:val="13"/>
                <w:szCs w:val="13"/>
              </w:rPr>
              <w:t>满意度指标</w:t>
            </w:r>
          </w:p>
        </w:tc>
        <w:tc>
          <w:tcPr>
            <w:tcW w:w="1499" w:type="dxa"/>
            <w:vAlign w:val="center"/>
          </w:tcPr>
          <w:p>
            <w:pPr>
              <w:pStyle w:val="15"/>
              <w:keepNext w:val="0"/>
              <w:keepLines w:val="0"/>
              <w:pageBreakBefore w:val="0"/>
              <w:widowControl w:val="0"/>
              <w:kinsoku/>
              <w:wordWrap/>
              <w:overflowPunct/>
              <w:topLinePunct w:val="0"/>
              <w:autoSpaceDE/>
              <w:autoSpaceDN/>
              <w:bidi w:val="0"/>
              <w:adjustRightInd/>
              <w:snapToGrid/>
              <w:spacing w:before="105" w:line="0" w:lineRule="atLeast"/>
              <w:ind w:left="511" w:right="43" w:hanging="489"/>
              <w:jc w:val="center"/>
              <w:textAlignment w:val="auto"/>
              <w:rPr>
                <w:rFonts w:hint="default" w:ascii="Times New Roman" w:hAnsi="Times New Roman" w:cs="Times New Roman"/>
                <w:b/>
                <w:bCs/>
                <w:color w:val="auto"/>
                <w:sz w:val="13"/>
                <w:szCs w:val="13"/>
              </w:rPr>
            </w:pPr>
            <w:r>
              <w:rPr>
                <w:rFonts w:hint="default" w:ascii="Times New Roman" w:hAnsi="Times New Roman" w:cs="Times New Roman"/>
                <w:b/>
                <w:bCs/>
                <w:color w:val="auto"/>
                <w:spacing w:val="-1"/>
                <w:sz w:val="13"/>
                <w:szCs w:val="13"/>
              </w:rPr>
              <w:t>技术指导对象满意度</w:t>
            </w:r>
            <w:r>
              <w:rPr>
                <w:rFonts w:hint="default" w:ascii="Times New Roman" w:hAnsi="Times New Roman" w:cs="Times New Roman"/>
                <w:b/>
                <w:bCs/>
                <w:color w:val="auto"/>
                <w:spacing w:val="-2"/>
                <w:sz w:val="13"/>
                <w:szCs w:val="13"/>
              </w:rPr>
              <w:t>指标</w:t>
            </w:r>
          </w:p>
        </w:tc>
        <w:tc>
          <w:tcPr>
            <w:tcW w:w="2357" w:type="dxa"/>
            <w:vAlign w:val="center"/>
          </w:tcPr>
          <w:p>
            <w:pPr>
              <w:pStyle w:val="15"/>
              <w:keepNext w:val="0"/>
              <w:keepLines w:val="0"/>
              <w:pageBreakBefore w:val="0"/>
              <w:widowControl w:val="0"/>
              <w:kinsoku/>
              <w:wordWrap/>
              <w:overflowPunct/>
              <w:topLinePunct w:val="0"/>
              <w:autoSpaceDE/>
              <w:autoSpaceDN/>
              <w:bidi w:val="0"/>
              <w:adjustRightInd/>
              <w:snapToGrid/>
              <w:spacing w:before="155"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1"/>
                <w:sz w:val="13"/>
                <w:szCs w:val="13"/>
              </w:rPr>
              <w:t>指导服务对象满意度</w:t>
            </w:r>
          </w:p>
        </w:tc>
        <w:tc>
          <w:tcPr>
            <w:tcW w:w="2760"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before="169"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≥85%</w:t>
            </w:r>
          </w:p>
        </w:tc>
        <w:tc>
          <w:tcPr>
            <w:tcW w:w="1550" w:type="dxa"/>
            <w:vAlign w:val="center"/>
          </w:tcPr>
          <w:p>
            <w:pPr>
              <w:pStyle w:val="15"/>
              <w:keepNext w:val="0"/>
              <w:keepLines w:val="0"/>
              <w:pageBreakBefore w:val="0"/>
              <w:widowControl w:val="0"/>
              <w:kinsoku/>
              <w:wordWrap/>
              <w:overflowPunct/>
              <w:topLinePunct w:val="0"/>
              <w:autoSpaceDE/>
              <w:autoSpaceDN/>
              <w:bidi w:val="0"/>
              <w:adjustRightInd/>
              <w:snapToGrid/>
              <w:spacing w:before="169"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≥85%</w:t>
            </w:r>
          </w:p>
        </w:tc>
        <w:tc>
          <w:tcPr>
            <w:tcW w:w="1130" w:type="dxa"/>
            <w:vAlign w:val="center"/>
          </w:tcPr>
          <w:p>
            <w:pPr>
              <w:pStyle w:val="15"/>
              <w:keepNext w:val="0"/>
              <w:keepLines w:val="0"/>
              <w:pageBreakBefore w:val="0"/>
              <w:widowControl w:val="0"/>
              <w:kinsoku/>
              <w:wordWrap/>
              <w:overflowPunct/>
              <w:topLinePunct w:val="0"/>
              <w:autoSpaceDE/>
              <w:autoSpaceDN/>
              <w:bidi w:val="0"/>
              <w:adjustRightInd/>
              <w:snapToGrid/>
              <w:spacing w:before="169"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≥85%</w:t>
            </w:r>
          </w:p>
        </w:tc>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before="169"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≥85%</w:t>
            </w:r>
          </w:p>
        </w:tc>
        <w:tc>
          <w:tcPr>
            <w:tcW w:w="1720" w:type="dxa"/>
            <w:vAlign w:val="center"/>
          </w:tcPr>
          <w:p>
            <w:pPr>
              <w:pStyle w:val="15"/>
              <w:keepNext w:val="0"/>
              <w:keepLines w:val="0"/>
              <w:pageBreakBefore w:val="0"/>
              <w:widowControl w:val="0"/>
              <w:kinsoku/>
              <w:wordWrap/>
              <w:overflowPunct/>
              <w:topLinePunct w:val="0"/>
              <w:autoSpaceDE/>
              <w:autoSpaceDN/>
              <w:bidi w:val="0"/>
              <w:adjustRightInd/>
              <w:snapToGrid/>
              <w:spacing w:before="169" w:line="0" w:lineRule="atLeast"/>
              <w:jc w:val="center"/>
              <w:textAlignment w:val="auto"/>
              <w:rPr>
                <w:rFonts w:hint="default" w:ascii="Times New Roman" w:hAnsi="Times New Roman" w:cs="Times New Roman"/>
                <w:color w:val="auto"/>
                <w:sz w:val="13"/>
                <w:szCs w:val="13"/>
              </w:rPr>
            </w:pPr>
            <w:r>
              <w:rPr>
                <w:rFonts w:hint="default" w:ascii="Times New Roman" w:hAnsi="Times New Roman" w:cs="Times New Roman"/>
                <w:color w:val="auto"/>
                <w:spacing w:val="-4"/>
                <w:sz w:val="13"/>
                <w:szCs w:val="13"/>
              </w:rPr>
              <w:t>≥85%</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sectPr>
          <w:pgSz w:w="16838" w:h="11906" w:orient="landscape"/>
          <w:pgMar w:top="1134" w:right="1417" w:bottom="1134" w:left="1417" w:header="851" w:footer="992" w:gutter="0"/>
          <w:pgNumType w:fmt="decimal"/>
          <w:cols w:space="0" w:num="1"/>
          <w:rtlGutter w:val="0"/>
          <w:docGrid w:type="lines" w:linePitch="312" w:charSpace="0"/>
        </w:sectPr>
      </w:pPr>
    </w:p>
    <w:p>
      <w:pPr>
        <w:widowControl/>
        <w:kinsoku w:val="0"/>
        <w:autoSpaceDE w:val="0"/>
        <w:autoSpaceDN w:val="0"/>
        <w:adjustRightInd w:val="0"/>
        <w:snapToGrid w:val="0"/>
        <w:spacing w:before="191" w:line="219" w:lineRule="auto"/>
        <w:ind w:left="3145"/>
        <w:jc w:val="left"/>
        <w:textAlignment w:val="baseline"/>
        <w:outlineLvl w:val="0"/>
        <w:rPr>
          <w:rFonts w:hint="default" w:ascii="Times New Roman" w:hAnsi="Times New Roman" w:eastAsia="仿宋_GB2312" w:cs="Times New Roman"/>
          <w:b/>
          <w:bCs/>
          <w:color w:val="auto"/>
          <w:kern w:val="2"/>
          <w:sz w:val="22"/>
          <w:szCs w:val="22"/>
          <w:lang w:val="en-US" w:eastAsia="en-US" w:bidi="ar-SA"/>
        </w:rPr>
      </w:pPr>
      <w:r>
        <w:rPr>
          <w:rFonts w:hint="default" w:ascii="Times New Roman" w:hAnsi="Times New Roman" w:eastAsia="仿宋_GB2312" w:cs="Times New Roman"/>
          <w:b/>
          <w:bCs/>
          <w:color w:val="auto"/>
          <w:kern w:val="2"/>
          <w:sz w:val="22"/>
          <w:szCs w:val="22"/>
          <w:lang w:val="en-US" w:eastAsia="en-US" w:bidi="ar-SA"/>
        </w:rPr>
        <w:t>2023年中央农业防灾减灾和水利救灾资金预算</w:t>
      </w:r>
      <w:r>
        <w:rPr>
          <w:rFonts w:hint="eastAsia" w:ascii="Times New Roman" w:hAnsi="Times New Roman" w:cs="Times New Roman"/>
          <w:b/>
          <w:bCs/>
          <w:color w:val="auto"/>
          <w:kern w:val="2"/>
          <w:sz w:val="22"/>
          <w:szCs w:val="22"/>
          <w:lang w:val="en-US" w:eastAsia="zh-CN" w:bidi="ar-SA"/>
        </w:rPr>
        <w:t>（</w:t>
      </w:r>
      <w:r>
        <w:rPr>
          <w:rFonts w:hint="default" w:ascii="Times New Roman" w:hAnsi="Times New Roman" w:eastAsia="仿宋_GB2312" w:cs="Times New Roman"/>
          <w:b/>
          <w:bCs/>
          <w:color w:val="auto"/>
          <w:kern w:val="2"/>
          <w:sz w:val="22"/>
          <w:szCs w:val="22"/>
          <w:lang w:val="en-US" w:eastAsia="en-US" w:bidi="ar-SA"/>
        </w:rPr>
        <w:t>防灾救灾第十一批</w:t>
      </w:r>
      <w:r>
        <w:rPr>
          <w:rFonts w:hint="eastAsia" w:ascii="Times New Roman" w:hAnsi="Times New Roman" w:cs="Times New Roman"/>
          <w:b/>
          <w:bCs/>
          <w:color w:val="auto"/>
          <w:kern w:val="2"/>
          <w:sz w:val="22"/>
          <w:szCs w:val="22"/>
          <w:lang w:val="en-US" w:eastAsia="zh-CN" w:bidi="ar-SA"/>
        </w:rPr>
        <w:t>）</w:t>
      </w:r>
      <w:r>
        <w:rPr>
          <w:rFonts w:hint="default" w:ascii="Times New Roman" w:hAnsi="Times New Roman" w:eastAsia="仿宋_GB2312" w:cs="Times New Roman"/>
          <w:b/>
          <w:bCs/>
          <w:color w:val="auto"/>
          <w:kern w:val="2"/>
          <w:sz w:val="22"/>
          <w:szCs w:val="22"/>
          <w:lang w:val="en-US" w:eastAsia="en-US" w:bidi="ar-SA"/>
        </w:rPr>
        <w:t>区域绩效目标表</w:t>
      </w:r>
    </w:p>
    <w:tbl>
      <w:tblPr>
        <w:tblStyle w:val="16"/>
        <w:tblpPr w:leftFromText="180" w:rightFromText="180" w:vertAnchor="text" w:horzAnchor="page" w:tblpXSpec="center" w:tblpY="87"/>
        <w:tblOverlap w:val="never"/>
        <w:tblW w:w="154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480"/>
        <w:gridCol w:w="450"/>
        <w:gridCol w:w="470"/>
        <w:gridCol w:w="430"/>
        <w:gridCol w:w="549"/>
        <w:gridCol w:w="370"/>
        <w:gridCol w:w="859"/>
        <w:gridCol w:w="679"/>
        <w:gridCol w:w="700"/>
        <w:gridCol w:w="699"/>
        <w:gridCol w:w="710"/>
        <w:gridCol w:w="699"/>
        <w:gridCol w:w="700"/>
        <w:gridCol w:w="699"/>
        <w:gridCol w:w="700"/>
        <w:gridCol w:w="700"/>
        <w:gridCol w:w="709"/>
        <w:gridCol w:w="709"/>
        <w:gridCol w:w="700"/>
        <w:gridCol w:w="699"/>
        <w:gridCol w:w="700"/>
        <w:gridCol w:w="709"/>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1105" w:type="dxa"/>
            <w:gridSpan w:val="2"/>
            <w:vAlign w:val="center"/>
          </w:tcPr>
          <w:p>
            <w:pPr>
              <w:kinsoku w:val="0"/>
              <w:autoSpaceDE w:val="0"/>
              <w:autoSpaceDN w:val="0"/>
              <w:adjustRightInd w:val="0"/>
              <w:snapToGrid w:val="0"/>
              <w:spacing w:before="40" w:line="220" w:lineRule="auto"/>
              <w:ind w:left="84"/>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1"/>
                <w:kern w:val="0"/>
                <w:sz w:val="12"/>
                <w:szCs w:val="12"/>
                <w:lang w:val="en-US" w:eastAsia="en-US" w:bidi="ar-SA"/>
              </w:rPr>
              <w:t>专项</w:t>
            </w:r>
            <w:r>
              <w:rPr>
                <w:rFonts w:hint="eastAsia" w:ascii="Times New Roman" w:hAnsi="Times New Roman" w:eastAsia="宋体" w:cs="Times New Roman"/>
                <w:b/>
                <w:bCs/>
                <w:snapToGrid w:val="0"/>
                <w:color w:val="auto"/>
                <w:spacing w:val="-1"/>
                <w:kern w:val="0"/>
                <w:sz w:val="12"/>
                <w:szCs w:val="12"/>
                <w:lang w:val="en-US" w:eastAsia="zh-CN" w:bidi="ar-SA"/>
              </w:rPr>
              <w:t>（</w:t>
            </w:r>
            <w:r>
              <w:rPr>
                <w:rFonts w:hint="default" w:ascii="Times New Roman" w:hAnsi="Times New Roman" w:eastAsia="宋体" w:cs="Times New Roman"/>
                <w:b/>
                <w:bCs/>
                <w:snapToGrid w:val="0"/>
                <w:color w:val="auto"/>
                <w:spacing w:val="-1"/>
                <w:kern w:val="0"/>
                <w:sz w:val="12"/>
                <w:szCs w:val="12"/>
                <w:lang w:val="en-US" w:eastAsia="en-US" w:bidi="ar-SA"/>
              </w:rPr>
              <w:t>项目</w:t>
            </w:r>
            <w:r>
              <w:rPr>
                <w:rFonts w:hint="eastAsia" w:ascii="Times New Roman" w:hAnsi="Times New Roman" w:eastAsia="宋体" w:cs="Times New Roman"/>
                <w:b/>
                <w:bCs/>
                <w:snapToGrid w:val="0"/>
                <w:color w:val="auto"/>
                <w:spacing w:val="-1"/>
                <w:kern w:val="0"/>
                <w:sz w:val="12"/>
                <w:szCs w:val="12"/>
                <w:lang w:val="en-US" w:eastAsia="zh-CN" w:bidi="ar-SA"/>
              </w:rPr>
              <w:t>）</w:t>
            </w:r>
            <w:r>
              <w:rPr>
                <w:rFonts w:hint="default" w:ascii="Times New Roman" w:hAnsi="Times New Roman" w:eastAsia="宋体" w:cs="Times New Roman"/>
                <w:b/>
                <w:bCs/>
                <w:snapToGrid w:val="0"/>
                <w:color w:val="auto"/>
                <w:spacing w:val="-1"/>
                <w:kern w:val="0"/>
                <w:sz w:val="12"/>
                <w:szCs w:val="12"/>
                <w:lang w:val="en-US" w:eastAsia="en-US" w:bidi="ar-SA"/>
              </w:rPr>
              <w:t>名称</w:t>
            </w:r>
          </w:p>
        </w:tc>
        <w:tc>
          <w:tcPr>
            <w:tcW w:w="3128" w:type="dxa"/>
            <w:gridSpan w:val="6"/>
            <w:vAlign w:val="center"/>
          </w:tcPr>
          <w:p>
            <w:pPr>
              <w:kinsoku w:val="0"/>
              <w:autoSpaceDE w:val="0"/>
              <w:autoSpaceDN w:val="0"/>
              <w:adjustRightInd w:val="0"/>
              <w:snapToGrid w:val="0"/>
              <w:spacing w:before="40" w:line="219" w:lineRule="auto"/>
              <w:ind w:left="75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1"/>
                <w:kern w:val="0"/>
                <w:sz w:val="12"/>
                <w:szCs w:val="12"/>
                <w:lang w:val="en-US" w:eastAsia="en-US" w:bidi="ar-SA"/>
              </w:rPr>
              <w:t>农业防灾救灾和水利救灾资金</w:t>
            </w:r>
          </w:p>
        </w:tc>
        <w:tc>
          <w:tcPr>
            <w:tcW w:w="679" w:type="dxa"/>
            <w:vMerge w:val="restart"/>
            <w:tcBorders>
              <w:bottom w:val="nil"/>
            </w:tcBorders>
            <w:vAlign w:val="center"/>
          </w:tcPr>
          <w:p>
            <w:pPr>
              <w:kinsoku w:val="0"/>
              <w:autoSpaceDE w:val="0"/>
              <w:autoSpaceDN w:val="0"/>
              <w:adjustRightInd w:val="0"/>
              <w:snapToGrid w:val="0"/>
              <w:spacing w:before="154" w:line="224" w:lineRule="auto"/>
              <w:ind w:left="201"/>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全区</w:t>
            </w:r>
          </w:p>
        </w:tc>
        <w:tc>
          <w:tcPr>
            <w:tcW w:w="9833" w:type="dxa"/>
            <w:gridSpan w:val="14"/>
            <w:vAlign w:val="center"/>
          </w:tcPr>
          <w:p>
            <w:pPr>
              <w:kinsoku w:val="0"/>
              <w:autoSpaceDE w:val="0"/>
              <w:autoSpaceDN w:val="0"/>
              <w:adjustRightInd w:val="0"/>
              <w:snapToGrid w:val="0"/>
              <w:spacing w:before="39" w:line="219" w:lineRule="auto"/>
              <w:ind w:left="4783"/>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地州</w:t>
            </w:r>
          </w:p>
        </w:tc>
        <w:tc>
          <w:tcPr>
            <w:tcW w:w="744" w:type="dxa"/>
            <w:vMerge w:val="restart"/>
            <w:tcBorders>
              <w:bottom w:val="nil"/>
            </w:tcBorders>
            <w:vAlign w:val="center"/>
          </w:tcPr>
          <w:p>
            <w:pPr>
              <w:kinsoku w:val="0"/>
              <w:autoSpaceDE w:val="0"/>
              <w:autoSpaceDN w:val="0"/>
              <w:adjustRightInd w:val="0"/>
              <w:snapToGrid w:val="0"/>
              <w:spacing w:before="209" w:line="219" w:lineRule="auto"/>
              <w:ind w:left="40"/>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奋牧科学院</w:t>
            </w:r>
          </w:p>
          <w:p>
            <w:pPr>
              <w:kinsoku w:val="0"/>
              <w:autoSpaceDE w:val="0"/>
              <w:autoSpaceDN w:val="0"/>
              <w:adjustRightInd w:val="0"/>
              <w:snapToGrid w:val="0"/>
              <w:spacing w:before="16" w:line="214" w:lineRule="auto"/>
              <w:ind w:left="69"/>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4"/>
                <w:kern w:val="0"/>
                <w:sz w:val="12"/>
                <w:szCs w:val="12"/>
                <w:lang w:val="en-US" w:eastAsia="en-US" w:bidi="ar-SA"/>
              </w:rPr>
              <w:t>机关</w:t>
            </w:r>
            <w:r>
              <w:rPr>
                <w:rFonts w:hint="eastAsia" w:ascii="Times New Roman" w:hAnsi="Times New Roman" w:eastAsia="宋体" w:cs="Times New Roman"/>
                <w:snapToGrid w:val="0"/>
                <w:color w:val="auto"/>
                <w:spacing w:val="4"/>
                <w:kern w:val="0"/>
                <w:sz w:val="12"/>
                <w:szCs w:val="12"/>
                <w:lang w:val="en-US" w:eastAsia="zh-CN" w:bidi="ar-SA"/>
              </w:rPr>
              <w:t>（</w:t>
            </w:r>
            <w:r>
              <w:rPr>
                <w:rFonts w:hint="default" w:ascii="Times New Roman" w:hAnsi="Times New Roman" w:eastAsia="宋体" w:cs="Times New Roman"/>
                <w:snapToGrid w:val="0"/>
                <w:color w:val="auto"/>
                <w:spacing w:val="4"/>
                <w:kern w:val="0"/>
                <w:sz w:val="12"/>
                <w:szCs w:val="12"/>
                <w:lang w:val="en-US" w:eastAsia="en-US" w:bidi="ar-SA"/>
              </w:rPr>
              <w:t>南山</w:t>
            </w:r>
          </w:p>
          <w:p>
            <w:pPr>
              <w:kinsoku w:val="0"/>
              <w:autoSpaceDE w:val="0"/>
              <w:autoSpaceDN w:val="0"/>
              <w:adjustRightInd w:val="0"/>
              <w:snapToGrid w:val="0"/>
              <w:spacing w:line="220" w:lineRule="auto"/>
              <w:ind w:left="140"/>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5"/>
                <w:kern w:val="0"/>
                <w:sz w:val="12"/>
                <w:szCs w:val="12"/>
                <w:lang w:val="en-US" w:eastAsia="en-US" w:bidi="ar-SA"/>
              </w:rPr>
              <w:t>种羊场</w:t>
            </w:r>
            <w:r>
              <w:rPr>
                <w:rFonts w:hint="eastAsia" w:ascii="Times New Roman" w:hAnsi="Times New Roman" w:eastAsia="宋体" w:cs="Times New Roman"/>
                <w:snapToGrid w:val="0"/>
                <w:color w:val="auto"/>
                <w:spacing w:val="5"/>
                <w:kern w:val="0"/>
                <w:sz w:val="12"/>
                <w:szCs w:val="12"/>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1105" w:type="dxa"/>
            <w:gridSpan w:val="2"/>
            <w:vAlign w:val="center"/>
          </w:tcPr>
          <w:p>
            <w:pPr>
              <w:kinsoku w:val="0"/>
              <w:autoSpaceDE w:val="0"/>
              <w:autoSpaceDN w:val="0"/>
              <w:adjustRightInd w:val="0"/>
              <w:snapToGrid w:val="0"/>
              <w:spacing w:before="35" w:line="219" w:lineRule="auto"/>
              <w:ind w:left="155"/>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中央主管部门</w:t>
            </w:r>
          </w:p>
        </w:tc>
        <w:tc>
          <w:tcPr>
            <w:tcW w:w="920" w:type="dxa"/>
            <w:gridSpan w:val="2"/>
            <w:vAlign w:val="center"/>
          </w:tcPr>
          <w:p>
            <w:pPr>
              <w:kinsoku w:val="0"/>
              <w:autoSpaceDE w:val="0"/>
              <w:autoSpaceDN w:val="0"/>
              <w:adjustRightInd w:val="0"/>
              <w:snapToGrid w:val="0"/>
              <w:spacing w:before="34" w:line="219" w:lineRule="auto"/>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农业农村部</w:t>
            </w:r>
          </w:p>
        </w:tc>
        <w:tc>
          <w:tcPr>
            <w:tcW w:w="979" w:type="dxa"/>
            <w:gridSpan w:val="2"/>
            <w:vAlign w:val="center"/>
          </w:tcPr>
          <w:p>
            <w:pPr>
              <w:kinsoku w:val="0"/>
              <w:autoSpaceDE w:val="0"/>
              <w:autoSpaceDN w:val="0"/>
              <w:adjustRightInd w:val="0"/>
              <w:snapToGrid w:val="0"/>
              <w:spacing w:before="35" w:line="219" w:lineRule="auto"/>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专项实施期</w:t>
            </w:r>
          </w:p>
        </w:tc>
        <w:tc>
          <w:tcPr>
            <w:tcW w:w="1229" w:type="dxa"/>
            <w:gridSpan w:val="2"/>
            <w:vAlign w:val="center"/>
          </w:tcPr>
          <w:p>
            <w:pPr>
              <w:kinsoku w:val="0"/>
              <w:autoSpaceDE w:val="0"/>
              <w:autoSpaceDN w:val="0"/>
              <w:adjustRightInd w:val="0"/>
              <w:snapToGrid w:val="0"/>
              <w:spacing w:before="35" w:line="219" w:lineRule="auto"/>
              <w:ind w:left="471"/>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长期</w:t>
            </w:r>
          </w:p>
        </w:tc>
        <w:tc>
          <w:tcPr>
            <w:tcW w:w="679" w:type="dxa"/>
            <w:vMerge w:val="continue"/>
            <w:tcBorders>
              <w:top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kinsoku w:val="0"/>
              <w:autoSpaceDE w:val="0"/>
              <w:autoSpaceDN w:val="0"/>
              <w:adjustRightInd w:val="0"/>
              <w:snapToGrid w:val="0"/>
              <w:spacing w:before="35" w:line="219" w:lineRule="auto"/>
              <w:ind w:left="12"/>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乌鲁木齐市</w:t>
            </w:r>
          </w:p>
        </w:tc>
        <w:tc>
          <w:tcPr>
            <w:tcW w:w="699" w:type="dxa"/>
            <w:vAlign w:val="center"/>
          </w:tcPr>
          <w:p>
            <w:pPr>
              <w:kinsoku w:val="0"/>
              <w:autoSpaceDE w:val="0"/>
              <w:autoSpaceDN w:val="0"/>
              <w:adjustRightInd w:val="0"/>
              <w:snapToGrid w:val="0"/>
              <w:spacing w:before="34" w:line="219" w:lineRule="auto"/>
              <w:ind w:left="143"/>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伊犁州</w:t>
            </w:r>
          </w:p>
        </w:tc>
        <w:tc>
          <w:tcPr>
            <w:tcW w:w="710" w:type="dxa"/>
            <w:vAlign w:val="center"/>
          </w:tcPr>
          <w:p>
            <w:pPr>
              <w:kinsoku w:val="0"/>
              <w:autoSpaceDE w:val="0"/>
              <w:autoSpaceDN w:val="0"/>
              <w:adjustRightInd w:val="0"/>
              <w:snapToGrid w:val="0"/>
              <w:spacing w:before="35" w:line="219" w:lineRule="auto"/>
              <w:ind w:left="84"/>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塔城地区</w:t>
            </w:r>
          </w:p>
        </w:tc>
        <w:tc>
          <w:tcPr>
            <w:tcW w:w="699" w:type="dxa"/>
            <w:vAlign w:val="center"/>
          </w:tcPr>
          <w:p>
            <w:pPr>
              <w:kinsoku w:val="0"/>
              <w:autoSpaceDE w:val="0"/>
              <w:autoSpaceDN w:val="0"/>
              <w:adjustRightInd w:val="0"/>
              <w:snapToGrid w:val="0"/>
              <w:spacing w:before="34" w:line="219" w:lineRule="auto"/>
              <w:ind w:left="14"/>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阿勒泰地区</w:t>
            </w:r>
          </w:p>
        </w:tc>
        <w:tc>
          <w:tcPr>
            <w:tcW w:w="700" w:type="dxa"/>
            <w:vAlign w:val="center"/>
          </w:tcPr>
          <w:p>
            <w:pPr>
              <w:kinsoku w:val="0"/>
              <w:autoSpaceDE w:val="0"/>
              <w:autoSpaceDN w:val="0"/>
              <w:adjustRightInd w:val="0"/>
              <w:snapToGrid w:val="0"/>
              <w:spacing w:before="34" w:line="219" w:lineRule="auto"/>
              <w:ind w:left="14"/>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克拉玛依市</w:t>
            </w:r>
          </w:p>
        </w:tc>
        <w:tc>
          <w:tcPr>
            <w:tcW w:w="699" w:type="dxa"/>
            <w:vAlign w:val="center"/>
          </w:tcPr>
          <w:p>
            <w:pPr>
              <w:kinsoku w:val="0"/>
              <w:autoSpaceDE w:val="0"/>
              <w:autoSpaceDN w:val="0"/>
              <w:adjustRightInd w:val="0"/>
              <w:snapToGrid w:val="0"/>
              <w:spacing w:before="34" w:line="219" w:lineRule="auto"/>
              <w:ind w:left="215"/>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7"/>
                <w:kern w:val="0"/>
                <w:sz w:val="12"/>
                <w:szCs w:val="12"/>
                <w:lang w:val="en-US" w:eastAsia="en-US" w:bidi="ar-SA"/>
              </w:rPr>
              <w:t>博州</w:t>
            </w:r>
          </w:p>
        </w:tc>
        <w:tc>
          <w:tcPr>
            <w:tcW w:w="700" w:type="dxa"/>
            <w:vAlign w:val="center"/>
          </w:tcPr>
          <w:p>
            <w:pPr>
              <w:kinsoku w:val="0"/>
              <w:autoSpaceDE w:val="0"/>
              <w:autoSpaceDN w:val="0"/>
              <w:adjustRightInd w:val="0"/>
              <w:snapToGrid w:val="0"/>
              <w:spacing w:before="34" w:line="219" w:lineRule="auto"/>
              <w:ind w:left="145"/>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4"/>
                <w:kern w:val="0"/>
                <w:sz w:val="12"/>
                <w:szCs w:val="12"/>
                <w:lang w:val="en-US" w:eastAsia="en-US" w:bidi="ar-SA"/>
              </w:rPr>
              <w:t>昌古州</w:t>
            </w:r>
          </w:p>
        </w:tc>
        <w:tc>
          <w:tcPr>
            <w:tcW w:w="700" w:type="dxa"/>
            <w:vAlign w:val="center"/>
          </w:tcPr>
          <w:p>
            <w:pPr>
              <w:kinsoku w:val="0"/>
              <w:autoSpaceDE w:val="0"/>
              <w:autoSpaceDN w:val="0"/>
              <w:adjustRightInd w:val="0"/>
              <w:snapToGrid w:val="0"/>
              <w:spacing w:before="35" w:line="219" w:lineRule="auto"/>
              <w:ind w:left="146"/>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哈密市</w:t>
            </w:r>
          </w:p>
        </w:tc>
        <w:tc>
          <w:tcPr>
            <w:tcW w:w="709" w:type="dxa"/>
            <w:vAlign w:val="center"/>
          </w:tcPr>
          <w:p>
            <w:pPr>
              <w:kinsoku w:val="0"/>
              <w:autoSpaceDE w:val="0"/>
              <w:autoSpaceDN w:val="0"/>
              <w:adjustRightInd w:val="0"/>
              <w:snapToGrid w:val="0"/>
              <w:spacing w:before="35" w:line="219" w:lineRule="auto"/>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吐鲁番市</w:t>
            </w:r>
          </w:p>
        </w:tc>
        <w:tc>
          <w:tcPr>
            <w:tcW w:w="709" w:type="dxa"/>
            <w:vAlign w:val="center"/>
          </w:tcPr>
          <w:p>
            <w:pPr>
              <w:kinsoku w:val="0"/>
              <w:autoSpaceDE w:val="0"/>
              <w:autoSpaceDN w:val="0"/>
              <w:adjustRightInd w:val="0"/>
              <w:snapToGrid w:val="0"/>
              <w:spacing w:before="34" w:line="219" w:lineRule="auto"/>
              <w:ind w:left="216"/>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0"/>
                <w:kern w:val="0"/>
                <w:sz w:val="12"/>
                <w:szCs w:val="12"/>
                <w:lang w:val="en-US" w:eastAsia="en-US" w:bidi="ar-SA"/>
              </w:rPr>
              <w:t>巴州</w:t>
            </w:r>
          </w:p>
        </w:tc>
        <w:tc>
          <w:tcPr>
            <w:tcW w:w="700" w:type="dxa"/>
            <w:vAlign w:val="center"/>
          </w:tcPr>
          <w:p>
            <w:pPr>
              <w:kinsoku w:val="0"/>
              <w:autoSpaceDE w:val="0"/>
              <w:autoSpaceDN w:val="0"/>
              <w:adjustRightInd w:val="0"/>
              <w:snapToGrid w:val="0"/>
              <w:spacing w:before="35" w:line="219" w:lineRule="auto"/>
              <w:ind w:left="17"/>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阿克苏地区</w:t>
            </w:r>
          </w:p>
        </w:tc>
        <w:tc>
          <w:tcPr>
            <w:tcW w:w="699" w:type="dxa"/>
            <w:vAlign w:val="center"/>
          </w:tcPr>
          <w:p>
            <w:pPr>
              <w:kinsoku w:val="0"/>
              <w:autoSpaceDE w:val="0"/>
              <w:autoSpaceDN w:val="0"/>
              <w:adjustRightInd w:val="0"/>
              <w:snapToGrid w:val="0"/>
              <w:spacing w:before="34" w:line="219" w:lineRule="auto"/>
              <w:ind w:left="218"/>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7"/>
                <w:kern w:val="0"/>
                <w:sz w:val="12"/>
                <w:szCs w:val="12"/>
                <w:lang w:val="en-US" w:eastAsia="en-US" w:bidi="ar-SA"/>
              </w:rPr>
              <w:t>克州</w:t>
            </w:r>
          </w:p>
        </w:tc>
        <w:tc>
          <w:tcPr>
            <w:tcW w:w="700" w:type="dxa"/>
            <w:vAlign w:val="center"/>
          </w:tcPr>
          <w:p>
            <w:pPr>
              <w:kinsoku w:val="0"/>
              <w:autoSpaceDE w:val="0"/>
              <w:autoSpaceDN w:val="0"/>
              <w:adjustRightInd w:val="0"/>
              <w:snapToGrid w:val="0"/>
              <w:spacing w:before="35" w:line="219" w:lineRule="auto"/>
              <w:ind w:left="89"/>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喀什地区</w:t>
            </w:r>
          </w:p>
        </w:tc>
        <w:tc>
          <w:tcPr>
            <w:tcW w:w="709" w:type="dxa"/>
            <w:vAlign w:val="center"/>
          </w:tcPr>
          <w:p>
            <w:pPr>
              <w:kinsoku w:val="0"/>
              <w:autoSpaceDE w:val="0"/>
              <w:autoSpaceDN w:val="0"/>
              <w:adjustRightInd w:val="0"/>
              <w:snapToGrid w:val="0"/>
              <w:spacing w:before="37" w:line="217" w:lineRule="auto"/>
              <w:ind w:left="88"/>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和田地区</w:t>
            </w:r>
          </w:p>
        </w:tc>
        <w:tc>
          <w:tcPr>
            <w:tcW w:w="744" w:type="dxa"/>
            <w:vMerge w:val="continue"/>
            <w:tcBorders>
              <w:top w:val="nil"/>
              <w:bottom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1105" w:type="dxa"/>
            <w:gridSpan w:val="2"/>
            <w:vAlign w:val="center"/>
          </w:tcPr>
          <w:p>
            <w:pPr>
              <w:kinsoku w:val="0"/>
              <w:autoSpaceDE w:val="0"/>
              <w:autoSpaceDN w:val="0"/>
              <w:adjustRightInd w:val="0"/>
              <w:snapToGrid w:val="0"/>
              <w:spacing w:before="145" w:line="219" w:lineRule="auto"/>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省级财政部门</w:t>
            </w:r>
          </w:p>
        </w:tc>
        <w:tc>
          <w:tcPr>
            <w:tcW w:w="920" w:type="dxa"/>
            <w:gridSpan w:val="2"/>
            <w:vAlign w:val="center"/>
          </w:tcPr>
          <w:p>
            <w:pPr>
              <w:kinsoku w:val="0"/>
              <w:autoSpaceDE w:val="0"/>
              <w:autoSpaceDN w:val="0"/>
              <w:adjustRightInd w:val="0"/>
              <w:snapToGrid w:val="0"/>
              <w:spacing w:before="96" w:line="224" w:lineRule="auto"/>
              <w:ind w:left="188" w:hanging="178"/>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新疆维吾尔自治</w:t>
            </w:r>
            <w:r>
              <w:rPr>
                <w:rFonts w:hint="default" w:ascii="Times New Roman" w:hAnsi="Times New Roman" w:eastAsia="宋体" w:cs="Times New Roman"/>
                <w:snapToGrid w:val="0"/>
                <w:color w:val="auto"/>
                <w:spacing w:val="2"/>
                <w:kern w:val="0"/>
                <w:sz w:val="12"/>
                <w:szCs w:val="12"/>
                <w:lang w:val="en-US" w:eastAsia="en-US" w:bidi="ar-SA"/>
              </w:rPr>
              <w:t xml:space="preserve"> </w:t>
            </w:r>
            <w:r>
              <w:rPr>
                <w:rFonts w:hint="default" w:ascii="Times New Roman" w:hAnsi="Times New Roman" w:eastAsia="宋体" w:cs="Times New Roman"/>
                <w:snapToGrid w:val="0"/>
                <w:color w:val="auto"/>
                <w:spacing w:val="1"/>
                <w:kern w:val="0"/>
                <w:sz w:val="12"/>
                <w:szCs w:val="12"/>
                <w:lang w:val="en-US" w:eastAsia="en-US" w:bidi="ar-SA"/>
              </w:rPr>
              <w:t>区财政厅</w:t>
            </w:r>
          </w:p>
        </w:tc>
        <w:tc>
          <w:tcPr>
            <w:tcW w:w="979" w:type="dxa"/>
            <w:gridSpan w:val="2"/>
            <w:vAlign w:val="center"/>
          </w:tcPr>
          <w:p>
            <w:pPr>
              <w:kinsoku w:val="0"/>
              <w:autoSpaceDE w:val="0"/>
              <w:autoSpaceDN w:val="0"/>
              <w:adjustRightInd w:val="0"/>
              <w:snapToGrid w:val="0"/>
              <w:spacing w:before="145" w:line="219" w:lineRule="auto"/>
              <w:ind w:left="89"/>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省级主管部门</w:t>
            </w:r>
          </w:p>
        </w:tc>
        <w:tc>
          <w:tcPr>
            <w:tcW w:w="1229" w:type="dxa"/>
            <w:gridSpan w:val="2"/>
            <w:vAlign w:val="center"/>
          </w:tcPr>
          <w:p>
            <w:pPr>
              <w:kinsoku w:val="0"/>
              <w:autoSpaceDE w:val="0"/>
              <w:autoSpaceDN w:val="0"/>
              <w:adjustRightInd w:val="0"/>
              <w:snapToGrid w:val="0"/>
              <w:spacing w:before="85" w:line="215" w:lineRule="auto"/>
              <w:ind w:left="339" w:right="33" w:hanging="31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新疆维吾尔自治区农</w:t>
            </w:r>
            <w:r>
              <w:rPr>
                <w:rFonts w:hint="default" w:ascii="Times New Roman" w:hAnsi="Times New Roman" w:eastAsia="宋体" w:cs="Times New Roman"/>
                <w:snapToGrid w:val="0"/>
                <w:color w:val="auto"/>
                <w:spacing w:val="2"/>
                <w:kern w:val="0"/>
                <w:sz w:val="12"/>
                <w:szCs w:val="12"/>
                <w:lang w:val="en-US" w:eastAsia="en-US" w:bidi="ar-SA"/>
              </w:rPr>
              <w:t xml:space="preserve"> </w:t>
            </w:r>
            <w:r>
              <w:rPr>
                <w:rFonts w:hint="default" w:ascii="Times New Roman" w:hAnsi="Times New Roman" w:eastAsia="宋体" w:cs="Times New Roman"/>
                <w:snapToGrid w:val="0"/>
                <w:color w:val="auto"/>
                <w:spacing w:val="-1"/>
                <w:kern w:val="0"/>
                <w:sz w:val="12"/>
                <w:szCs w:val="12"/>
                <w:lang w:val="en-US" w:eastAsia="en-US" w:bidi="ar-SA"/>
              </w:rPr>
              <w:t>业农村厅</w:t>
            </w:r>
          </w:p>
        </w:tc>
        <w:tc>
          <w:tcPr>
            <w:tcW w:w="679" w:type="dxa"/>
            <w:vAlign w:val="center"/>
          </w:tcPr>
          <w:p>
            <w:pPr>
              <w:kinsoku w:val="0"/>
              <w:autoSpaceDE w:val="0"/>
              <w:autoSpaceDN w:val="0"/>
              <w:adjustRightInd w:val="0"/>
              <w:snapToGrid w:val="0"/>
              <w:spacing w:before="146" w:line="221" w:lineRule="auto"/>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合计</w:t>
            </w:r>
          </w:p>
        </w:tc>
        <w:tc>
          <w:tcPr>
            <w:tcW w:w="9833" w:type="dxa"/>
            <w:gridSpan w:val="14"/>
            <w:vAlign w:val="center"/>
          </w:tcPr>
          <w:p>
            <w:pPr>
              <w:kinsoku w:val="0"/>
              <w:autoSpaceDE w:val="0"/>
              <w:autoSpaceDN w:val="0"/>
              <w:adjustRightInd w:val="0"/>
              <w:snapToGrid w:val="0"/>
              <w:spacing w:before="144" w:line="219" w:lineRule="auto"/>
              <w:ind w:left="3612"/>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各地州市：财政局、农业农村局</w:t>
            </w:r>
            <w:r>
              <w:rPr>
                <w:rFonts w:hint="eastAsia" w:ascii="Times New Roman" w:hAnsi="Times New Roman" w:eastAsia="宋体" w:cs="Times New Roman"/>
                <w:snapToGrid w:val="0"/>
                <w:color w:val="auto"/>
                <w:spacing w:val="1"/>
                <w:kern w:val="0"/>
                <w:sz w:val="12"/>
                <w:szCs w:val="12"/>
                <w:lang w:val="en-US" w:eastAsia="zh-CN" w:bidi="ar-SA"/>
              </w:rPr>
              <w:t>（</w:t>
            </w:r>
            <w:r>
              <w:rPr>
                <w:rFonts w:hint="default" w:ascii="Times New Roman" w:hAnsi="Times New Roman" w:eastAsia="宋体" w:cs="Times New Roman"/>
                <w:snapToGrid w:val="0"/>
                <w:color w:val="auto"/>
                <w:spacing w:val="1"/>
                <w:kern w:val="0"/>
                <w:sz w:val="12"/>
                <w:szCs w:val="12"/>
                <w:lang w:val="en-US" w:eastAsia="en-US" w:bidi="ar-SA"/>
              </w:rPr>
              <w:t>畜牧兽医局</w:t>
            </w:r>
            <w:r>
              <w:rPr>
                <w:rFonts w:hint="eastAsia" w:ascii="Times New Roman" w:hAnsi="Times New Roman" w:eastAsia="宋体" w:cs="Times New Roman"/>
                <w:snapToGrid w:val="0"/>
                <w:color w:val="auto"/>
                <w:spacing w:val="1"/>
                <w:kern w:val="0"/>
                <w:sz w:val="12"/>
                <w:szCs w:val="12"/>
                <w:lang w:val="en-US" w:eastAsia="zh-CN" w:bidi="ar-SA"/>
              </w:rPr>
              <w:t>）</w:t>
            </w:r>
          </w:p>
        </w:tc>
        <w:tc>
          <w:tcPr>
            <w:tcW w:w="744" w:type="dxa"/>
            <w:vMerge w:val="continue"/>
            <w:tcBorders>
              <w:top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restart"/>
            <w:tcBorders>
              <w:bottom w:val="nil"/>
            </w:tcBorders>
            <w:vAlign w:val="center"/>
          </w:tcPr>
          <w:p>
            <w:pPr>
              <w:kinsoku w:val="0"/>
              <w:autoSpaceDE w:val="0"/>
              <w:autoSpaceDN w:val="0"/>
              <w:adjustRightInd w:val="0"/>
              <w:snapToGrid w:val="0"/>
              <w:spacing w:before="256" w:line="213" w:lineRule="auto"/>
              <w:ind w:left="45"/>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资金情况</w:t>
            </w:r>
          </w:p>
          <w:p>
            <w:pPr>
              <w:kinsoku w:val="0"/>
              <w:autoSpaceDE w:val="0"/>
              <w:autoSpaceDN w:val="0"/>
              <w:adjustRightInd w:val="0"/>
              <w:snapToGrid w:val="0"/>
              <w:spacing w:line="220" w:lineRule="auto"/>
              <w:ind w:left="114"/>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eastAsia" w:ascii="Times New Roman" w:hAnsi="Times New Roman" w:eastAsia="宋体" w:cs="Times New Roman"/>
                <w:b/>
                <w:bCs/>
                <w:snapToGrid w:val="0"/>
                <w:color w:val="auto"/>
                <w:spacing w:val="7"/>
                <w:kern w:val="0"/>
                <w:sz w:val="12"/>
                <w:szCs w:val="12"/>
                <w:lang w:val="en-US" w:eastAsia="zh-CN" w:bidi="ar-SA"/>
              </w:rPr>
              <w:t>（</w:t>
            </w:r>
            <w:r>
              <w:rPr>
                <w:rFonts w:hint="default" w:ascii="Times New Roman" w:hAnsi="Times New Roman" w:eastAsia="宋体" w:cs="Times New Roman"/>
                <w:b/>
                <w:bCs/>
                <w:snapToGrid w:val="0"/>
                <w:color w:val="auto"/>
                <w:spacing w:val="7"/>
                <w:kern w:val="0"/>
                <w:sz w:val="12"/>
                <w:szCs w:val="12"/>
                <w:lang w:val="en-US" w:eastAsia="en-US" w:bidi="ar-SA"/>
              </w:rPr>
              <w:t>万元</w:t>
            </w:r>
            <w:r>
              <w:rPr>
                <w:rFonts w:hint="eastAsia" w:ascii="Times New Roman" w:hAnsi="Times New Roman" w:eastAsia="宋体" w:cs="Times New Roman"/>
                <w:b/>
                <w:bCs/>
                <w:snapToGrid w:val="0"/>
                <w:color w:val="auto"/>
                <w:spacing w:val="7"/>
                <w:kern w:val="0"/>
                <w:sz w:val="12"/>
                <w:szCs w:val="12"/>
                <w:lang w:val="en-US" w:eastAsia="zh-CN" w:bidi="ar-SA"/>
              </w:rPr>
              <w:t>）</w:t>
            </w:r>
          </w:p>
        </w:tc>
        <w:tc>
          <w:tcPr>
            <w:tcW w:w="930" w:type="dxa"/>
            <w:gridSpan w:val="2"/>
            <w:vAlign w:val="center"/>
          </w:tcPr>
          <w:p>
            <w:pPr>
              <w:kinsoku w:val="0"/>
              <w:autoSpaceDE w:val="0"/>
              <w:autoSpaceDN w:val="0"/>
              <w:adjustRightInd w:val="0"/>
              <w:snapToGrid w:val="0"/>
              <w:spacing w:before="56" w:line="219" w:lineRule="auto"/>
              <w:ind w:left="59"/>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年度金额总额</w:t>
            </w:r>
          </w:p>
        </w:tc>
        <w:tc>
          <w:tcPr>
            <w:tcW w:w="2678" w:type="dxa"/>
            <w:gridSpan w:val="5"/>
            <w:vAlign w:val="center"/>
          </w:tcPr>
          <w:p>
            <w:pPr>
              <w:kinsoku w:val="0"/>
              <w:autoSpaceDE w:val="0"/>
              <w:autoSpaceDN w:val="0"/>
              <w:adjustRightInd w:val="0"/>
              <w:snapToGrid w:val="0"/>
              <w:spacing w:before="89" w:line="183" w:lineRule="auto"/>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9620</w:t>
            </w:r>
          </w:p>
        </w:tc>
        <w:tc>
          <w:tcPr>
            <w:tcW w:w="679" w:type="dxa"/>
            <w:vAlign w:val="center"/>
          </w:tcPr>
          <w:p>
            <w:pPr>
              <w:kinsoku w:val="0"/>
              <w:autoSpaceDE w:val="0"/>
              <w:autoSpaceDN w:val="0"/>
              <w:adjustRightInd w:val="0"/>
              <w:snapToGrid w:val="0"/>
              <w:spacing w:before="89" w:line="183" w:lineRule="auto"/>
              <w:ind w:left="201"/>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9620</w:t>
            </w:r>
          </w:p>
        </w:tc>
        <w:tc>
          <w:tcPr>
            <w:tcW w:w="700" w:type="dxa"/>
            <w:vAlign w:val="center"/>
          </w:tcPr>
          <w:p>
            <w:pPr>
              <w:kinsoku w:val="0"/>
              <w:autoSpaceDE w:val="0"/>
              <w:autoSpaceDN w:val="0"/>
              <w:adjustRightInd w:val="0"/>
              <w:snapToGrid w:val="0"/>
              <w:spacing w:before="89" w:line="184" w:lineRule="auto"/>
              <w:ind w:left="243"/>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4"/>
                <w:kern w:val="0"/>
                <w:sz w:val="12"/>
                <w:szCs w:val="12"/>
                <w:lang w:val="en-US" w:eastAsia="en-US" w:bidi="ar-SA"/>
              </w:rPr>
              <w:t>128</w:t>
            </w:r>
          </w:p>
        </w:tc>
        <w:tc>
          <w:tcPr>
            <w:tcW w:w="699" w:type="dxa"/>
            <w:vAlign w:val="center"/>
          </w:tcPr>
          <w:p>
            <w:pPr>
              <w:kinsoku w:val="0"/>
              <w:autoSpaceDE w:val="0"/>
              <w:autoSpaceDN w:val="0"/>
              <w:adjustRightInd w:val="0"/>
              <w:snapToGrid w:val="0"/>
              <w:spacing w:before="89" w:line="184" w:lineRule="auto"/>
              <w:ind w:left="213"/>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1624</w:t>
            </w:r>
          </w:p>
        </w:tc>
        <w:tc>
          <w:tcPr>
            <w:tcW w:w="710" w:type="dxa"/>
            <w:vAlign w:val="center"/>
          </w:tcPr>
          <w:p>
            <w:pPr>
              <w:kinsoku w:val="0"/>
              <w:autoSpaceDE w:val="0"/>
              <w:autoSpaceDN w:val="0"/>
              <w:adjustRightInd w:val="0"/>
              <w:snapToGrid w:val="0"/>
              <w:spacing w:before="89" w:line="183" w:lineRule="auto"/>
              <w:ind w:left="184"/>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779.5</w:t>
            </w:r>
          </w:p>
        </w:tc>
        <w:tc>
          <w:tcPr>
            <w:tcW w:w="699" w:type="dxa"/>
            <w:vAlign w:val="center"/>
          </w:tcPr>
          <w:p>
            <w:pPr>
              <w:kinsoku w:val="0"/>
              <w:autoSpaceDE w:val="0"/>
              <w:autoSpaceDN w:val="0"/>
              <w:adjustRightInd w:val="0"/>
              <w:snapToGrid w:val="0"/>
              <w:spacing w:before="89" w:line="184" w:lineRule="auto"/>
              <w:ind w:left="243"/>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910</w:t>
            </w:r>
          </w:p>
        </w:tc>
        <w:tc>
          <w:tcPr>
            <w:tcW w:w="700" w:type="dxa"/>
            <w:vAlign w:val="center"/>
          </w:tcPr>
          <w:p>
            <w:pPr>
              <w:kinsoku w:val="0"/>
              <w:autoSpaceDE w:val="0"/>
              <w:autoSpaceDN w:val="0"/>
              <w:adjustRightInd w:val="0"/>
              <w:snapToGrid w:val="0"/>
              <w:spacing w:before="89" w:line="183" w:lineRule="auto"/>
              <w:ind w:left="214"/>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45.5</w:t>
            </w:r>
          </w:p>
        </w:tc>
        <w:tc>
          <w:tcPr>
            <w:tcW w:w="699" w:type="dxa"/>
            <w:vAlign w:val="center"/>
          </w:tcPr>
          <w:p>
            <w:pPr>
              <w:kinsoku w:val="0"/>
              <w:autoSpaceDE w:val="0"/>
              <w:autoSpaceDN w:val="0"/>
              <w:adjustRightInd w:val="0"/>
              <w:snapToGrid w:val="0"/>
              <w:spacing w:before="89" w:line="183" w:lineRule="auto"/>
              <w:ind w:left="245"/>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368</w:t>
            </w:r>
          </w:p>
        </w:tc>
        <w:tc>
          <w:tcPr>
            <w:tcW w:w="700" w:type="dxa"/>
            <w:vAlign w:val="center"/>
          </w:tcPr>
          <w:p>
            <w:pPr>
              <w:kinsoku w:val="0"/>
              <w:autoSpaceDE w:val="0"/>
              <w:autoSpaceDN w:val="0"/>
              <w:adjustRightInd w:val="0"/>
              <w:snapToGrid w:val="0"/>
              <w:spacing w:before="89" w:line="183" w:lineRule="auto"/>
              <w:ind w:left="245"/>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506</w:t>
            </w:r>
          </w:p>
        </w:tc>
        <w:tc>
          <w:tcPr>
            <w:tcW w:w="700" w:type="dxa"/>
            <w:vAlign w:val="center"/>
          </w:tcPr>
          <w:p>
            <w:pPr>
              <w:kinsoku w:val="0"/>
              <w:autoSpaceDE w:val="0"/>
              <w:autoSpaceDN w:val="0"/>
              <w:adjustRightInd w:val="0"/>
              <w:snapToGrid w:val="0"/>
              <w:spacing w:before="89" w:line="184" w:lineRule="auto"/>
              <w:ind w:left="246"/>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4"/>
                <w:kern w:val="0"/>
                <w:sz w:val="12"/>
                <w:szCs w:val="12"/>
                <w:lang w:val="en-US" w:eastAsia="en-US" w:bidi="ar-SA"/>
              </w:rPr>
              <w:t>180</w:t>
            </w:r>
          </w:p>
        </w:tc>
        <w:tc>
          <w:tcPr>
            <w:tcW w:w="709" w:type="dxa"/>
            <w:vAlign w:val="center"/>
          </w:tcPr>
          <w:p>
            <w:pPr>
              <w:kinsoku w:val="0"/>
              <w:autoSpaceDE w:val="0"/>
              <w:autoSpaceDN w:val="0"/>
              <w:adjustRightInd w:val="0"/>
              <w:snapToGrid w:val="0"/>
              <w:spacing w:before="89" w:line="184" w:lineRule="auto"/>
              <w:ind w:left="246"/>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4"/>
                <w:kern w:val="0"/>
                <w:sz w:val="12"/>
                <w:szCs w:val="12"/>
                <w:lang w:val="en-US" w:eastAsia="en-US" w:bidi="ar-SA"/>
              </w:rPr>
              <w:t>114</w:t>
            </w:r>
          </w:p>
        </w:tc>
        <w:tc>
          <w:tcPr>
            <w:tcW w:w="709" w:type="dxa"/>
            <w:vAlign w:val="center"/>
          </w:tcPr>
          <w:p>
            <w:pPr>
              <w:kinsoku w:val="0"/>
              <w:autoSpaceDE w:val="0"/>
              <w:autoSpaceDN w:val="0"/>
              <w:adjustRightInd w:val="0"/>
              <w:snapToGrid w:val="0"/>
              <w:spacing w:before="89" w:line="183" w:lineRule="auto"/>
              <w:ind w:left="247"/>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677</w:t>
            </w:r>
          </w:p>
        </w:tc>
        <w:tc>
          <w:tcPr>
            <w:tcW w:w="700" w:type="dxa"/>
            <w:vAlign w:val="center"/>
          </w:tcPr>
          <w:p>
            <w:pPr>
              <w:kinsoku w:val="0"/>
              <w:autoSpaceDE w:val="0"/>
              <w:autoSpaceDN w:val="0"/>
              <w:adjustRightInd w:val="0"/>
              <w:snapToGrid w:val="0"/>
              <w:spacing w:before="89" w:line="184" w:lineRule="auto"/>
              <w:ind w:left="217"/>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1146</w:t>
            </w:r>
          </w:p>
        </w:tc>
        <w:tc>
          <w:tcPr>
            <w:tcW w:w="699" w:type="dxa"/>
            <w:vAlign w:val="center"/>
          </w:tcPr>
          <w:p>
            <w:pPr>
              <w:kinsoku w:val="0"/>
              <w:autoSpaceDE w:val="0"/>
              <w:autoSpaceDN w:val="0"/>
              <w:adjustRightInd w:val="0"/>
              <w:snapToGrid w:val="0"/>
              <w:spacing w:before="89" w:line="184" w:lineRule="auto"/>
              <w:ind w:left="248"/>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819</w:t>
            </w:r>
          </w:p>
        </w:tc>
        <w:tc>
          <w:tcPr>
            <w:tcW w:w="700" w:type="dxa"/>
            <w:vAlign w:val="center"/>
          </w:tcPr>
          <w:p>
            <w:pPr>
              <w:kinsoku w:val="0"/>
              <w:autoSpaceDE w:val="0"/>
              <w:autoSpaceDN w:val="0"/>
              <w:adjustRightInd w:val="0"/>
              <w:snapToGrid w:val="0"/>
              <w:spacing w:before="89" w:line="184" w:lineRule="auto"/>
              <w:ind w:left="21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1467</w:t>
            </w:r>
          </w:p>
        </w:tc>
        <w:tc>
          <w:tcPr>
            <w:tcW w:w="709" w:type="dxa"/>
            <w:vAlign w:val="center"/>
          </w:tcPr>
          <w:p>
            <w:pPr>
              <w:kinsoku w:val="0"/>
              <w:autoSpaceDE w:val="0"/>
              <w:autoSpaceDN w:val="0"/>
              <w:adjustRightInd w:val="0"/>
              <w:snapToGrid w:val="0"/>
              <w:spacing w:before="89" w:line="183" w:lineRule="auto"/>
              <w:ind w:left="24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826</w:t>
            </w:r>
          </w:p>
        </w:tc>
        <w:tc>
          <w:tcPr>
            <w:tcW w:w="744" w:type="dxa"/>
            <w:vAlign w:val="center"/>
          </w:tcPr>
          <w:p>
            <w:pPr>
              <w:kinsoku w:val="0"/>
              <w:autoSpaceDE w:val="0"/>
              <w:autoSpaceDN w:val="0"/>
              <w:adjustRightInd w:val="0"/>
              <w:snapToGrid w:val="0"/>
              <w:spacing w:before="89" w:line="183" w:lineRule="auto"/>
              <w:ind w:left="29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bottom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Align w:val="center"/>
          </w:tcPr>
          <w:p>
            <w:pPr>
              <w:kinsoku w:val="0"/>
              <w:autoSpaceDE w:val="0"/>
              <w:autoSpaceDN w:val="0"/>
              <w:adjustRightInd w:val="0"/>
              <w:snapToGrid w:val="0"/>
              <w:spacing w:before="56" w:line="220" w:lineRule="auto"/>
              <w:ind w:left="9"/>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其中：中央补助</w:t>
            </w:r>
          </w:p>
        </w:tc>
        <w:tc>
          <w:tcPr>
            <w:tcW w:w="2678" w:type="dxa"/>
            <w:gridSpan w:val="5"/>
            <w:vAlign w:val="center"/>
          </w:tcPr>
          <w:p>
            <w:pPr>
              <w:kinsoku w:val="0"/>
              <w:autoSpaceDE w:val="0"/>
              <w:autoSpaceDN w:val="0"/>
              <w:adjustRightInd w:val="0"/>
              <w:snapToGrid w:val="0"/>
              <w:spacing w:before="89" w:line="183" w:lineRule="auto"/>
              <w:ind w:left="119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9620</w:t>
            </w:r>
          </w:p>
        </w:tc>
        <w:tc>
          <w:tcPr>
            <w:tcW w:w="679" w:type="dxa"/>
            <w:vAlign w:val="center"/>
          </w:tcPr>
          <w:p>
            <w:pPr>
              <w:kinsoku w:val="0"/>
              <w:autoSpaceDE w:val="0"/>
              <w:autoSpaceDN w:val="0"/>
              <w:adjustRightInd w:val="0"/>
              <w:snapToGrid w:val="0"/>
              <w:spacing w:before="89" w:line="183" w:lineRule="auto"/>
              <w:ind w:left="201"/>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9620</w:t>
            </w:r>
          </w:p>
        </w:tc>
        <w:tc>
          <w:tcPr>
            <w:tcW w:w="700" w:type="dxa"/>
            <w:vAlign w:val="center"/>
          </w:tcPr>
          <w:p>
            <w:pPr>
              <w:kinsoku w:val="0"/>
              <w:autoSpaceDE w:val="0"/>
              <w:autoSpaceDN w:val="0"/>
              <w:adjustRightInd w:val="0"/>
              <w:snapToGrid w:val="0"/>
              <w:spacing w:before="89" w:line="184" w:lineRule="auto"/>
              <w:ind w:left="243"/>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4"/>
                <w:kern w:val="0"/>
                <w:sz w:val="12"/>
                <w:szCs w:val="12"/>
                <w:lang w:val="en-US" w:eastAsia="en-US" w:bidi="ar-SA"/>
              </w:rPr>
              <w:t>128</w:t>
            </w:r>
          </w:p>
        </w:tc>
        <w:tc>
          <w:tcPr>
            <w:tcW w:w="699" w:type="dxa"/>
            <w:vAlign w:val="center"/>
          </w:tcPr>
          <w:p>
            <w:pPr>
              <w:kinsoku w:val="0"/>
              <w:autoSpaceDE w:val="0"/>
              <w:autoSpaceDN w:val="0"/>
              <w:adjustRightInd w:val="0"/>
              <w:snapToGrid w:val="0"/>
              <w:spacing w:before="89" w:line="184" w:lineRule="auto"/>
              <w:ind w:left="213"/>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1624</w:t>
            </w:r>
          </w:p>
        </w:tc>
        <w:tc>
          <w:tcPr>
            <w:tcW w:w="710" w:type="dxa"/>
            <w:vAlign w:val="center"/>
          </w:tcPr>
          <w:p>
            <w:pPr>
              <w:kinsoku w:val="0"/>
              <w:autoSpaceDE w:val="0"/>
              <w:autoSpaceDN w:val="0"/>
              <w:adjustRightInd w:val="0"/>
              <w:snapToGrid w:val="0"/>
              <w:spacing w:before="89" w:line="183" w:lineRule="auto"/>
              <w:ind w:left="184"/>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779.5</w:t>
            </w:r>
          </w:p>
        </w:tc>
        <w:tc>
          <w:tcPr>
            <w:tcW w:w="699" w:type="dxa"/>
            <w:vAlign w:val="center"/>
          </w:tcPr>
          <w:p>
            <w:pPr>
              <w:kinsoku w:val="0"/>
              <w:autoSpaceDE w:val="0"/>
              <w:autoSpaceDN w:val="0"/>
              <w:adjustRightInd w:val="0"/>
              <w:snapToGrid w:val="0"/>
              <w:spacing w:before="89" w:line="184" w:lineRule="auto"/>
              <w:ind w:left="243"/>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910</w:t>
            </w:r>
          </w:p>
        </w:tc>
        <w:tc>
          <w:tcPr>
            <w:tcW w:w="700" w:type="dxa"/>
            <w:vAlign w:val="center"/>
          </w:tcPr>
          <w:p>
            <w:pPr>
              <w:kinsoku w:val="0"/>
              <w:autoSpaceDE w:val="0"/>
              <w:autoSpaceDN w:val="0"/>
              <w:adjustRightInd w:val="0"/>
              <w:snapToGrid w:val="0"/>
              <w:spacing w:before="89" w:line="183" w:lineRule="auto"/>
              <w:ind w:left="214"/>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45.5</w:t>
            </w:r>
          </w:p>
        </w:tc>
        <w:tc>
          <w:tcPr>
            <w:tcW w:w="699" w:type="dxa"/>
            <w:vAlign w:val="center"/>
          </w:tcPr>
          <w:p>
            <w:pPr>
              <w:kinsoku w:val="0"/>
              <w:autoSpaceDE w:val="0"/>
              <w:autoSpaceDN w:val="0"/>
              <w:adjustRightInd w:val="0"/>
              <w:snapToGrid w:val="0"/>
              <w:spacing w:before="89" w:line="183" w:lineRule="auto"/>
              <w:ind w:left="245"/>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368</w:t>
            </w:r>
          </w:p>
        </w:tc>
        <w:tc>
          <w:tcPr>
            <w:tcW w:w="700" w:type="dxa"/>
            <w:vAlign w:val="center"/>
          </w:tcPr>
          <w:p>
            <w:pPr>
              <w:kinsoku w:val="0"/>
              <w:autoSpaceDE w:val="0"/>
              <w:autoSpaceDN w:val="0"/>
              <w:adjustRightInd w:val="0"/>
              <w:snapToGrid w:val="0"/>
              <w:spacing w:before="89" w:line="183" w:lineRule="auto"/>
              <w:ind w:left="245"/>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506</w:t>
            </w:r>
          </w:p>
        </w:tc>
        <w:tc>
          <w:tcPr>
            <w:tcW w:w="700" w:type="dxa"/>
            <w:vAlign w:val="center"/>
          </w:tcPr>
          <w:p>
            <w:pPr>
              <w:kinsoku w:val="0"/>
              <w:autoSpaceDE w:val="0"/>
              <w:autoSpaceDN w:val="0"/>
              <w:adjustRightInd w:val="0"/>
              <w:snapToGrid w:val="0"/>
              <w:spacing w:before="89" w:line="184" w:lineRule="auto"/>
              <w:ind w:left="246"/>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4"/>
                <w:kern w:val="0"/>
                <w:sz w:val="12"/>
                <w:szCs w:val="12"/>
                <w:lang w:val="en-US" w:eastAsia="en-US" w:bidi="ar-SA"/>
              </w:rPr>
              <w:t>180</w:t>
            </w:r>
          </w:p>
        </w:tc>
        <w:tc>
          <w:tcPr>
            <w:tcW w:w="709" w:type="dxa"/>
            <w:vAlign w:val="center"/>
          </w:tcPr>
          <w:p>
            <w:pPr>
              <w:kinsoku w:val="0"/>
              <w:autoSpaceDE w:val="0"/>
              <w:autoSpaceDN w:val="0"/>
              <w:adjustRightInd w:val="0"/>
              <w:snapToGrid w:val="0"/>
              <w:spacing w:before="89" w:line="184" w:lineRule="auto"/>
              <w:ind w:left="246"/>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4"/>
                <w:kern w:val="0"/>
                <w:sz w:val="12"/>
                <w:szCs w:val="12"/>
                <w:lang w:val="en-US" w:eastAsia="en-US" w:bidi="ar-SA"/>
              </w:rPr>
              <w:t>114</w:t>
            </w:r>
          </w:p>
        </w:tc>
        <w:tc>
          <w:tcPr>
            <w:tcW w:w="709" w:type="dxa"/>
            <w:vAlign w:val="center"/>
          </w:tcPr>
          <w:p>
            <w:pPr>
              <w:kinsoku w:val="0"/>
              <w:autoSpaceDE w:val="0"/>
              <w:autoSpaceDN w:val="0"/>
              <w:adjustRightInd w:val="0"/>
              <w:snapToGrid w:val="0"/>
              <w:spacing w:before="89" w:line="183" w:lineRule="auto"/>
              <w:ind w:left="247"/>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677</w:t>
            </w:r>
          </w:p>
        </w:tc>
        <w:tc>
          <w:tcPr>
            <w:tcW w:w="700" w:type="dxa"/>
            <w:vAlign w:val="center"/>
          </w:tcPr>
          <w:p>
            <w:pPr>
              <w:kinsoku w:val="0"/>
              <w:autoSpaceDE w:val="0"/>
              <w:autoSpaceDN w:val="0"/>
              <w:adjustRightInd w:val="0"/>
              <w:snapToGrid w:val="0"/>
              <w:spacing w:before="89" w:line="184" w:lineRule="auto"/>
              <w:ind w:left="217"/>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1146</w:t>
            </w:r>
          </w:p>
        </w:tc>
        <w:tc>
          <w:tcPr>
            <w:tcW w:w="699" w:type="dxa"/>
            <w:vAlign w:val="center"/>
          </w:tcPr>
          <w:p>
            <w:pPr>
              <w:kinsoku w:val="0"/>
              <w:autoSpaceDE w:val="0"/>
              <w:autoSpaceDN w:val="0"/>
              <w:adjustRightInd w:val="0"/>
              <w:snapToGrid w:val="0"/>
              <w:spacing w:before="89" w:line="184" w:lineRule="auto"/>
              <w:ind w:left="248"/>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819</w:t>
            </w:r>
          </w:p>
        </w:tc>
        <w:tc>
          <w:tcPr>
            <w:tcW w:w="700" w:type="dxa"/>
            <w:vAlign w:val="center"/>
          </w:tcPr>
          <w:p>
            <w:pPr>
              <w:kinsoku w:val="0"/>
              <w:autoSpaceDE w:val="0"/>
              <w:autoSpaceDN w:val="0"/>
              <w:adjustRightInd w:val="0"/>
              <w:snapToGrid w:val="0"/>
              <w:spacing w:before="89" w:line="184" w:lineRule="auto"/>
              <w:ind w:left="21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1467</w:t>
            </w:r>
          </w:p>
        </w:tc>
        <w:tc>
          <w:tcPr>
            <w:tcW w:w="709" w:type="dxa"/>
            <w:vAlign w:val="center"/>
          </w:tcPr>
          <w:p>
            <w:pPr>
              <w:kinsoku w:val="0"/>
              <w:autoSpaceDE w:val="0"/>
              <w:autoSpaceDN w:val="0"/>
              <w:adjustRightInd w:val="0"/>
              <w:snapToGrid w:val="0"/>
              <w:spacing w:before="89" w:line="183" w:lineRule="auto"/>
              <w:ind w:left="24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826</w:t>
            </w:r>
          </w:p>
        </w:tc>
        <w:tc>
          <w:tcPr>
            <w:tcW w:w="744" w:type="dxa"/>
            <w:vAlign w:val="center"/>
          </w:tcPr>
          <w:p>
            <w:pPr>
              <w:kinsoku w:val="0"/>
              <w:autoSpaceDE w:val="0"/>
              <w:autoSpaceDN w:val="0"/>
              <w:adjustRightInd w:val="0"/>
              <w:snapToGrid w:val="0"/>
              <w:spacing w:before="89" w:line="183" w:lineRule="auto"/>
              <w:ind w:left="29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Align w:val="center"/>
          </w:tcPr>
          <w:p>
            <w:pPr>
              <w:kinsoku w:val="0"/>
              <w:autoSpaceDE w:val="0"/>
              <w:autoSpaceDN w:val="0"/>
              <w:adjustRightInd w:val="0"/>
              <w:snapToGrid w:val="0"/>
              <w:spacing w:before="57" w:line="221" w:lineRule="auto"/>
              <w:ind w:left="19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地方资金</w:t>
            </w:r>
          </w:p>
        </w:tc>
        <w:tc>
          <w:tcPr>
            <w:tcW w:w="2678" w:type="dxa"/>
            <w:gridSpan w:val="5"/>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679"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699"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710"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699"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699"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709"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709"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699"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709"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c>
          <w:tcPr>
            <w:tcW w:w="744" w:type="dxa"/>
            <w:vAlign w:val="center"/>
          </w:tcPr>
          <w:p>
            <w:pPr>
              <w:widowControl/>
              <w:kinsoku w:val="0"/>
              <w:autoSpaceDE w:val="0"/>
              <w:autoSpaceDN w:val="0"/>
              <w:adjustRightInd w:val="0"/>
              <w:snapToGrid w:val="0"/>
              <w:spacing w:line="240" w:lineRule="exact"/>
              <w:jc w:val="center"/>
              <w:textAlignment w:val="baseline"/>
              <w:rPr>
                <w:rFonts w:hint="default" w:ascii="Times New Roman" w:hAnsi="Times New Roman" w:eastAsia="Arial" w:cs="Times New Roman"/>
                <w:snapToGrid w:val="0"/>
                <w:color w:val="auto"/>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Align w:val="center"/>
          </w:tcPr>
          <w:p>
            <w:pPr>
              <w:kinsoku w:val="0"/>
              <w:autoSpaceDE w:val="0"/>
              <w:autoSpaceDN w:val="0"/>
              <w:adjustRightInd w:val="0"/>
              <w:snapToGrid w:val="0"/>
              <w:spacing w:before="116" w:line="219" w:lineRule="auto"/>
              <w:ind w:left="45"/>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年度目标</w:t>
            </w:r>
          </w:p>
        </w:tc>
        <w:tc>
          <w:tcPr>
            <w:tcW w:w="14864" w:type="dxa"/>
            <w:gridSpan w:val="23"/>
            <w:vAlign w:val="center"/>
          </w:tcPr>
          <w:p>
            <w:pPr>
              <w:kinsoku w:val="0"/>
              <w:autoSpaceDE w:val="0"/>
              <w:autoSpaceDN w:val="0"/>
              <w:adjustRightInd w:val="0"/>
              <w:snapToGrid w:val="0"/>
              <w:spacing w:before="116" w:line="219" w:lineRule="auto"/>
              <w:jc w:val="center"/>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通过使用救灾资金，调运和储备饲草料，减少灾害损失，确保全年畜牧业生产稳定。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restart"/>
            <w:tcBorders>
              <w:bottom w:val="nil"/>
            </w:tcBorders>
            <w:vAlign w:val="center"/>
          </w:tcPr>
          <w:p>
            <w:pPr>
              <w:widowControl/>
              <w:kinsoku w:val="0"/>
              <w:autoSpaceDE w:val="0"/>
              <w:autoSpaceDN w:val="0"/>
              <w:adjustRightInd w:val="0"/>
              <w:snapToGrid w:val="0"/>
              <w:spacing w:line="252" w:lineRule="auto"/>
              <w:jc w:val="both"/>
              <w:textAlignment w:val="baseline"/>
              <w:rPr>
                <w:rFonts w:hint="default" w:ascii="Times New Roman" w:hAnsi="Times New Roman" w:eastAsia="Arial" w:cs="Times New Roman"/>
                <w:b/>
                <w:bCs/>
                <w:snapToGrid w:val="0"/>
                <w:color w:val="auto"/>
                <w:kern w:val="0"/>
                <w:sz w:val="12"/>
                <w:szCs w:val="12"/>
                <w:lang w:eastAsia="en-US"/>
              </w:rPr>
            </w:pPr>
          </w:p>
          <w:p>
            <w:pPr>
              <w:kinsoku w:val="0"/>
              <w:autoSpaceDE w:val="0"/>
              <w:autoSpaceDN w:val="0"/>
              <w:adjustRightInd w:val="0"/>
              <w:snapToGrid w:val="0"/>
              <w:spacing w:before="43" w:line="220" w:lineRule="auto"/>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绩效指标</w:t>
            </w:r>
          </w:p>
        </w:tc>
        <w:tc>
          <w:tcPr>
            <w:tcW w:w="930" w:type="dxa"/>
            <w:gridSpan w:val="2"/>
            <w:vAlign w:val="center"/>
          </w:tcPr>
          <w:p>
            <w:pPr>
              <w:kinsoku w:val="0"/>
              <w:autoSpaceDE w:val="0"/>
              <w:autoSpaceDN w:val="0"/>
              <w:adjustRightInd w:val="0"/>
              <w:snapToGrid w:val="0"/>
              <w:spacing w:before="166" w:line="220" w:lineRule="auto"/>
              <w:ind w:left="190"/>
              <w:jc w:val="both"/>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一级指标</w:t>
            </w:r>
          </w:p>
        </w:tc>
        <w:tc>
          <w:tcPr>
            <w:tcW w:w="900" w:type="dxa"/>
            <w:gridSpan w:val="2"/>
            <w:vAlign w:val="center"/>
          </w:tcPr>
          <w:p>
            <w:pPr>
              <w:kinsoku w:val="0"/>
              <w:autoSpaceDE w:val="0"/>
              <w:autoSpaceDN w:val="0"/>
              <w:adjustRightInd w:val="0"/>
              <w:snapToGrid w:val="0"/>
              <w:spacing w:before="166" w:line="220" w:lineRule="auto"/>
              <w:ind w:left="180"/>
              <w:jc w:val="both"/>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二级指标</w:t>
            </w:r>
          </w:p>
        </w:tc>
        <w:tc>
          <w:tcPr>
            <w:tcW w:w="919" w:type="dxa"/>
            <w:gridSpan w:val="2"/>
            <w:vAlign w:val="center"/>
          </w:tcPr>
          <w:p>
            <w:pPr>
              <w:kinsoku w:val="0"/>
              <w:autoSpaceDE w:val="0"/>
              <w:autoSpaceDN w:val="0"/>
              <w:adjustRightInd w:val="0"/>
              <w:snapToGrid w:val="0"/>
              <w:spacing w:before="166" w:line="220" w:lineRule="auto"/>
              <w:ind w:left="190"/>
              <w:jc w:val="both"/>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1"/>
                <w:kern w:val="0"/>
                <w:sz w:val="12"/>
                <w:szCs w:val="12"/>
                <w:lang w:val="en-US" w:eastAsia="en-US" w:bidi="ar-SA"/>
              </w:rPr>
              <w:t>三级指标</w:t>
            </w:r>
          </w:p>
        </w:tc>
        <w:tc>
          <w:tcPr>
            <w:tcW w:w="859" w:type="dxa"/>
            <w:vAlign w:val="center"/>
          </w:tcPr>
          <w:p>
            <w:pPr>
              <w:kinsoku w:val="0"/>
              <w:autoSpaceDE w:val="0"/>
              <w:autoSpaceDN w:val="0"/>
              <w:adjustRightInd w:val="0"/>
              <w:snapToGrid w:val="0"/>
              <w:spacing w:before="166" w:line="219" w:lineRule="auto"/>
              <w:ind w:left="90"/>
              <w:jc w:val="both"/>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1"/>
                <w:kern w:val="0"/>
                <w:sz w:val="12"/>
                <w:szCs w:val="12"/>
                <w:lang w:val="en-US" w:eastAsia="en-US" w:bidi="ar-SA"/>
              </w:rPr>
              <w:t>年度指标值</w:t>
            </w:r>
          </w:p>
        </w:tc>
        <w:tc>
          <w:tcPr>
            <w:tcW w:w="679"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699"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10"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699"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699"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09"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09"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699"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00"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09"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c>
          <w:tcPr>
            <w:tcW w:w="744" w:type="dxa"/>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snapToGrid w:val="0"/>
                <w:color w:val="auto"/>
                <w:kern w:val="0"/>
                <w:sz w:val="12"/>
                <w:szCs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bottom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Merge w:val="restart"/>
            <w:tcBorders>
              <w:bottom w:val="nil"/>
            </w:tcBorders>
            <w:vAlign w:val="center"/>
          </w:tcPr>
          <w:p>
            <w:pPr>
              <w:kinsoku w:val="0"/>
              <w:autoSpaceDE w:val="0"/>
              <w:autoSpaceDN w:val="0"/>
              <w:adjustRightInd w:val="0"/>
              <w:snapToGrid w:val="0"/>
              <w:spacing w:before="44" w:line="216" w:lineRule="auto"/>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kern w:val="0"/>
                <w:sz w:val="12"/>
                <w:szCs w:val="12"/>
                <w:lang w:val="en-US" w:eastAsia="en-US" w:bidi="ar-SA"/>
              </w:rPr>
              <w:t>产出指标</w:t>
            </w:r>
          </w:p>
        </w:tc>
        <w:tc>
          <w:tcPr>
            <w:tcW w:w="900" w:type="dxa"/>
            <w:gridSpan w:val="2"/>
            <w:vAlign w:val="center"/>
          </w:tcPr>
          <w:p>
            <w:pPr>
              <w:kinsoku w:val="0"/>
              <w:autoSpaceDE w:val="0"/>
              <w:autoSpaceDN w:val="0"/>
              <w:adjustRightInd w:val="0"/>
              <w:snapToGrid w:val="0"/>
              <w:spacing w:before="177" w:line="219" w:lineRule="auto"/>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数量指标</w:t>
            </w:r>
          </w:p>
        </w:tc>
        <w:tc>
          <w:tcPr>
            <w:tcW w:w="919" w:type="dxa"/>
            <w:gridSpan w:val="2"/>
            <w:vAlign w:val="center"/>
          </w:tcPr>
          <w:p>
            <w:pPr>
              <w:kinsoku w:val="0"/>
              <w:autoSpaceDE w:val="0"/>
              <w:autoSpaceDN w:val="0"/>
              <w:adjustRightInd w:val="0"/>
              <w:snapToGrid w:val="0"/>
              <w:spacing w:before="117" w:line="217" w:lineRule="auto"/>
              <w:ind w:left="377" w:hanging="367"/>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调运和储备饲草</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kern w:val="0"/>
                <w:sz w:val="12"/>
                <w:szCs w:val="12"/>
                <w:lang w:val="en-US" w:eastAsia="en-US" w:bidi="ar-SA"/>
              </w:rPr>
              <w:t>料</w:t>
            </w:r>
          </w:p>
        </w:tc>
        <w:tc>
          <w:tcPr>
            <w:tcW w:w="85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&gt;54万吨</w:t>
            </w:r>
          </w:p>
        </w:tc>
        <w:tc>
          <w:tcPr>
            <w:tcW w:w="67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&gt;54万吨</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&gt;0.9万吨</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&gt;9.4万吨</w:t>
            </w:r>
          </w:p>
        </w:tc>
        <w:tc>
          <w:tcPr>
            <w:tcW w:w="71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&gt;4.3万吨</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&gt;4.3万吨</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&gt;0.1万吨</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&gt;1.7万吨</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&gt;3.6万吨</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&gt;1.1万吨</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&gt;0.8万吨</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&gt;4万吨</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&gt;8.6万吨</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&gt;2.4万吨</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&gt;8.2万吨</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&gt;4.6万吨</w:t>
            </w:r>
          </w:p>
        </w:tc>
        <w:tc>
          <w:tcPr>
            <w:tcW w:w="744"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&gt;0.01万吨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bottom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Merge w:val="continue"/>
            <w:tcBorders>
              <w:top w:val="nil"/>
              <w:bottom w:val="nil"/>
            </w:tcBorders>
            <w:textDirection w:val="tbRlV"/>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00" w:type="dxa"/>
            <w:gridSpan w:val="2"/>
            <w:vAlign w:val="center"/>
          </w:tcPr>
          <w:p>
            <w:pPr>
              <w:kinsoku w:val="0"/>
              <w:autoSpaceDE w:val="0"/>
              <w:autoSpaceDN w:val="0"/>
              <w:adjustRightInd w:val="0"/>
              <w:snapToGrid w:val="0"/>
              <w:spacing w:before="177" w:line="220" w:lineRule="auto"/>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质量指标</w:t>
            </w:r>
          </w:p>
        </w:tc>
        <w:tc>
          <w:tcPr>
            <w:tcW w:w="919" w:type="dxa"/>
            <w:gridSpan w:val="2"/>
            <w:vAlign w:val="center"/>
          </w:tcPr>
          <w:p>
            <w:pPr>
              <w:kinsoku w:val="0"/>
              <w:autoSpaceDE w:val="0"/>
              <w:autoSpaceDN w:val="0"/>
              <w:adjustRightInd w:val="0"/>
              <w:snapToGrid w:val="0"/>
              <w:spacing w:before="27" w:line="219" w:lineRule="auto"/>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用于农业生产救</w:t>
            </w:r>
          </w:p>
          <w:p>
            <w:pPr>
              <w:kinsoku w:val="0"/>
              <w:autoSpaceDE w:val="0"/>
              <w:autoSpaceDN w:val="0"/>
              <w:adjustRightInd w:val="0"/>
              <w:snapToGrid w:val="0"/>
              <w:spacing w:before="26" w:line="185" w:lineRule="auto"/>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灾相关支出的比</w:t>
            </w:r>
          </w:p>
          <w:p>
            <w:pPr>
              <w:kinsoku w:val="0"/>
              <w:autoSpaceDE w:val="0"/>
              <w:autoSpaceDN w:val="0"/>
              <w:adjustRightInd w:val="0"/>
              <w:snapToGrid w:val="0"/>
              <w:spacing w:line="185" w:lineRule="auto"/>
              <w:ind w:left="38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kern w:val="0"/>
                <w:sz w:val="12"/>
                <w:szCs w:val="12"/>
                <w:lang w:val="en-US" w:eastAsia="en-US" w:bidi="ar-SA"/>
              </w:rPr>
              <w:t>例</w:t>
            </w:r>
          </w:p>
        </w:tc>
        <w:tc>
          <w:tcPr>
            <w:tcW w:w="85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67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71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c>
          <w:tcPr>
            <w:tcW w:w="744"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bottom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Merge w:val="continue"/>
            <w:tcBorders>
              <w:top w:val="nil"/>
              <w:bottom w:val="nil"/>
            </w:tcBorders>
            <w:textDirection w:val="tbRlV"/>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00" w:type="dxa"/>
            <w:gridSpan w:val="2"/>
            <w:vAlign w:val="center"/>
          </w:tcPr>
          <w:p>
            <w:pPr>
              <w:kinsoku w:val="0"/>
              <w:autoSpaceDE w:val="0"/>
              <w:autoSpaceDN w:val="0"/>
              <w:adjustRightInd w:val="0"/>
              <w:snapToGrid w:val="0"/>
              <w:spacing w:before="178" w:line="220" w:lineRule="auto"/>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3"/>
                <w:kern w:val="0"/>
                <w:sz w:val="12"/>
                <w:szCs w:val="12"/>
                <w:lang w:val="en-US" w:eastAsia="en-US" w:bidi="ar-SA"/>
              </w:rPr>
              <w:t>时效指标</w:t>
            </w:r>
          </w:p>
        </w:tc>
        <w:tc>
          <w:tcPr>
            <w:tcW w:w="919" w:type="dxa"/>
            <w:gridSpan w:val="2"/>
            <w:vAlign w:val="center"/>
          </w:tcPr>
          <w:p>
            <w:pPr>
              <w:kinsoku w:val="0"/>
              <w:autoSpaceDE w:val="0"/>
              <w:autoSpaceDN w:val="0"/>
              <w:adjustRightInd w:val="0"/>
              <w:snapToGrid w:val="0"/>
              <w:spacing w:before="38" w:line="213" w:lineRule="auto"/>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救灾资金下达到</w:t>
            </w:r>
          </w:p>
          <w:p>
            <w:pPr>
              <w:kinsoku w:val="0"/>
              <w:autoSpaceDE w:val="0"/>
              <w:autoSpaceDN w:val="0"/>
              <w:adjustRightInd w:val="0"/>
              <w:snapToGrid w:val="0"/>
              <w:spacing w:line="198" w:lineRule="auto"/>
              <w:ind w:left="2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自治区3个月内</w:t>
            </w:r>
          </w:p>
          <w:p>
            <w:pPr>
              <w:kinsoku w:val="0"/>
              <w:autoSpaceDE w:val="0"/>
              <w:autoSpaceDN w:val="0"/>
              <w:adjustRightInd w:val="0"/>
              <w:snapToGrid w:val="0"/>
              <w:spacing w:line="214" w:lineRule="auto"/>
              <w:ind w:left="120"/>
              <w:jc w:val="both"/>
              <w:textAlignment w:val="baseline"/>
              <w:rPr>
                <w:rFonts w:hint="default" w:ascii="Times New Roman" w:hAnsi="Times New Roman" w:eastAsia="宋体" w:cs="Times New Roman"/>
                <w:snapToGrid w:val="0"/>
                <w:color w:val="auto"/>
                <w:kern w:val="0"/>
                <w:sz w:val="12"/>
                <w:szCs w:val="12"/>
                <w:lang w:val="en-US" w:eastAsia="zh-CN" w:bidi="ar-SA"/>
              </w:rPr>
            </w:pPr>
            <w:r>
              <w:rPr>
                <w:rFonts w:hint="default" w:ascii="Times New Roman" w:hAnsi="Times New Roman" w:eastAsia="宋体" w:cs="Times New Roman"/>
                <w:snapToGrid w:val="0"/>
                <w:color w:val="auto"/>
                <w:spacing w:val="-1"/>
                <w:kern w:val="0"/>
                <w:sz w:val="12"/>
                <w:szCs w:val="12"/>
                <w:lang w:val="en-US" w:eastAsia="en-US" w:bidi="ar-SA"/>
              </w:rPr>
              <w:t>预算执行</w:t>
            </w:r>
            <w:r>
              <w:rPr>
                <w:rFonts w:hint="default" w:ascii="Times New Roman" w:hAnsi="Times New Roman" w:eastAsia="宋体" w:cs="Times New Roman"/>
                <w:snapToGrid w:val="0"/>
                <w:color w:val="auto"/>
                <w:spacing w:val="-1"/>
                <w:kern w:val="0"/>
                <w:sz w:val="12"/>
                <w:szCs w:val="12"/>
                <w:lang w:val="en-US" w:eastAsia="zh-CN" w:bidi="ar-SA"/>
              </w:rPr>
              <w:t>率</w:t>
            </w:r>
          </w:p>
        </w:tc>
        <w:tc>
          <w:tcPr>
            <w:tcW w:w="85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67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71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c>
          <w:tcPr>
            <w:tcW w:w="744"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bottom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Merge w:val="continue"/>
            <w:tcBorders>
              <w:top w:val="nil"/>
            </w:tcBorders>
            <w:textDirection w:val="tbRlV"/>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00" w:type="dxa"/>
            <w:gridSpan w:val="2"/>
            <w:vAlign w:val="center"/>
          </w:tcPr>
          <w:p>
            <w:pPr>
              <w:kinsoku w:val="0"/>
              <w:autoSpaceDE w:val="0"/>
              <w:autoSpaceDN w:val="0"/>
              <w:adjustRightInd w:val="0"/>
              <w:snapToGrid w:val="0"/>
              <w:spacing w:before="178" w:line="219" w:lineRule="auto"/>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成本指标</w:t>
            </w:r>
          </w:p>
        </w:tc>
        <w:tc>
          <w:tcPr>
            <w:tcW w:w="919" w:type="dxa"/>
            <w:gridSpan w:val="2"/>
            <w:vAlign w:val="center"/>
          </w:tcPr>
          <w:p>
            <w:pPr>
              <w:kinsoku w:val="0"/>
              <w:autoSpaceDE w:val="0"/>
              <w:autoSpaceDN w:val="0"/>
              <w:adjustRightInd w:val="0"/>
              <w:snapToGrid w:val="0"/>
              <w:spacing w:before="108" w:line="208" w:lineRule="auto"/>
              <w:ind w:left="317" w:hanging="307"/>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采购物资或服务价格</w:t>
            </w:r>
          </w:p>
        </w:tc>
        <w:tc>
          <w:tcPr>
            <w:tcW w:w="859" w:type="dxa"/>
            <w:vAlign w:val="center"/>
          </w:tcPr>
          <w:p>
            <w:pPr>
              <w:kinsoku w:val="0"/>
              <w:autoSpaceDE w:val="0"/>
              <w:autoSpaceDN w:val="0"/>
              <w:adjustRightInd w:val="0"/>
              <w:snapToGrid w:val="0"/>
              <w:spacing w:before="98" w:line="224" w:lineRule="auto"/>
              <w:ind w:left="350" w:right="45" w:hanging="31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不超过市场价</w:t>
            </w:r>
            <w:r>
              <w:rPr>
                <w:rFonts w:hint="default" w:ascii="Times New Roman" w:hAnsi="Times New Roman" w:eastAsia="宋体" w:cs="Times New Roman"/>
                <w:snapToGrid w:val="0"/>
                <w:color w:val="auto"/>
                <w:kern w:val="0"/>
                <w:sz w:val="12"/>
                <w:szCs w:val="12"/>
                <w:lang w:val="en-US" w:eastAsia="en-US" w:bidi="ar-SA"/>
              </w:rPr>
              <w:t>格</w:t>
            </w:r>
          </w:p>
        </w:tc>
        <w:tc>
          <w:tcPr>
            <w:tcW w:w="679" w:type="dxa"/>
            <w:vAlign w:val="center"/>
          </w:tcPr>
          <w:p>
            <w:pPr>
              <w:kinsoku w:val="0"/>
              <w:autoSpaceDE w:val="0"/>
              <w:autoSpaceDN w:val="0"/>
              <w:adjustRightInd w:val="0"/>
              <w:snapToGrid w:val="0"/>
              <w:spacing w:before="89" w:line="222" w:lineRule="auto"/>
              <w:ind w:left="201" w:right="24" w:hanging="20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700" w:type="dxa"/>
            <w:vAlign w:val="center"/>
          </w:tcPr>
          <w:p>
            <w:pPr>
              <w:kinsoku w:val="0"/>
              <w:autoSpaceDE w:val="0"/>
              <w:autoSpaceDN w:val="0"/>
              <w:adjustRightInd w:val="0"/>
              <w:snapToGrid w:val="0"/>
              <w:spacing w:before="89" w:line="222" w:lineRule="auto"/>
              <w:ind w:left="212" w:right="34" w:hanging="20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699" w:type="dxa"/>
            <w:vAlign w:val="center"/>
          </w:tcPr>
          <w:p>
            <w:pPr>
              <w:kinsoku w:val="0"/>
              <w:autoSpaceDE w:val="0"/>
              <w:autoSpaceDN w:val="0"/>
              <w:adjustRightInd w:val="0"/>
              <w:snapToGrid w:val="0"/>
              <w:spacing w:before="98" w:line="215" w:lineRule="auto"/>
              <w:ind w:left="222" w:right="33" w:hanging="20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710" w:type="dxa"/>
            <w:vAlign w:val="center"/>
          </w:tcPr>
          <w:p>
            <w:pPr>
              <w:kinsoku w:val="0"/>
              <w:autoSpaceDE w:val="0"/>
              <w:autoSpaceDN w:val="0"/>
              <w:adjustRightInd w:val="0"/>
              <w:snapToGrid w:val="0"/>
              <w:spacing w:before="99" w:line="229" w:lineRule="auto"/>
              <w:ind w:left="212" w:right="33" w:hanging="18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699" w:type="dxa"/>
            <w:vAlign w:val="center"/>
          </w:tcPr>
          <w:p>
            <w:pPr>
              <w:kinsoku w:val="0"/>
              <w:autoSpaceDE w:val="0"/>
              <w:autoSpaceDN w:val="0"/>
              <w:adjustRightInd w:val="0"/>
              <w:snapToGrid w:val="0"/>
              <w:spacing w:before="98" w:line="215" w:lineRule="auto"/>
              <w:ind w:left="223" w:right="32" w:hanging="20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700" w:type="dxa"/>
            <w:vAlign w:val="center"/>
          </w:tcPr>
          <w:p>
            <w:pPr>
              <w:kinsoku w:val="0"/>
              <w:autoSpaceDE w:val="0"/>
              <w:autoSpaceDN w:val="0"/>
              <w:adjustRightInd w:val="0"/>
              <w:snapToGrid w:val="0"/>
              <w:spacing w:before="99" w:line="222" w:lineRule="auto"/>
              <w:ind w:left="214" w:right="32" w:hanging="20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699" w:type="dxa"/>
            <w:vAlign w:val="center"/>
          </w:tcPr>
          <w:p>
            <w:pPr>
              <w:kinsoku w:val="0"/>
              <w:autoSpaceDE w:val="0"/>
              <w:autoSpaceDN w:val="0"/>
              <w:adjustRightInd w:val="0"/>
              <w:snapToGrid w:val="0"/>
              <w:spacing w:before="118" w:line="208" w:lineRule="auto"/>
              <w:ind w:left="215" w:right="31" w:hanging="20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700" w:type="dxa"/>
            <w:vAlign w:val="center"/>
          </w:tcPr>
          <w:p>
            <w:pPr>
              <w:kinsoku w:val="0"/>
              <w:autoSpaceDE w:val="0"/>
              <w:autoSpaceDN w:val="0"/>
              <w:adjustRightInd w:val="0"/>
              <w:snapToGrid w:val="0"/>
              <w:spacing w:before="99" w:line="222" w:lineRule="auto"/>
              <w:ind w:left="216" w:right="31" w:hanging="20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700" w:type="dxa"/>
            <w:vAlign w:val="center"/>
          </w:tcPr>
          <w:p>
            <w:pPr>
              <w:kinsoku w:val="0"/>
              <w:autoSpaceDE w:val="0"/>
              <w:autoSpaceDN w:val="0"/>
              <w:adjustRightInd w:val="0"/>
              <w:snapToGrid w:val="0"/>
              <w:spacing w:before="99" w:line="222" w:lineRule="auto"/>
              <w:ind w:left="215" w:right="31" w:hanging="20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709" w:type="dxa"/>
            <w:vAlign w:val="center"/>
          </w:tcPr>
          <w:p>
            <w:pPr>
              <w:kinsoku w:val="0"/>
              <w:autoSpaceDE w:val="0"/>
              <w:autoSpaceDN w:val="0"/>
              <w:adjustRightInd w:val="0"/>
              <w:snapToGrid w:val="0"/>
              <w:spacing w:before="118" w:line="208" w:lineRule="auto"/>
              <w:ind w:left="215" w:right="30" w:hanging="18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709" w:type="dxa"/>
            <w:vAlign w:val="center"/>
          </w:tcPr>
          <w:p>
            <w:pPr>
              <w:kinsoku w:val="0"/>
              <w:autoSpaceDE w:val="0"/>
              <w:autoSpaceDN w:val="0"/>
              <w:adjustRightInd w:val="0"/>
              <w:snapToGrid w:val="0"/>
              <w:spacing w:before="99" w:line="222" w:lineRule="auto"/>
              <w:ind w:left="216" w:right="29" w:hanging="18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700" w:type="dxa"/>
            <w:vAlign w:val="center"/>
          </w:tcPr>
          <w:p>
            <w:pPr>
              <w:kinsoku w:val="0"/>
              <w:autoSpaceDE w:val="0"/>
              <w:autoSpaceDN w:val="0"/>
              <w:adjustRightInd w:val="0"/>
              <w:snapToGrid w:val="0"/>
              <w:spacing w:before="118" w:line="208" w:lineRule="auto"/>
              <w:ind w:left="217" w:right="29" w:hanging="20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699" w:type="dxa"/>
            <w:vAlign w:val="center"/>
          </w:tcPr>
          <w:p>
            <w:pPr>
              <w:kinsoku w:val="0"/>
              <w:autoSpaceDE w:val="0"/>
              <w:autoSpaceDN w:val="0"/>
              <w:adjustRightInd w:val="0"/>
              <w:snapToGrid w:val="0"/>
              <w:spacing w:before="99" w:line="222" w:lineRule="auto"/>
              <w:ind w:left="218" w:right="28" w:hanging="20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700" w:type="dxa"/>
            <w:vAlign w:val="center"/>
          </w:tcPr>
          <w:p>
            <w:pPr>
              <w:kinsoku w:val="0"/>
              <w:autoSpaceDE w:val="0"/>
              <w:autoSpaceDN w:val="0"/>
              <w:adjustRightInd w:val="0"/>
              <w:snapToGrid w:val="0"/>
              <w:spacing w:before="118" w:line="208" w:lineRule="auto"/>
              <w:ind w:left="219" w:right="28" w:hanging="20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709" w:type="dxa"/>
            <w:vAlign w:val="center"/>
          </w:tcPr>
          <w:p>
            <w:pPr>
              <w:kinsoku w:val="0"/>
              <w:autoSpaceDE w:val="0"/>
              <w:autoSpaceDN w:val="0"/>
              <w:adjustRightInd w:val="0"/>
              <w:snapToGrid w:val="0"/>
              <w:spacing w:before="118" w:line="208" w:lineRule="auto"/>
              <w:ind w:left="218" w:right="27" w:hanging="18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c>
          <w:tcPr>
            <w:tcW w:w="744" w:type="dxa"/>
            <w:vAlign w:val="center"/>
          </w:tcPr>
          <w:p>
            <w:pPr>
              <w:kinsoku w:val="0"/>
              <w:autoSpaceDE w:val="0"/>
              <w:autoSpaceDN w:val="0"/>
              <w:adjustRightInd w:val="0"/>
              <w:snapToGrid w:val="0"/>
              <w:spacing w:before="99" w:line="222" w:lineRule="auto"/>
              <w:ind w:left="240" w:right="51" w:hanging="20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不超过市场</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bottom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Merge w:val="restart"/>
            <w:tcBorders>
              <w:bottom w:val="nil"/>
            </w:tcBorders>
            <w:vAlign w:val="center"/>
          </w:tcPr>
          <w:p>
            <w:pPr>
              <w:kinsoku w:val="0"/>
              <w:autoSpaceDE w:val="0"/>
              <w:autoSpaceDN w:val="0"/>
              <w:adjustRightInd w:val="0"/>
              <w:snapToGrid w:val="0"/>
              <w:spacing w:before="44" w:line="217" w:lineRule="auto"/>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kern w:val="0"/>
                <w:sz w:val="12"/>
                <w:szCs w:val="12"/>
                <w:lang w:val="en-US" w:eastAsia="en-US" w:bidi="ar-SA"/>
              </w:rPr>
              <w:t>效益指标</w:t>
            </w:r>
          </w:p>
        </w:tc>
        <w:tc>
          <w:tcPr>
            <w:tcW w:w="900" w:type="dxa"/>
            <w:gridSpan w:val="2"/>
            <w:vAlign w:val="center"/>
          </w:tcPr>
          <w:p>
            <w:pPr>
              <w:kinsoku w:val="0"/>
              <w:autoSpaceDE w:val="0"/>
              <w:autoSpaceDN w:val="0"/>
              <w:adjustRightInd w:val="0"/>
              <w:snapToGrid w:val="0"/>
              <w:spacing w:before="230" w:line="220" w:lineRule="auto"/>
              <w:ind w:left="50"/>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1"/>
                <w:kern w:val="0"/>
                <w:sz w:val="12"/>
                <w:szCs w:val="12"/>
                <w:lang w:val="en-US" w:eastAsia="en-US" w:bidi="ar-SA"/>
              </w:rPr>
              <w:t>经济效益指标</w:t>
            </w:r>
          </w:p>
        </w:tc>
        <w:tc>
          <w:tcPr>
            <w:tcW w:w="919" w:type="dxa"/>
            <w:gridSpan w:val="2"/>
            <w:vAlign w:val="center"/>
          </w:tcPr>
          <w:p>
            <w:pPr>
              <w:kinsoku w:val="0"/>
              <w:autoSpaceDE w:val="0"/>
              <w:autoSpaceDN w:val="0"/>
              <w:adjustRightInd w:val="0"/>
              <w:snapToGrid w:val="0"/>
              <w:spacing w:before="151" w:line="228" w:lineRule="auto"/>
              <w:ind w:left="59" w:hanging="4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受灾地区主要牲</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3"/>
                <w:kern w:val="0"/>
                <w:sz w:val="12"/>
                <w:szCs w:val="12"/>
                <w:lang w:val="en-US" w:eastAsia="en-US" w:bidi="ar-SA"/>
              </w:rPr>
              <w:t>畜存栏量减幅</w:t>
            </w:r>
          </w:p>
        </w:tc>
        <w:tc>
          <w:tcPr>
            <w:tcW w:w="859" w:type="dxa"/>
            <w:vAlign w:val="center"/>
          </w:tcPr>
          <w:p>
            <w:pPr>
              <w:kinsoku w:val="0"/>
              <w:autoSpaceDE w:val="0"/>
              <w:autoSpaceDN w:val="0"/>
              <w:adjustRightInd w:val="0"/>
              <w:snapToGrid w:val="0"/>
              <w:spacing w:before="90" w:line="210" w:lineRule="auto"/>
              <w:ind w:left="31"/>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679" w:type="dxa"/>
            <w:vAlign w:val="center"/>
          </w:tcPr>
          <w:p>
            <w:pPr>
              <w:kinsoku w:val="0"/>
              <w:autoSpaceDE w:val="0"/>
              <w:autoSpaceDN w:val="0"/>
              <w:adjustRightInd w:val="0"/>
              <w:snapToGrid w:val="0"/>
              <w:spacing w:line="219" w:lineRule="auto"/>
              <w:ind w:left="132"/>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700" w:type="dxa"/>
            <w:vAlign w:val="center"/>
          </w:tcPr>
          <w:p>
            <w:pPr>
              <w:kinsoku w:val="0"/>
              <w:autoSpaceDE w:val="0"/>
              <w:autoSpaceDN w:val="0"/>
              <w:adjustRightInd w:val="0"/>
              <w:snapToGrid w:val="0"/>
              <w:spacing w:line="219" w:lineRule="auto"/>
              <w:ind w:left="143"/>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699" w:type="dxa"/>
            <w:vAlign w:val="center"/>
          </w:tcPr>
          <w:p>
            <w:pPr>
              <w:kinsoku w:val="0"/>
              <w:autoSpaceDE w:val="0"/>
              <w:autoSpaceDN w:val="0"/>
              <w:adjustRightInd w:val="0"/>
              <w:snapToGrid w:val="0"/>
              <w:spacing w:line="219" w:lineRule="auto"/>
              <w:ind w:left="143"/>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710" w:type="dxa"/>
            <w:vAlign w:val="center"/>
          </w:tcPr>
          <w:p>
            <w:pPr>
              <w:kinsoku w:val="0"/>
              <w:autoSpaceDE w:val="0"/>
              <w:autoSpaceDN w:val="0"/>
              <w:adjustRightInd w:val="0"/>
              <w:snapToGrid w:val="0"/>
              <w:spacing w:line="219" w:lineRule="auto"/>
              <w:ind w:left="154"/>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699" w:type="dxa"/>
            <w:vAlign w:val="center"/>
          </w:tcPr>
          <w:p>
            <w:pPr>
              <w:kinsoku w:val="0"/>
              <w:autoSpaceDE w:val="0"/>
              <w:autoSpaceDN w:val="0"/>
              <w:adjustRightInd w:val="0"/>
              <w:snapToGrid w:val="0"/>
              <w:spacing w:line="219" w:lineRule="auto"/>
              <w:ind w:left="144"/>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700" w:type="dxa"/>
            <w:vAlign w:val="center"/>
          </w:tcPr>
          <w:p>
            <w:pPr>
              <w:kinsoku w:val="0"/>
              <w:autoSpaceDE w:val="0"/>
              <w:autoSpaceDN w:val="0"/>
              <w:adjustRightInd w:val="0"/>
              <w:snapToGrid w:val="0"/>
              <w:spacing w:line="219" w:lineRule="auto"/>
              <w:ind w:left="144"/>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699" w:type="dxa"/>
            <w:vAlign w:val="center"/>
          </w:tcPr>
          <w:p>
            <w:pPr>
              <w:kinsoku w:val="0"/>
              <w:autoSpaceDE w:val="0"/>
              <w:autoSpaceDN w:val="0"/>
              <w:adjustRightInd w:val="0"/>
              <w:snapToGrid w:val="0"/>
              <w:spacing w:line="219" w:lineRule="auto"/>
              <w:ind w:left="145"/>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700" w:type="dxa"/>
            <w:vAlign w:val="center"/>
          </w:tcPr>
          <w:p>
            <w:pPr>
              <w:kinsoku w:val="0"/>
              <w:autoSpaceDE w:val="0"/>
              <w:autoSpaceDN w:val="0"/>
              <w:adjustRightInd w:val="0"/>
              <w:snapToGrid w:val="0"/>
              <w:spacing w:line="219" w:lineRule="auto"/>
              <w:ind w:left="145"/>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700" w:type="dxa"/>
            <w:vAlign w:val="center"/>
          </w:tcPr>
          <w:p>
            <w:pPr>
              <w:kinsoku w:val="0"/>
              <w:autoSpaceDE w:val="0"/>
              <w:autoSpaceDN w:val="0"/>
              <w:adjustRightInd w:val="0"/>
              <w:snapToGrid w:val="0"/>
              <w:spacing w:line="219" w:lineRule="auto"/>
              <w:ind w:left="146"/>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709" w:type="dxa"/>
            <w:vAlign w:val="center"/>
          </w:tcPr>
          <w:p>
            <w:pPr>
              <w:kinsoku w:val="0"/>
              <w:autoSpaceDE w:val="0"/>
              <w:autoSpaceDN w:val="0"/>
              <w:adjustRightInd w:val="0"/>
              <w:snapToGrid w:val="0"/>
              <w:spacing w:line="219" w:lineRule="auto"/>
              <w:ind w:left="155"/>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709" w:type="dxa"/>
            <w:vAlign w:val="center"/>
          </w:tcPr>
          <w:p>
            <w:pPr>
              <w:kinsoku w:val="0"/>
              <w:autoSpaceDE w:val="0"/>
              <w:autoSpaceDN w:val="0"/>
              <w:adjustRightInd w:val="0"/>
              <w:snapToGrid w:val="0"/>
              <w:spacing w:line="219" w:lineRule="auto"/>
              <w:ind w:left="156"/>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700" w:type="dxa"/>
            <w:vAlign w:val="center"/>
          </w:tcPr>
          <w:p>
            <w:pPr>
              <w:kinsoku w:val="0"/>
              <w:autoSpaceDE w:val="0"/>
              <w:autoSpaceDN w:val="0"/>
              <w:adjustRightInd w:val="0"/>
              <w:snapToGrid w:val="0"/>
              <w:spacing w:line="219" w:lineRule="auto"/>
              <w:ind w:left="147"/>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699" w:type="dxa"/>
            <w:vAlign w:val="center"/>
          </w:tcPr>
          <w:p>
            <w:pPr>
              <w:kinsoku w:val="0"/>
              <w:autoSpaceDE w:val="0"/>
              <w:autoSpaceDN w:val="0"/>
              <w:adjustRightInd w:val="0"/>
              <w:snapToGrid w:val="0"/>
              <w:spacing w:line="219" w:lineRule="auto"/>
              <w:ind w:left="148"/>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700" w:type="dxa"/>
            <w:vAlign w:val="center"/>
          </w:tcPr>
          <w:p>
            <w:pPr>
              <w:kinsoku w:val="0"/>
              <w:autoSpaceDE w:val="0"/>
              <w:autoSpaceDN w:val="0"/>
              <w:adjustRightInd w:val="0"/>
              <w:snapToGrid w:val="0"/>
              <w:spacing w:line="219" w:lineRule="auto"/>
              <w:ind w:left="148"/>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709" w:type="dxa"/>
            <w:vAlign w:val="center"/>
          </w:tcPr>
          <w:p>
            <w:pPr>
              <w:kinsoku w:val="0"/>
              <w:autoSpaceDE w:val="0"/>
              <w:autoSpaceDN w:val="0"/>
              <w:adjustRightInd w:val="0"/>
              <w:snapToGrid w:val="0"/>
              <w:spacing w:line="219" w:lineRule="auto"/>
              <w:ind w:left="15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c>
          <w:tcPr>
            <w:tcW w:w="744" w:type="dxa"/>
            <w:vAlign w:val="center"/>
          </w:tcPr>
          <w:p>
            <w:pPr>
              <w:kinsoku w:val="0"/>
              <w:autoSpaceDE w:val="0"/>
              <w:autoSpaceDN w:val="0"/>
              <w:adjustRightInd w:val="0"/>
              <w:snapToGrid w:val="0"/>
              <w:spacing w:line="209" w:lineRule="auto"/>
              <w:ind w:left="168" w:right="9" w:hanging="8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
                <w:kern w:val="0"/>
                <w:sz w:val="12"/>
                <w:szCs w:val="12"/>
                <w:lang w:val="en-US" w:eastAsia="en-US" w:bidi="ar-SA"/>
              </w:rPr>
              <w:t>重灾区少减产,轻灾区不减</w:t>
            </w:r>
            <w:r>
              <w:rPr>
                <w:rFonts w:hint="default" w:ascii="Times New Roman" w:hAnsi="Times New Roman" w:eastAsia="宋体" w:cs="Times New Roman"/>
                <w:snapToGrid w:val="0"/>
                <w:color w:val="auto"/>
                <w:kern w:val="0"/>
                <w:sz w:val="12"/>
                <w:szCs w:val="12"/>
                <w:lang w:val="en-US" w:eastAsia="en-US" w:bidi="ar-SA"/>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bottom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Merge w:val="continue"/>
            <w:tcBorders>
              <w:top w:val="nil"/>
              <w:bottom w:val="nil"/>
            </w:tcBorders>
            <w:textDirection w:val="tbRlV"/>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00" w:type="dxa"/>
            <w:gridSpan w:val="2"/>
            <w:vAlign w:val="center"/>
          </w:tcPr>
          <w:p>
            <w:pPr>
              <w:kinsoku w:val="0"/>
              <w:autoSpaceDE w:val="0"/>
              <w:autoSpaceDN w:val="0"/>
              <w:adjustRightInd w:val="0"/>
              <w:snapToGrid w:val="0"/>
              <w:spacing w:before="180" w:line="219" w:lineRule="auto"/>
              <w:ind w:left="50"/>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1"/>
                <w:kern w:val="0"/>
                <w:sz w:val="12"/>
                <w:szCs w:val="12"/>
                <w:lang w:val="en-US" w:eastAsia="en-US" w:bidi="ar-SA"/>
              </w:rPr>
              <w:t>社会效益指标</w:t>
            </w:r>
          </w:p>
        </w:tc>
        <w:tc>
          <w:tcPr>
            <w:tcW w:w="919" w:type="dxa"/>
            <w:gridSpan w:val="2"/>
            <w:vAlign w:val="center"/>
          </w:tcPr>
          <w:p>
            <w:pPr>
              <w:kinsoku w:val="0"/>
              <w:autoSpaceDE w:val="0"/>
              <w:autoSpaceDN w:val="0"/>
              <w:adjustRightInd w:val="0"/>
              <w:snapToGrid w:val="0"/>
              <w:spacing w:before="91" w:line="238" w:lineRule="auto"/>
              <w:ind w:left="189" w:hanging="17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灾区盍牧业生产</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秩序恢复</w:t>
            </w:r>
          </w:p>
        </w:tc>
        <w:tc>
          <w:tcPr>
            <w:tcW w:w="85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67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1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基本性复</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44"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bottom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Merge w:val="continue"/>
            <w:tcBorders>
              <w:top w:val="nil"/>
              <w:bottom w:val="nil"/>
            </w:tcBorders>
            <w:textDirection w:val="tbRlV"/>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00" w:type="dxa"/>
            <w:gridSpan w:val="2"/>
            <w:vAlign w:val="center"/>
          </w:tcPr>
          <w:p>
            <w:pPr>
              <w:kinsoku w:val="0"/>
              <w:autoSpaceDE w:val="0"/>
              <w:autoSpaceDN w:val="0"/>
              <w:adjustRightInd w:val="0"/>
              <w:snapToGrid w:val="0"/>
              <w:spacing w:before="182" w:line="220" w:lineRule="auto"/>
              <w:ind w:left="50"/>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1"/>
                <w:kern w:val="0"/>
                <w:sz w:val="12"/>
                <w:szCs w:val="12"/>
                <w:lang w:val="en-US" w:eastAsia="en-US" w:bidi="ar-SA"/>
              </w:rPr>
              <w:t>生态效益指标</w:t>
            </w:r>
          </w:p>
        </w:tc>
        <w:tc>
          <w:tcPr>
            <w:tcW w:w="919" w:type="dxa"/>
            <w:gridSpan w:val="2"/>
            <w:vAlign w:val="center"/>
          </w:tcPr>
          <w:p>
            <w:pPr>
              <w:kinsoku w:val="0"/>
              <w:autoSpaceDE w:val="0"/>
              <w:autoSpaceDN w:val="0"/>
              <w:adjustRightInd w:val="0"/>
              <w:snapToGrid w:val="0"/>
              <w:spacing w:before="132" w:line="209" w:lineRule="auto"/>
              <w:ind w:left="189" w:hanging="179"/>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灾区畜牧业生产</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3"/>
                <w:kern w:val="0"/>
                <w:sz w:val="12"/>
                <w:szCs w:val="12"/>
                <w:lang w:val="en-US" w:eastAsia="en-US" w:bidi="ar-SA"/>
              </w:rPr>
              <w:t>能力恢复</w:t>
            </w:r>
          </w:p>
        </w:tc>
        <w:tc>
          <w:tcPr>
            <w:tcW w:w="85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67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基本性复</w:t>
            </w:r>
          </w:p>
        </w:tc>
        <w:tc>
          <w:tcPr>
            <w:tcW w:w="71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基本性复</w:t>
            </w:r>
          </w:p>
        </w:tc>
        <w:tc>
          <w:tcPr>
            <w:tcW w:w="744"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基本恢复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bottom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Merge w:val="continue"/>
            <w:tcBorders>
              <w:top w:val="nil"/>
              <w:bottom w:val="nil"/>
            </w:tcBorders>
            <w:textDirection w:val="tbRlV"/>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00" w:type="dxa"/>
            <w:gridSpan w:val="2"/>
            <w:vMerge w:val="restart"/>
            <w:tcBorders>
              <w:bottom w:val="nil"/>
            </w:tcBorders>
            <w:vAlign w:val="center"/>
          </w:tcPr>
          <w:p>
            <w:pPr>
              <w:widowControl/>
              <w:kinsoku w:val="0"/>
              <w:autoSpaceDE w:val="0"/>
              <w:autoSpaceDN w:val="0"/>
              <w:adjustRightInd w:val="0"/>
              <w:snapToGrid w:val="0"/>
              <w:spacing w:line="259" w:lineRule="auto"/>
              <w:jc w:val="center"/>
              <w:textAlignment w:val="baseline"/>
              <w:rPr>
                <w:rFonts w:hint="default" w:ascii="Times New Roman" w:hAnsi="Times New Roman" w:eastAsia="Arial" w:cs="Times New Roman"/>
                <w:b/>
                <w:bCs/>
                <w:snapToGrid w:val="0"/>
                <w:color w:val="auto"/>
                <w:kern w:val="0"/>
                <w:sz w:val="12"/>
                <w:szCs w:val="12"/>
                <w:lang w:eastAsia="en-US"/>
              </w:rPr>
            </w:pPr>
          </w:p>
          <w:p>
            <w:pPr>
              <w:kinsoku w:val="0"/>
              <w:autoSpaceDE w:val="0"/>
              <w:autoSpaceDN w:val="0"/>
              <w:adjustRightInd w:val="0"/>
              <w:snapToGrid w:val="0"/>
              <w:spacing w:before="42" w:line="224" w:lineRule="auto"/>
              <w:ind w:right="66"/>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2"/>
                <w:kern w:val="0"/>
                <w:sz w:val="12"/>
                <w:szCs w:val="12"/>
                <w:lang w:val="en-US" w:eastAsia="en-US" w:bidi="ar-SA"/>
              </w:rPr>
              <w:t>可持续影响指</w:t>
            </w:r>
            <w:r>
              <w:rPr>
                <w:rFonts w:hint="default" w:ascii="Times New Roman" w:hAnsi="Times New Roman" w:eastAsia="宋体" w:cs="Times New Roman"/>
                <w:b/>
                <w:bCs/>
                <w:snapToGrid w:val="0"/>
                <w:color w:val="auto"/>
                <w:kern w:val="0"/>
                <w:sz w:val="12"/>
                <w:szCs w:val="12"/>
                <w:lang w:val="en-US" w:eastAsia="en-US" w:bidi="ar-SA"/>
              </w:rPr>
              <w:t>标</w:t>
            </w:r>
          </w:p>
        </w:tc>
        <w:tc>
          <w:tcPr>
            <w:tcW w:w="919" w:type="dxa"/>
            <w:gridSpan w:val="2"/>
            <w:vAlign w:val="center"/>
          </w:tcPr>
          <w:p>
            <w:pPr>
              <w:kinsoku w:val="0"/>
              <w:autoSpaceDE w:val="0"/>
              <w:autoSpaceDN w:val="0"/>
              <w:adjustRightInd w:val="0"/>
              <w:snapToGrid w:val="0"/>
              <w:spacing w:before="103" w:line="237" w:lineRule="auto"/>
              <w:ind w:left="120" w:right="1" w:hanging="110"/>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16"/>
                <w:kern w:val="0"/>
                <w:sz w:val="12"/>
                <w:szCs w:val="12"/>
                <w:lang w:val="en-US" w:eastAsia="en-US" w:bidi="ar-SA"/>
              </w:rPr>
              <w:t>稳定农</w:t>
            </w:r>
            <w:r>
              <w:rPr>
                <w:rFonts w:hint="eastAsia" w:ascii="Times New Roman" w:hAnsi="Times New Roman" w:eastAsia="宋体" w:cs="Times New Roman"/>
                <w:snapToGrid w:val="0"/>
                <w:color w:val="auto"/>
                <w:spacing w:val="16"/>
                <w:kern w:val="0"/>
                <w:sz w:val="12"/>
                <w:szCs w:val="12"/>
                <w:lang w:val="en-US" w:eastAsia="zh-CN" w:bidi="ar-SA"/>
              </w:rPr>
              <w:t>（</w:t>
            </w:r>
            <w:r>
              <w:rPr>
                <w:rFonts w:hint="default" w:ascii="Times New Roman" w:hAnsi="Times New Roman" w:eastAsia="宋体" w:cs="Times New Roman"/>
                <w:snapToGrid w:val="0"/>
                <w:color w:val="auto"/>
                <w:spacing w:val="16"/>
                <w:kern w:val="0"/>
                <w:sz w:val="12"/>
                <w:szCs w:val="12"/>
                <w:lang w:val="en-US" w:eastAsia="en-US" w:bidi="ar-SA"/>
              </w:rPr>
              <w:t>牧</w:t>
            </w:r>
            <w:r>
              <w:rPr>
                <w:rFonts w:hint="eastAsia" w:ascii="Times New Roman" w:hAnsi="Times New Roman" w:eastAsia="宋体" w:cs="Times New Roman"/>
                <w:snapToGrid w:val="0"/>
                <w:color w:val="auto"/>
                <w:spacing w:val="16"/>
                <w:kern w:val="0"/>
                <w:sz w:val="12"/>
                <w:szCs w:val="12"/>
                <w:lang w:val="en-US" w:eastAsia="zh-CN" w:bidi="ar-SA"/>
              </w:rPr>
              <w:t>）</w:t>
            </w:r>
            <w:r>
              <w:rPr>
                <w:rFonts w:hint="default" w:ascii="Times New Roman" w:hAnsi="Times New Roman" w:eastAsia="宋体" w:cs="Times New Roman"/>
                <w:snapToGrid w:val="0"/>
                <w:color w:val="auto"/>
                <w:spacing w:val="16"/>
                <w:kern w:val="0"/>
                <w:sz w:val="12"/>
                <w:szCs w:val="12"/>
                <w:lang w:val="en-US" w:eastAsia="en-US" w:bidi="ar-SA"/>
              </w:rPr>
              <w:t>民</w:t>
            </w:r>
            <w:r>
              <w:rPr>
                <w:rFonts w:hint="default" w:ascii="Times New Roman" w:hAnsi="Times New Roman" w:eastAsia="宋体" w:cs="Times New Roman"/>
                <w:snapToGrid w:val="0"/>
                <w:color w:val="auto"/>
                <w:spacing w:val="-1"/>
                <w:kern w:val="0"/>
                <w:sz w:val="12"/>
                <w:szCs w:val="12"/>
                <w:lang w:val="en-US" w:eastAsia="en-US" w:bidi="ar-SA"/>
              </w:rPr>
              <w:t>生产积极性</w:t>
            </w:r>
          </w:p>
        </w:tc>
        <w:tc>
          <w:tcPr>
            <w:tcW w:w="85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67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1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44"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bottom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Merge w:val="continue"/>
            <w:tcBorders>
              <w:top w:val="nil"/>
            </w:tcBorders>
            <w:textDirection w:val="tbRlV"/>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00" w:type="dxa"/>
            <w:gridSpan w:val="2"/>
            <w:vMerge w:val="continue"/>
            <w:tcBorders>
              <w:top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19" w:type="dxa"/>
            <w:gridSpan w:val="2"/>
            <w:vAlign w:val="center"/>
          </w:tcPr>
          <w:p>
            <w:pPr>
              <w:kinsoku w:val="0"/>
              <w:autoSpaceDE w:val="0"/>
              <w:autoSpaceDN w:val="0"/>
              <w:adjustRightInd w:val="0"/>
              <w:snapToGrid w:val="0"/>
              <w:spacing w:before="43" w:line="231" w:lineRule="auto"/>
              <w:ind w:left="188" w:hanging="178"/>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保证主要</w:t>
            </w:r>
            <w:r>
              <w:rPr>
                <w:rFonts w:hint="default" w:ascii="Times New Roman" w:hAnsi="Times New Roman" w:eastAsia="宋体" w:cs="Times New Roman"/>
                <w:snapToGrid w:val="0"/>
                <w:color w:val="auto"/>
                <w:spacing w:val="-2"/>
                <w:kern w:val="0"/>
                <w:sz w:val="12"/>
                <w:szCs w:val="12"/>
                <w:lang w:val="en-US" w:eastAsia="zh-CN" w:bidi="ar-SA"/>
              </w:rPr>
              <w:t>畜</w:t>
            </w:r>
            <w:r>
              <w:rPr>
                <w:rFonts w:hint="default" w:ascii="Times New Roman" w:hAnsi="Times New Roman" w:eastAsia="宋体" w:cs="Times New Roman"/>
                <w:snapToGrid w:val="0"/>
                <w:color w:val="auto"/>
                <w:spacing w:val="-2"/>
                <w:kern w:val="0"/>
                <w:sz w:val="12"/>
                <w:szCs w:val="12"/>
                <w:lang w:val="en-US" w:eastAsia="en-US" w:bidi="ar-SA"/>
              </w:rPr>
              <w:t>禽存</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2"/>
                <w:kern w:val="0"/>
                <w:sz w:val="12"/>
                <w:szCs w:val="12"/>
                <w:lang w:val="en-US" w:eastAsia="en-US" w:bidi="ar-SA"/>
              </w:rPr>
              <w:t>栏量稳定</w:t>
            </w:r>
          </w:p>
        </w:tc>
        <w:tc>
          <w:tcPr>
            <w:tcW w:w="85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67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1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69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0"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09"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c>
          <w:tcPr>
            <w:tcW w:w="744" w:type="dxa"/>
            <w:vAlign w:val="center"/>
          </w:tcPr>
          <w:p>
            <w:pPr>
              <w:kinsoku w:val="0"/>
              <w:autoSpaceDE w:val="0"/>
              <w:autoSpaceDN w:val="0"/>
              <w:adjustRightInd w:val="0"/>
              <w:snapToGrid w:val="0"/>
              <w:spacing w:before="134" w:line="219" w:lineRule="auto"/>
              <w:jc w:val="center"/>
              <w:textAlignment w:val="baseline"/>
              <w:rPr>
                <w:rFonts w:hint="default" w:ascii="Times New Roman" w:hAnsi="Times New Roman" w:eastAsia="宋体" w:cs="Times New Roman"/>
                <w:snapToGrid w:val="0"/>
                <w:color w:val="auto"/>
                <w:spacing w:val="-2"/>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保持稳定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2" w:hRule="atLeast"/>
          <w:jc w:val="center"/>
        </w:trPr>
        <w:tc>
          <w:tcPr>
            <w:tcW w:w="625" w:type="dxa"/>
            <w:vMerge w:val="continue"/>
            <w:tcBorders>
              <w:top w:val="nil"/>
            </w:tcBorders>
            <w:vAlign w:val="center"/>
          </w:tcPr>
          <w:p>
            <w:pPr>
              <w:widowControl/>
              <w:kinsoku w:val="0"/>
              <w:autoSpaceDE w:val="0"/>
              <w:autoSpaceDN w:val="0"/>
              <w:adjustRightInd w:val="0"/>
              <w:snapToGrid w:val="0"/>
              <w:spacing w:line="240" w:lineRule="auto"/>
              <w:jc w:val="center"/>
              <w:textAlignment w:val="baseline"/>
              <w:rPr>
                <w:rFonts w:hint="default" w:ascii="Times New Roman" w:hAnsi="Times New Roman" w:eastAsia="Arial" w:cs="Times New Roman"/>
                <w:b/>
                <w:bCs/>
                <w:snapToGrid w:val="0"/>
                <w:color w:val="auto"/>
                <w:kern w:val="0"/>
                <w:sz w:val="12"/>
                <w:szCs w:val="12"/>
                <w:lang w:eastAsia="en-US"/>
              </w:rPr>
            </w:pPr>
          </w:p>
        </w:tc>
        <w:tc>
          <w:tcPr>
            <w:tcW w:w="930" w:type="dxa"/>
            <w:gridSpan w:val="2"/>
            <w:vAlign w:val="center"/>
          </w:tcPr>
          <w:p>
            <w:pPr>
              <w:kinsoku w:val="0"/>
              <w:autoSpaceDE w:val="0"/>
              <w:autoSpaceDN w:val="0"/>
              <w:adjustRightInd w:val="0"/>
              <w:snapToGrid w:val="0"/>
              <w:spacing w:before="125" w:line="219" w:lineRule="auto"/>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1"/>
                <w:kern w:val="0"/>
                <w:sz w:val="12"/>
                <w:szCs w:val="12"/>
                <w:lang w:val="en-US" w:eastAsia="en-US" w:bidi="ar-SA"/>
              </w:rPr>
              <w:t>满意度指标</w:t>
            </w:r>
          </w:p>
        </w:tc>
        <w:tc>
          <w:tcPr>
            <w:tcW w:w="900" w:type="dxa"/>
            <w:gridSpan w:val="2"/>
            <w:vAlign w:val="center"/>
          </w:tcPr>
          <w:p>
            <w:pPr>
              <w:kinsoku w:val="0"/>
              <w:autoSpaceDE w:val="0"/>
              <w:autoSpaceDN w:val="0"/>
              <w:adjustRightInd w:val="0"/>
              <w:snapToGrid w:val="0"/>
              <w:spacing w:before="55" w:line="213" w:lineRule="auto"/>
              <w:ind w:right="65"/>
              <w:jc w:val="center"/>
              <w:textAlignment w:val="baseline"/>
              <w:rPr>
                <w:rFonts w:hint="default" w:ascii="Times New Roman" w:hAnsi="Times New Roman" w:eastAsia="宋体" w:cs="Times New Roman"/>
                <w:b/>
                <w:bCs/>
                <w:snapToGrid w:val="0"/>
                <w:color w:val="auto"/>
                <w:kern w:val="0"/>
                <w:sz w:val="12"/>
                <w:szCs w:val="12"/>
                <w:lang w:val="en-US" w:eastAsia="en-US" w:bidi="ar-SA"/>
              </w:rPr>
            </w:pPr>
            <w:r>
              <w:rPr>
                <w:rFonts w:hint="default" w:ascii="Times New Roman" w:hAnsi="Times New Roman" w:eastAsia="宋体" w:cs="Times New Roman"/>
                <w:b/>
                <w:bCs/>
                <w:snapToGrid w:val="0"/>
                <w:color w:val="auto"/>
                <w:spacing w:val="-1"/>
                <w:kern w:val="0"/>
                <w:sz w:val="12"/>
                <w:szCs w:val="12"/>
                <w:lang w:val="en-US" w:eastAsia="en-US" w:bidi="ar-SA"/>
              </w:rPr>
              <w:t>技术指导对象</w:t>
            </w:r>
            <w:r>
              <w:rPr>
                <w:rFonts w:hint="default" w:ascii="Times New Roman" w:hAnsi="Times New Roman" w:eastAsia="宋体" w:cs="Times New Roman"/>
                <w:b/>
                <w:bCs/>
                <w:snapToGrid w:val="0"/>
                <w:color w:val="auto"/>
                <w:kern w:val="0"/>
                <w:sz w:val="12"/>
                <w:szCs w:val="12"/>
                <w:lang w:val="en-US" w:eastAsia="en-US" w:bidi="ar-SA"/>
              </w:rPr>
              <w:t xml:space="preserve"> </w:t>
            </w:r>
            <w:r>
              <w:rPr>
                <w:rFonts w:hint="default" w:ascii="Times New Roman" w:hAnsi="Times New Roman" w:eastAsia="宋体" w:cs="Times New Roman"/>
                <w:b/>
                <w:bCs/>
                <w:snapToGrid w:val="0"/>
                <w:color w:val="auto"/>
                <w:spacing w:val="-1"/>
                <w:kern w:val="0"/>
                <w:sz w:val="12"/>
                <w:szCs w:val="12"/>
                <w:lang w:val="en-US" w:eastAsia="en-US" w:bidi="ar-SA"/>
              </w:rPr>
              <w:t>满意度指标</w:t>
            </w:r>
          </w:p>
        </w:tc>
        <w:tc>
          <w:tcPr>
            <w:tcW w:w="919" w:type="dxa"/>
            <w:gridSpan w:val="2"/>
            <w:vAlign w:val="center"/>
          </w:tcPr>
          <w:p>
            <w:pPr>
              <w:kinsoku w:val="0"/>
              <w:autoSpaceDE w:val="0"/>
              <w:autoSpaceDN w:val="0"/>
              <w:adjustRightInd w:val="0"/>
              <w:snapToGrid w:val="0"/>
              <w:spacing w:before="45" w:line="220" w:lineRule="auto"/>
              <w:ind w:left="318" w:hanging="308"/>
              <w:jc w:val="both"/>
              <w:textAlignment w:val="baseline"/>
              <w:rPr>
                <w:rFonts w:hint="default" w:ascii="Times New Roman" w:hAnsi="Times New Roman" w:eastAsia="宋体" w:cs="Times New Roman"/>
                <w:snapToGrid w:val="0"/>
                <w:color w:val="auto"/>
                <w:kern w:val="0"/>
                <w:sz w:val="12"/>
                <w:szCs w:val="12"/>
                <w:lang w:val="en-US" w:eastAsia="en-US" w:bidi="ar-SA"/>
              </w:rPr>
            </w:pPr>
            <w:r>
              <w:rPr>
                <w:rFonts w:hint="default" w:ascii="Times New Roman" w:hAnsi="Times New Roman" w:eastAsia="宋体" w:cs="Times New Roman"/>
                <w:snapToGrid w:val="0"/>
                <w:color w:val="auto"/>
                <w:spacing w:val="-2"/>
                <w:kern w:val="0"/>
                <w:sz w:val="12"/>
                <w:szCs w:val="12"/>
                <w:lang w:val="en-US" w:eastAsia="en-US" w:bidi="ar-SA"/>
              </w:rPr>
              <w:t>指导服务对象满</w:t>
            </w:r>
            <w:r>
              <w:rPr>
                <w:rFonts w:hint="default" w:ascii="Times New Roman" w:hAnsi="Times New Roman" w:eastAsia="宋体" w:cs="Times New Roman"/>
                <w:snapToGrid w:val="0"/>
                <w:color w:val="auto"/>
                <w:spacing w:val="1"/>
                <w:kern w:val="0"/>
                <w:sz w:val="12"/>
                <w:szCs w:val="12"/>
                <w:lang w:val="en-US" w:eastAsia="en-US" w:bidi="ar-SA"/>
              </w:rPr>
              <w:t xml:space="preserve"> </w:t>
            </w:r>
            <w:r>
              <w:rPr>
                <w:rFonts w:hint="default" w:ascii="Times New Roman" w:hAnsi="Times New Roman" w:eastAsia="宋体" w:cs="Times New Roman"/>
                <w:snapToGrid w:val="0"/>
                <w:color w:val="auto"/>
                <w:spacing w:val="-3"/>
                <w:kern w:val="0"/>
                <w:sz w:val="12"/>
                <w:szCs w:val="12"/>
                <w:lang w:val="en-US" w:eastAsia="en-US" w:bidi="ar-SA"/>
              </w:rPr>
              <w:t>意度</w:t>
            </w:r>
          </w:p>
        </w:tc>
        <w:tc>
          <w:tcPr>
            <w:tcW w:w="85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67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71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69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700"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709"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c>
          <w:tcPr>
            <w:tcW w:w="744" w:type="dxa"/>
            <w:vAlign w:val="center"/>
          </w:tcPr>
          <w:p>
            <w:pPr>
              <w:kinsoku w:val="0"/>
              <w:autoSpaceDE w:val="0"/>
              <w:autoSpaceDN w:val="0"/>
              <w:adjustRightInd w:val="0"/>
              <w:snapToGrid w:val="0"/>
              <w:spacing w:before="210" w:line="184" w:lineRule="auto"/>
              <w:jc w:val="center"/>
              <w:textAlignment w:val="baseline"/>
              <w:rPr>
                <w:rFonts w:hint="default" w:ascii="Times New Roman" w:hAnsi="Times New Roman" w:eastAsia="宋体" w:cs="Times New Roman"/>
                <w:snapToGrid w:val="0"/>
                <w:color w:val="auto"/>
                <w:spacing w:val="-3"/>
                <w:kern w:val="0"/>
                <w:sz w:val="12"/>
                <w:szCs w:val="12"/>
                <w:lang w:val="en-US" w:eastAsia="en-US" w:bidi="ar-SA"/>
              </w:rPr>
            </w:pPr>
            <w:r>
              <w:rPr>
                <w:rFonts w:hint="default" w:ascii="Times New Roman" w:hAnsi="Times New Roman" w:eastAsia="宋体" w:cs="Times New Roman"/>
                <w:snapToGrid w:val="0"/>
                <w:color w:val="auto"/>
                <w:spacing w:val="-3"/>
                <w:kern w:val="0"/>
                <w:sz w:val="12"/>
                <w:szCs w:val="12"/>
                <w:lang w:val="en-US" w:eastAsia="en-US" w:bidi="ar-SA"/>
              </w:rPr>
              <w:t>&gt;85%</w:t>
            </w:r>
          </w:p>
        </w:tc>
      </w:tr>
    </w:tbl>
    <w:p>
      <w:pPr>
        <w:pStyle w:val="14"/>
        <w:rPr>
          <w:rFonts w:hint="default" w:ascii="Times New Roman" w:hAnsi="Times New Roman" w:cs="Times New Roman"/>
          <w:color w:val="auto"/>
        </w:rPr>
        <w:sectPr>
          <w:pgSz w:w="16838" w:h="11906" w:orient="landscape"/>
          <w:pgMar w:top="1134" w:right="1417" w:bottom="1134" w:left="1417"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二、绩效目标完成情况分析</w:t>
      </w:r>
    </w:p>
    <w:p>
      <w:pPr>
        <w:pStyle w:val="11"/>
        <w:keepNext w:val="0"/>
        <w:keepLines w:val="0"/>
        <w:pageBreakBefore w:val="0"/>
        <w:widowControl w:val="0"/>
        <w:kinsoku/>
        <w:wordWrap/>
        <w:overflowPunct/>
        <w:topLinePunct w:val="0"/>
        <w:autoSpaceDE/>
        <w:autoSpaceDN/>
        <w:bidi w:val="0"/>
        <w:snapToGrid/>
        <w:spacing w:after="0" w:line="560" w:lineRule="exact"/>
        <w:ind w:left="0" w:leftChars="0" w:firstLine="642" w:firstLineChars="200"/>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（一）资金投入情况分析</w:t>
      </w:r>
    </w:p>
    <w:p>
      <w:pPr>
        <w:pStyle w:val="11"/>
        <w:keepNext w:val="0"/>
        <w:keepLines w:val="0"/>
        <w:pageBreakBefore w:val="0"/>
        <w:widowControl w:val="0"/>
        <w:kinsoku/>
        <w:wordWrap/>
        <w:overflowPunct/>
        <w:topLinePunct w:val="0"/>
        <w:autoSpaceDE/>
        <w:autoSpaceDN/>
        <w:bidi w:val="0"/>
        <w:snapToGrid/>
        <w:spacing w:after="0" w:line="560" w:lineRule="exact"/>
        <w:ind w:left="0" w:leftChars="0" w:firstLine="642" w:firstLineChars="200"/>
        <w:textAlignment w:val="auto"/>
        <w:rPr>
          <w:rFonts w:hint="eastAsia" w:ascii="Times New Roman" w:hAnsi="Times New Roman" w:eastAsia="仿宋_GB2312" w:cs="Times New Roman"/>
          <w:b/>
          <w:bCs/>
          <w:color w:val="auto"/>
          <w:sz w:val="32"/>
          <w:szCs w:val="32"/>
          <w:lang w:val="en-US" w:eastAsia="zh-CN"/>
        </w:rPr>
      </w:pPr>
      <w:r>
        <w:rPr>
          <w:rFonts w:hint="default" w:ascii="Times New Roman" w:hAnsi="Times New Roman" w:cs="Times New Roman"/>
          <w:b/>
          <w:bCs/>
          <w:color w:val="auto"/>
          <w:sz w:val="32"/>
          <w:szCs w:val="32"/>
        </w:rPr>
        <w:t>1.项目资金到位情况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rPr>
        <w:t>年中央下达农业防灾减灾资金共计</w:t>
      </w:r>
      <w:r>
        <w:rPr>
          <w:rFonts w:hint="eastAsia" w:cs="Times New Roman"/>
          <w:color w:val="auto"/>
          <w:sz w:val="32"/>
          <w:szCs w:val="32"/>
          <w:lang w:val="en-US" w:eastAsia="zh-CN"/>
        </w:rPr>
        <w:t>43062</w:t>
      </w:r>
      <w:r>
        <w:rPr>
          <w:rFonts w:hint="default" w:ascii="Times New Roman" w:hAnsi="Times New Roman" w:eastAsia="仿宋_GB2312" w:cs="Times New Roman"/>
          <w:color w:val="auto"/>
          <w:sz w:val="32"/>
          <w:szCs w:val="32"/>
        </w:rPr>
        <w:t>万元，资金到位率100%。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sz w:val="32"/>
          <w:szCs w:val="32"/>
          <w:lang w:val="en-US" w:eastAsia="zh-CN"/>
        </w:rPr>
        <w:t>其中：</w:t>
      </w:r>
      <w:r>
        <w:rPr>
          <w:rFonts w:hint="eastAsia" w:cs="Times New Roman"/>
          <w:color w:val="auto"/>
          <w:sz w:val="32"/>
          <w:szCs w:val="32"/>
          <w:lang w:val="en-US" w:eastAsia="zh-CN"/>
        </w:rPr>
        <w:t>2022年10月《关于提前下达2023年农业相关转移支付资金预算的通知》（财农〔2022〕82号）</w:t>
      </w:r>
      <w:r>
        <w:rPr>
          <w:rFonts w:hint="default" w:ascii="Times New Roman" w:hAnsi="Times New Roman" w:cs="Times New Roman"/>
          <w:color w:val="auto"/>
          <w:sz w:val="32"/>
          <w:szCs w:val="32"/>
        </w:rPr>
        <w:t>下达20397</w:t>
      </w:r>
      <w:r>
        <w:rPr>
          <w:rFonts w:hint="eastAsia" w:ascii="Times New Roman" w:hAnsi="Times New Roman" w:cs="Times New Roman"/>
          <w:color w:val="auto"/>
          <w:sz w:val="32"/>
          <w:szCs w:val="32"/>
          <w:lang w:val="en-US" w:eastAsia="zh-CN"/>
        </w:rPr>
        <w:t>万元</w:t>
      </w:r>
      <w:r>
        <w:rPr>
          <w:rFonts w:hint="eastAsia" w:cs="Times New Roman"/>
          <w:color w:val="auto"/>
          <w:sz w:val="32"/>
          <w:szCs w:val="32"/>
          <w:lang w:val="en-US" w:eastAsia="zh-CN"/>
        </w:rPr>
        <w:t>。</w:t>
      </w:r>
      <w:r>
        <w:rPr>
          <w:rFonts w:hint="default" w:ascii="Times New Roman" w:hAnsi="Times New Roman" w:cs="Times New Roman"/>
          <w:color w:val="auto"/>
          <w:sz w:val="32"/>
          <w:szCs w:val="32"/>
        </w:rPr>
        <w:t>202</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年</w:t>
      </w:r>
      <w:r>
        <w:rPr>
          <w:rFonts w:hint="default" w:ascii="Times New Roman" w:hAnsi="Times New Roman" w:cs="Times New Roman"/>
          <w:color w:val="auto"/>
          <w:sz w:val="32"/>
          <w:szCs w:val="32"/>
          <w:lang w:val="en-US" w:eastAsia="zh-CN"/>
        </w:rPr>
        <w:t>4</w:t>
      </w:r>
      <w:r>
        <w:rPr>
          <w:rFonts w:hint="default" w:ascii="Times New Roman" w:hAnsi="Times New Roman" w:cs="Times New Roman"/>
          <w:color w:val="auto"/>
          <w:sz w:val="32"/>
          <w:szCs w:val="32"/>
        </w:rPr>
        <w:t>月《关于下达2023年农业防灾减灾和水利救灾资金（动物防疫补助）预算的通知》（财农〔2023〕23号）</w:t>
      </w:r>
      <w:r>
        <w:rPr>
          <w:rFonts w:hint="eastAsia" w:ascii="Times New Roman" w:hAnsi="Times New Roman" w:cs="Times New Roman"/>
          <w:color w:val="auto"/>
          <w:sz w:val="32"/>
          <w:szCs w:val="32"/>
          <w:lang w:val="en-US" w:eastAsia="zh-CN"/>
        </w:rPr>
        <w:t>下达9575万元</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sz w:val="32"/>
          <w:szCs w:val="32"/>
        </w:rPr>
        <w:t>202</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年</w:t>
      </w:r>
      <w:r>
        <w:rPr>
          <w:rFonts w:hint="default" w:ascii="Times New Roman" w:hAnsi="Times New Roman" w:cs="Times New Roman"/>
          <w:color w:val="auto"/>
          <w:sz w:val="32"/>
          <w:szCs w:val="32"/>
          <w:lang w:val="en-US" w:eastAsia="zh-CN"/>
        </w:rPr>
        <w:t>4</w:t>
      </w:r>
      <w:r>
        <w:rPr>
          <w:rFonts w:hint="default" w:ascii="Times New Roman" w:hAnsi="Times New Roman" w:cs="Times New Roman"/>
          <w:color w:val="auto"/>
          <w:sz w:val="32"/>
          <w:szCs w:val="32"/>
        </w:rPr>
        <w:t>月</w:t>
      </w:r>
      <w:r>
        <w:rPr>
          <w:rFonts w:hint="default" w:ascii="Times New Roman" w:hAnsi="Times New Roman" w:cs="Times New Roman"/>
          <w:color w:val="auto"/>
          <w:sz w:val="32"/>
          <w:szCs w:val="32"/>
          <w:lang w:val="en-US" w:eastAsia="zh-CN"/>
        </w:rPr>
        <w:t>《财政部关于下达2023年农业防灾减灾和水利救灾资金预算</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防灾救灾第一批</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的通知》（财农〔2023〕21）</w:t>
      </w:r>
      <w:r>
        <w:rPr>
          <w:rFonts w:hint="default" w:ascii="Times New Roman" w:hAnsi="Times New Roman" w:cs="Times New Roman"/>
          <w:color w:val="auto"/>
          <w:sz w:val="32"/>
          <w:szCs w:val="32"/>
        </w:rPr>
        <w:t>下达</w:t>
      </w:r>
      <w:r>
        <w:rPr>
          <w:rFonts w:hint="default" w:ascii="Times New Roman" w:hAnsi="Times New Roman" w:eastAsia="仿宋_GB2312" w:cs="Times New Roman"/>
          <w:color w:val="auto"/>
          <w:sz w:val="32"/>
          <w:szCs w:val="32"/>
        </w:rPr>
        <w:t>1330</w:t>
      </w:r>
      <w:r>
        <w:rPr>
          <w:rFonts w:hint="default" w:ascii="Times New Roman" w:hAnsi="Times New Roman" w:cs="Times New Roman"/>
          <w:color w:val="auto"/>
          <w:sz w:val="32"/>
          <w:szCs w:val="32"/>
          <w:lang w:val="en-US" w:eastAsia="zh-CN"/>
        </w:rPr>
        <w:t>万元。2023年6月《财政部关于下达2023年农业防灾减灾和水利救灾资金预算（防灾减灾第四批）的通知》（财农〔2023〕47号）</w:t>
      </w:r>
      <w:r>
        <w:rPr>
          <w:rFonts w:hint="default" w:ascii="Times New Roman" w:hAnsi="Times New Roman" w:cs="Times New Roman"/>
          <w:color w:val="auto"/>
          <w:sz w:val="32"/>
          <w:szCs w:val="32"/>
        </w:rPr>
        <w:t>下达</w:t>
      </w:r>
      <w:r>
        <w:rPr>
          <w:rFonts w:hint="default" w:ascii="Times New Roman" w:hAnsi="Times New Roman" w:eastAsia="仿宋_GB2312" w:cs="Times New Roman"/>
          <w:color w:val="auto"/>
          <w:sz w:val="32"/>
          <w:szCs w:val="32"/>
        </w:rPr>
        <w:t>2140</w:t>
      </w:r>
      <w:r>
        <w:rPr>
          <w:rFonts w:hint="default" w:ascii="Times New Roman" w:hAnsi="Times New Roman" w:cs="Times New Roman"/>
          <w:color w:val="auto"/>
          <w:sz w:val="32"/>
          <w:szCs w:val="32"/>
          <w:lang w:val="en-US" w:eastAsia="zh-CN"/>
        </w:rPr>
        <w:t>万元。2023年12月《关于下达 2023年中央农业防灾减灾和水利救灾资金预算</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防灾救灾第十一批</w:t>
      </w:r>
      <w:r>
        <w:rPr>
          <w:rFonts w:hint="eastAsia" w:ascii="Times New Roman" w:hAnsi="Times New Roman" w:cs="Times New Roman"/>
          <w:color w:val="auto"/>
          <w:sz w:val="32"/>
          <w:szCs w:val="32"/>
          <w:lang w:val="en-US" w:eastAsia="zh-CN"/>
        </w:rPr>
        <w:t>）</w:t>
      </w:r>
      <w:r>
        <w:rPr>
          <w:rFonts w:hint="default" w:ascii="Times New Roman" w:hAnsi="Times New Roman" w:cs="Times New Roman"/>
          <w:color w:val="auto"/>
          <w:sz w:val="32"/>
          <w:szCs w:val="32"/>
          <w:lang w:val="en-US" w:eastAsia="zh-CN"/>
        </w:rPr>
        <w:t>的通知》（新财农〔2023〕117号）</w:t>
      </w:r>
      <w:r>
        <w:rPr>
          <w:rFonts w:hint="default" w:ascii="Times New Roman" w:hAnsi="Times New Roman" w:cs="Times New Roman"/>
          <w:color w:val="auto"/>
          <w:sz w:val="32"/>
          <w:szCs w:val="32"/>
        </w:rPr>
        <w:t>下达</w:t>
      </w:r>
      <w:r>
        <w:rPr>
          <w:rFonts w:hint="default" w:ascii="Times New Roman" w:hAnsi="Times New Roman" w:eastAsia="仿宋_GB2312" w:cs="Times New Roman"/>
          <w:color w:val="auto"/>
          <w:sz w:val="32"/>
          <w:szCs w:val="32"/>
        </w:rPr>
        <w:t>9620</w:t>
      </w:r>
      <w:r>
        <w:rPr>
          <w:rFonts w:hint="default" w:ascii="Times New Roman" w:hAnsi="Times New Roman" w:cs="Times New Roman"/>
          <w:color w:val="auto"/>
          <w:sz w:val="32"/>
          <w:szCs w:val="32"/>
          <w:lang w:val="en-US" w:eastAsia="zh-CN"/>
        </w:rPr>
        <w:t>万元。</w:t>
      </w:r>
    </w:p>
    <w:p>
      <w:pPr>
        <w:pStyle w:val="11"/>
        <w:keepNext w:val="0"/>
        <w:keepLines w:val="0"/>
        <w:pageBreakBefore w:val="0"/>
        <w:widowControl w:val="0"/>
        <w:kinsoku/>
        <w:wordWrap/>
        <w:overflowPunct/>
        <w:topLinePunct w:val="0"/>
        <w:autoSpaceDE/>
        <w:autoSpaceDN/>
        <w:bidi w:val="0"/>
        <w:snapToGrid/>
        <w:spacing w:after="0" w:line="560" w:lineRule="exact"/>
        <w:ind w:left="0" w:leftChars="0" w:firstLine="642" w:firstLineChars="200"/>
        <w:textAlignment w:val="auto"/>
        <w:rPr>
          <w:rFonts w:hint="eastAsia" w:ascii="Times New Roman" w:hAnsi="Times New Roman" w:eastAsia="仿宋_GB2312" w:cs="Times New Roman"/>
          <w:b/>
          <w:bCs/>
          <w:color w:val="auto"/>
          <w:sz w:val="32"/>
          <w:szCs w:val="32"/>
          <w:highlight w:val="none"/>
          <w:lang w:eastAsia="zh-CN"/>
        </w:rPr>
      </w:pPr>
      <w:r>
        <w:rPr>
          <w:rFonts w:hint="default" w:ascii="Times New Roman" w:hAnsi="Times New Roman" w:cs="Times New Roman"/>
          <w:b/>
          <w:bCs/>
          <w:color w:val="auto"/>
          <w:sz w:val="32"/>
          <w:szCs w:val="32"/>
          <w:highlight w:val="none"/>
        </w:rPr>
        <w:t>2.项目资金执行情况</w:t>
      </w:r>
    </w:p>
    <w:p>
      <w:pPr>
        <w:pStyle w:val="11"/>
        <w:keepNext w:val="0"/>
        <w:keepLines w:val="0"/>
        <w:pageBreakBefore w:val="0"/>
        <w:widowControl w:val="0"/>
        <w:kinsoku/>
        <w:wordWrap/>
        <w:overflowPunct/>
        <w:topLinePunct w:val="0"/>
        <w:autoSpaceDE/>
        <w:autoSpaceDN/>
        <w:bidi w:val="0"/>
        <w:adjustRightInd w:val="0"/>
        <w:snapToGrid/>
        <w:spacing w:after="0" w:line="560" w:lineRule="exact"/>
        <w:ind w:left="0" w:leftChars="0" w:firstLine="640"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rPr>
        <w:t>202</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年度</w:t>
      </w:r>
      <w:r>
        <w:rPr>
          <w:rFonts w:hint="default" w:ascii="Times New Roman" w:hAnsi="Times New Roman" w:cs="Times New Roman"/>
          <w:color w:val="auto"/>
          <w:sz w:val="32"/>
          <w:szCs w:val="32"/>
          <w:lang w:val="en-US" w:eastAsia="zh-CN"/>
        </w:rPr>
        <w:t>下达</w:t>
      </w:r>
      <w:r>
        <w:rPr>
          <w:rFonts w:hint="default" w:ascii="Times New Roman" w:hAnsi="Times New Roman" w:eastAsia="仿宋_GB2312" w:cs="Times New Roman"/>
          <w:color w:val="auto"/>
          <w:sz w:val="32"/>
          <w:szCs w:val="32"/>
        </w:rPr>
        <w:t>农业</w:t>
      </w:r>
      <w:r>
        <w:rPr>
          <w:rFonts w:hint="default" w:ascii="Times New Roman" w:hAnsi="Times New Roman" w:cs="Times New Roman"/>
          <w:color w:val="auto"/>
          <w:sz w:val="32"/>
          <w:szCs w:val="32"/>
        </w:rPr>
        <w:t>防灾减灾资金</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第一批、第四批、第十一批</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sz w:val="32"/>
          <w:szCs w:val="32"/>
        </w:rPr>
        <w:t>总计</w:t>
      </w:r>
      <w:r>
        <w:rPr>
          <w:rFonts w:hint="default" w:ascii="Times New Roman" w:hAnsi="Times New Roman" w:cs="Times New Roman"/>
          <w:color w:val="auto"/>
          <w:sz w:val="32"/>
          <w:szCs w:val="32"/>
          <w:lang w:val="en-US" w:eastAsia="zh-CN"/>
        </w:rPr>
        <w:t>13090</w:t>
      </w:r>
      <w:r>
        <w:rPr>
          <w:rFonts w:hint="default" w:ascii="Times New Roman" w:hAnsi="Times New Roman" w:cs="Times New Roman"/>
          <w:color w:val="auto"/>
          <w:sz w:val="32"/>
          <w:szCs w:val="32"/>
        </w:rPr>
        <w:t>万元。截</w:t>
      </w:r>
      <w:r>
        <w:rPr>
          <w:rFonts w:hint="default" w:ascii="Times New Roman" w:hAnsi="Times New Roman" w:cs="Times New Roman"/>
          <w:color w:val="auto"/>
          <w:sz w:val="32"/>
          <w:szCs w:val="32"/>
          <w:lang w:val="en-US" w:eastAsia="zh-CN"/>
        </w:rPr>
        <w:t>至</w:t>
      </w:r>
      <w:r>
        <w:rPr>
          <w:rFonts w:hint="default" w:ascii="Times New Roman" w:hAnsi="Times New Roman" w:cs="Times New Roman"/>
          <w:color w:val="auto"/>
          <w:sz w:val="32"/>
          <w:szCs w:val="32"/>
        </w:rPr>
        <w:t>202</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年12月31日，共计执行</w:t>
      </w:r>
      <w:r>
        <w:rPr>
          <w:rFonts w:hint="default" w:ascii="Times New Roman" w:hAnsi="Times New Roman" w:cs="Times New Roman"/>
          <w:color w:val="auto"/>
          <w:sz w:val="32"/>
          <w:szCs w:val="32"/>
          <w:lang w:val="en-US" w:eastAsia="zh-CN"/>
        </w:rPr>
        <w:t>3405.79</w:t>
      </w:r>
      <w:r>
        <w:rPr>
          <w:rFonts w:hint="default" w:ascii="Times New Roman" w:hAnsi="Times New Roman" w:cs="Times New Roman"/>
          <w:color w:val="auto"/>
          <w:sz w:val="32"/>
          <w:szCs w:val="32"/>
        </w:rPr>
        <w:t>万元，执行率</w:t>
      </w:r>
      <w:r>
        <w:rPr>
          <w:rFonts w:hint="default" w:ascii="Times New Roman" w:hAnsi="Times New Roman" w:cs="Times New Roman"/>
          <w:color w:val="auto"/>
          <w:sz w:val="32"/>
          <w:szCs w:val="32"/>
          <w:lang w:val="en-US" w:eastAsia="zh-CN"/>
        </w:rPr>
        <w:t>26.02</w:t>
      </w:r>
      <w:r>
        <w:rPr>
          <w:rFonts w:hint="default" w:ascii="Times New Roman" w:hAnsi="Times New Roman" w:cs="Times New Roman"/>
          <w:color w:val="auto"/>
          <w:sz w:val="32"/>
          <w:szCs w:val="32"/>
        </w:rPr>
        <w:t>%</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各地州资金执行情况详见下表：</w:t>
      </w:r>
    </w:p>
    <w:p>
      <w:pPr>
        <w:pStyle w:val="17"/>
        <w:keepNext w:val="0"/>
        <w:keepLines w:val="0"/>
        <w:pageBreakBefore w:val="0"/>
        <w:widowControl w:val="0"/>
        <w:kinsoku/>
        <w:wordWrap/>
        <w:overflowPunct/>
        <w:topLinePunct w:val="0"/>
        <w:autoSpaceDE/>
        <w:autoSpaceDN/>
        <w:bidi w:val="0"/>
        <w:snapToGrid/>
        <w:spacing w:line="240" w:lineRule="auto"/>
        <w:ind w:firstLine="441" w:firstLineChars="200"/>
        <w:jc w:val="center"/>
        <w:textAlignment w:val="auto"/>
        <w:rPr>
          <w:rFonts w:hint="default" w:ascii="Times New Roman" w:hAnsi="Times New Roman" w:eastAsia="宋体" w:cs="Times New Roman"/>
          <w:b/>
          <w:bCs/>
          <w:color w:val="auto"/>
          <w:sz w:val="22"/>
          <w:szCs w:val="21"/>
          <w:lang w:val="en-US" w:eastAsia="zh-CN"/>
        </w:rPr>
      </w:pPr>
      <w:r>
        <w:rPr>
          <w:rFonts w:hint="default" w:ascii="Times New Roman" w:hAnsi="Times New Roman" w:cs="Times New Roman"/>
          <w:b/>
          <w:bCs/>
          <w:color w:val="auto"/>
          <w:sz w:val="22"/>
          <w:szCs w:val="21"/>
          <w:lang w:val="en-US" w:eastAsia="zh-CN"/>
        </w:rPr>
        <w:t>2</w:t>
      </w:r>
      <w:r>
        <w:rPr>
          <w:rFonts w:hint="default" w:ascii="Times New Roman" w:hAnsi="Times New Roman" w:cs="Times New Roman"/>
          <w:b/>
          <w:bCs/>
          <w:color w:val="auto"/>
          <w:sz w:val="22"/>
          <w:szCs w:val="21"/>
        </w:rPr>
        <w:t>02</w:t>
      </w:r>
      <w:r>
        <w:rPr>
          <w:rFonts w:hint="default" w:ascii="Times New Roman" w:hAnsi="Times New Roman" w:cs="Times New Roman"/>
          <w:b/>
          <w:bCs/>
          <w:color w:val="auto"/>
          <w:sz w:val="22"/>
          <w:szCs w:val="21"/>
          <w:lang w:val="en-US" w:eastAsia="zh-CN"/>
        </w:rPr>
        <w:t>3</w:t>
      </w:r>
      <w:r>
        <w:rPr>
          <w:rFonts w:hint="default" w:ascii="Times New Roman" w:hAnsi="Times New Roman" w:eastAsia="宋体" w:cs="Times New Roman"/>
          <w:b/>
          <w:bCs/>
          <w:color w:val="auto"/>
          <w:sz w:val="22"/>
          <w:szCs w:val="21"/>
          <w:lang w:val="en-US" w:eastAsia="zh-CN"/>
        </w:rPr>
        <w:t>年农业防灾减灾</w:t>
      </w:r>
      <w:r>
        <w:rPr>
          <w:rFonts w:hint="eastAsia" w:ascii="Times New Roman" w:hAnsi="Times New Roman" w:eastAsia="宋体" w:cs="Times New Roman"/>
          <w:b/>
          <w:bCs/>
          <w:color w:val="auto"/>
          <w:sz w:val="22"/>
          <w:szCs w:val="21"/>
          <w:lang w:val="en-US" w:eastAsia="zh-CN"/>
        </w:rPr>
        <w:t>（第一批、第四批、第十一批）</w:t>
      </w:r>
      <w:r>
        <w:rPr>
          <w:rFonts w:hint="default" w:ascii="Times New Roman" w:hAnsi="Times New Roman" w:eastAsia="宋体" w:cs="Times New Roman"/>
          <w:b/>
          <w:bCs/>
          <w:color w:val="auto"/>
          <w:sz w:val="22"/>
          <w:szCs w:val="21"/>
          <w:lang w:val="en-US" w:eastAsia="zh-CN"/>
        </w:rPr>
        <w:t>各地州资金执行情况表</w:t>
      </w:r>
    </w:p>
    <w:tbl>
      <w:tblPr>
        <w:tblStyle w:val="12"/>
        <w:tblW w:w="4998" w:type="pct"/>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8"/>
        <w:gridCol w:w="3456"/>
        <w:gridCol w:w="1567"/>
        <w:gridCol w:w="1488"/>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trPr>
        <w:tc>
          <w:tcPr>
            <w:tcW w:w="55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bCs/>
                <w:i w:val="0"/>
                <w:iCs w:val="0"/>
                <w:color w:val="auto"/>
                <w:sz w:val="18"/>
                <w:szCs w:val="18"/>
                <w:u w:val="none"/>
              </w:rPr>
            </w:pPr>
            <w:r>
              <w:rPr>
                <w:rFonts w:hint="default" w:ascii="Times New Roman" w:hAnsi="Times New Roman" w:cs="Times New Roman" w:eastAsiaTheme="minorEastAsia"/>
                <w:b/>
                <w:bCs/>
                <w:i w:val="0"/>
                <w:iCs w:val="0"/>
                <w:color w:val="auto"/>
                <w:kern w:val="0"/>
                <w:sz w:val="18"/>
                <w:szCs w:val="18"/>
                <w:u w:val="none"/>
                <w:lang w:val="en-US" w:eastAsia="zh-CN" w:bidi="ar"/>
              </w:rPr>
              <w:t>序号</w:t>
            </w:r>
          </w:p>
        </w:tc>
        <w:tc>
          <w:tcPr>
            <w:tcW w:w="199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bCs/>
                <w:i w:val="0"/>
                <w:iCs w:val="0"/>
                <w:color w:val="auto"/>
                <w:sz w:val="18"/>
                <w:szCs w:val="18"/>
                <w:u w:val="none"/>
              </w:rPr>
            </w:pPr>
            <w:r>
              <w:rPr>
                <w:rFonts w:hint="default" w:ascii="Times New Roman" w:hAnsi="Times New Roman" w:cs="Times New Roman" w:eastAsiaTheme="minorEastAsia"/>
                <w:b/>
                <w:bCs/>
                <w:i w:val="0"/>
                <w:iCs w:val="0"/>
                <w:color w:val="auto"/>
                <w:kern w:val="0"/>
                <w:sz w:val="18"/>
                <w:szCs w:val="18"/>
                <w:u w:val="none"/>
                <w:lang w:val="en-US" w:eastAsia="zh-CN" w:bidi="ar"/>
              </w:rPr>
              <w:t>地州/单位</w:t>
            </w:r>
          </w:p>
        </w:tc>
        <w:tc>
          <w:tcPr>
            <w:tcW w:w="92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bCs/>
                <w:i w:val="0"/>
                <w:iCs w:val="0"/>
                <w:color w:val="auto"/>
                <w:sz w:val="18"/>
                <w:szCs w:val="18"/>
                <w:u w:val="none"/>
                <w:lang w:val="en-US" w:eastAsia="zh-CN"/>
              </w:rPr>
            </w:pPr>
            <w:r>
              <w:rPr>
                <w:rFonts w:hint="default" w:ascii="Times New Roman" w:hAnsi="Times New Roman" w:cs="Times New Roman" w:eastAsiaTheme="minorEastAsia"/>
                <w:b/>
                <w:bCs/>
                <w:i w:val="0"/>
                <w:iCs w:val="0"/>
                <w:color w:val="auto"/>
                <w:sz w:val="18"/>
                <w:szCs w:val="18"/>
                <w:u w:val="none"/>
                <w:lang w:val="en-US" w:eastAsia="zh-CN"/>
              </w:rPr>
              <w:t>分配金额</w:t>
            </w:r>
            <w:r>
              <w:rPr>
                <w:rFonts w:hint="eastAsia" w:ascii="Times New Roman" w:hAnsi="Times New Roman" w:cs="Times New Roman" w:eastAsiaTheme="minorEastAsia"/>
                <w:b/>
                <w:bCs/>
                <w:i w:val="0"/>
                <w:iCs w:val="0"/>
                <w:color w:val="auto"/>
                <w:sz w:val="18"/>
                <w:szCs w:val="18"/>
                <w:u w:val="none"/>
                <w:lang w:val="en-US" w:eastAsia="zh-CN"/>
              </w:rPr>
              <w:t>（万元）</w:t>
            </w:r>
          </w:p>
        </w:tc>
        <w:tc>
          <w:tcPr>
            <w:tcW w:w="88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bCs/>
                <w:i w:val="0"/>
                <w:iCs w:val="0"/>
                <w:color w:val="auto"/>
                <w:sz w:val="18"/>
                <w:szCs w:val="18"/>
                <w:u w:val="none"/>
                <w:lang w:val="en-US" w:eastAsia="zh-CN"/>
              </w:rPr>
            </w:pPr>
            <w:r>
              <w:rPr>
                <w:rFonts w:hint="default" w:ascii="Times New Roman" w:hAnsi="Times New Roman" w:cs="Times New Roman" w:eastAsiaTheme="minorEastAsia"/>
                <w:b/>
                <w:bCs/>
                <w:i w:val="0"/>
                <w:iCs w:val="0"/>
                <w:color w:val="auto"/>
                <w:sz w:val="18"/>
                <w:szCs w:val="18"/>
                <w:u w:val="none"/>
                <w:lang w:val="en-US" w:eastAsia="zh-CN"/>
              </w:rPr>
              <w:t>执行金额</w:t>
            </w:r>
            <w:r>
              <w:rPr>
                <w:rFonts w:hint="eastAsia" w:ascii="Times New Roman" w:hAnsi="Times New Roman" w:cs="Times New Roman" w:eastAsiaTheme="minorEastAsia"/>
                <w:b/>
                <w:bCs/>
                <w:i w:val="0"/>
                <w:iCs w:val="0"/>
                <w:color w:val="auto"/>
                <w:sz w:val="18"/>
                <w:szCs w:val="18"/>
                <w:u w:val="none"/>
                <w:lang w:val="en-US" w:eastAsia="zh-CN"/>
              </w:rPr>
              <w:t>（万元）</w:t>
            </w:r>
          </w:p>
        </w:tc>
        <w:tc>
          <w:tcPr>
            <w:tcW w:w="63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bCs/>
                <w:i w:val="0"/>
                <w:iCs w:val="0"/>
                <w:color w:val="auto"/>
                <w:sz w:val="18"/>
                <w:szCs w:val="18"/>
                <w:u w:val="none"/>
                <w:lang w:val="en-US" w:eastAsia="zh-CN"/>
              </w:rPr>
            </w:pPr>
            <w:r>
              <w:rPr>
                <w:rFonts w:hint="default" w:ascii="Times New Roman" w:hAnsi="Times New Roman" w:cs="Times New Roman" w:eastAsiaTheme="minorEastAsia"/>
                <w:b/>
                <w:bCs/>
                <w:i w:val="0"/>
                <w:iCs w:val="0"/>
                <w:color w:val="auto"/>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乌鲁木齐市</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133</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伊犁州直</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2059.82</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435.82</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塔城地区</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1009.5</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230</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4</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阿勒泰地区</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1005</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95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克拉玛依市</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45.5</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博州</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428</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60</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昌吉州</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656</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150</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8</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哈密市</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352.64</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172.64</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48.96%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rPr>
            </w:pPr>
            <w:r>
              <w:rPr>
                <w:rFonts w:hint="default" w:ascii="Times New Roman" w:hAnsi="Times New Roman" w:eastAsia="宋体" w:cs="Times New Roman"/>
                <w:i w:val="0"/>
                <w:iCs w:val="0"/>
                <w:color w:val="auto"/>
                <w:kern w:val="0"/>
                <w:sz w:val="18"/>
                <w:szCs w:val="18"/>
                <w:u w:val="none"/>
                <w:lang w:val="en-US" w:eastAsia="zh-CN" w:bidi="ar"/>
              </w:rPr>
              <w:t>9</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吐鲁番市</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119</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4.94</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rPr>
            </w:pPr>
            <w:r>
              <w:rPr>
                <w:rFonts w:hint="default" w:ascii="Times New Roman" w:hAnsi="Times New Roman" w:eastAsia="宋体" w:cs="Times New Roman"/>
                <w:i w:val="0"/>
                <w:iCs w:val="0"/>
                <w:color w:val="auto"/>
                <w:kern w:val="0"/>
                <w:sz w:val="18"/>
                <w:szCs w:val="18"/>
                <w:u w:val="none"/>
                <w:lang w:val="en-US" w:eastAsia="zh-CN" w:bidi="ar"/>
              </w:rPr>
              <w:t>10</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巴州</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2398.59</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1721.59</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71.78%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11</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阿克苏地区</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1296</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150</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12</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克州</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844</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13</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iCs w:val="0"/>
                <w:color w:val="auto"/>
                <w:kern w:val="0"/>
                <w:sz w:val="18"/>
                <w:szCs w:val="18"/>
                <w:u w:val="none"/>
                <w:lang w:val="en-US" w:eastAsia="zh-CN" w:bidi="ar"/>
              </w:rPr>
              <w:t>喀什地区</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1806.95</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275.8</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14</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和田地区</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906</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80</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15</w:t>
            </w:r>
          </w:p>
        </w:tc>
        <w:tc>
          <w:tcPr>
            <w:tcW w:w="19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新疆畜牧科学院畜牧机关</w:t>
            </w:r>
            <w:r>
              <w:rPr>
                <w:rFonts w:hint="eastAsia" w:ascii="Times New Roman" w:hAnsi="Times New Roman" w:eastAsia="宋体" w:cs="Times New Roman"/>
                <w:i w:val="0"/>
                <w:iCs w:val="0"/>
                <w:color w:val="auto"/>
                <w:kern w:val="0"/>
                <w:sz w:val="18"/>
                <w:szCs w:val="18"/>
                <w:u w:val="none"/>
                <w:lang w:val="en-US" w:eastAsia="zh-CN" w:bidi="ar"/>
              </w:rPr>
              <w:t>（</w:t>
            </w:r>
            <w:r>
              <w:rPr>
                <w:rFonts w:hint="default" w:ascii="Times New Roman" w:hAnsi="Times New Roman" w:eastAsia="宋体" w:cs="Times New Roman"/>
                <w:i w:val="0"/>
                <w:iCs w:val="0"/>
                <w:color w:val="auto"/>
                <w:kern w:val="0"/>
                <w:sz w:val="18"/>
                <w:szCs w:val="18"/>
                <w:u w:val="none"/>
                <w:lang w:val="en-US" w:eastAsia="zh-CN" w:bidi="ar"/>
              </w:rPr>
              <w:t>南山种羊场</w:t>
            </w:r>
            <w:r>
              <w:rPr>
                <w:rFonts w:hint="eastAsia" w:ascii="Times New Roman" w:hAnsi="Times New Roman" w:eastAsia="宋体" w:cs="Times New Roman"/>
                <w:i w:val="0"/>
                <w:iCs w:val="0"/>
                <w:color w:val="auto"/>
                <w:kern w:val="0"/>
                <w:sz w:val="18"/>
                <w:szCs w:val="18"/>
                <w:u w:val="none"/>
                <w:lang w:val="en-US" w:eastAsia="zh-CN" w:bidi="ar"/>
              </w:rPr>
              <w:t>）</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30</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5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cs="Times New Roman" w:eastAsiaTheme="minorEastAsia"/>
                <w:b/>
                <w:bCs/>
                <w:i w:val="0"/>
                <w:iCs w:val="0"/>
                <w:color w:val="auto"/>
                <w:kern w:val="0"/>
                <w:sz w:val="18"/>
                <w:szCs w:val="18"/>
                <w:u w:val="none"/>
                <w:lang w:val="en-US" w:eastAsia="zh-CN" w:bidi="ar"/>
              </w:rPr>
              <w:t>合计</w:t>
            </w:r>
          </w:p>
        </w:tc>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b/>
                <w:bCs/>
                <w:i w:val="0"/>
                <w:iCs w:val="0"/>
                <w:color w:val="auto"/>
                <w:kern w:val="0"/>
                <w:sz w:val="18"/>
                <w:szCs w:val="18"/>
                <w:u w:val="none"/>
                <w:lang w:val="en-US" w:eastAsia="zh-CN" w:bidi="ar"/>
              </w:rPr>
              <w:t>13090</w:t>
            </w:r>
          </w:p>
        </w:tc>
        <w:tc>
          <w:tcPr>
            <w:tcW w:w="8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b/>
                <w:bCs/>
                <w:i w:val="0"/>
                <w:iCs w:val="0"/>
                <w:color w:val="auto"/>
                <w:kern w:val="0"/>
                <w:sz w:val="18"/>
                <w:szCs w:val="18"/>
                <w:u w:val="none"/>
                <w:lang w:val="en-US" w:eastAsia="zh-CN" w:bidi="ar"/>
              </w:rPr>
              <w:t>3405.79</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b/>
                <w:bCs/>
                <w:i w:val="0"/>
                <w:iCs w:val="0"/>
                <w:color w:val="auto"/>
                <w:kern w:val="0"/>
                <w:sz w:val="18"/>
                <w:szCs w:val="18"/>
                <w:u w:val="none"/>
                <w:lang w:val="en-US" w:eastAsia="zh-CN" w:bidi="ar"/>
              </w:rPr>
              <w:t>26.02%</w:t>
            </w:r>
          </w:p>
        </w:tc>
      </w:tr>
    </w:tbl>
    <w:p>
      <w:pPr>
        <w:pStyle w:val="17"/>
        <w:jc w:val="both"/>
        <w:rPr>
          <w:rFonts w:hint="default" w:ascii="Times New Roman" w:hAnsi="Times New Roman" w:cs="Times New Roman"/>
          <w:b/>
          <w:bCs/>
          <w:color w:val="auto"/>
          <w:sz w:val="18"/>
          <w:szCs w:val="16"/>
          <w:lang w:val="en-US" w:eastAsia="zh-CN"/>
        </w:rPr>
      </w:pPr>
    </w:p>
    <w:p>
      <w:pPr>
        <w:pStyle w:val="11"/>
        <w:keepNext w:val="0"/>
        <w:keepLines w:val="0"/>
        <w:pageBreakBefore w:val="0"/>
        <w:widowControl w:val="0"/>
        <w:kinsoku/>
        <w:wordWrap/>
        <w:overflowPunct/>
        <w:topLinePunct w:val="0"/>
        <w:autoSpaceDE/>
        <w:autoSpaceDN/>
        <w:bidi w:val="0"/>
        <w:adjustRightInd w:val="0"/>
        <w:snapToGrid/>
        <w:spacing w:after="0" w:line="560" w:lineRule="exact"/>
        <w:ind w:left="0" w:leftChars="0" w:firstLine="640" w:firstLineChars="200"/>
        <w:textAlignment w:val="auto"/>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rPr>
        <w:t>202</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年度</w:t>
      </w:r>
      <w:r>
        <w:rPr>
          <w:rFonts w:hint="default" w:ascii="Times New Roman" w:hAnsi="Times New Roman" w:cs="Times New Roman"/>
          <w:color w:val="auto"/>
          <w:sz w:val="32"/>
          <w:szCs w:val="32"/>
          <w:lang w:val="en-US" w:eastAsia="zh-CN"/>
        </w:rPr>
        <w:t>下达</w:t>
      </w:r>
      <w:r>
        <w:rPr>
          <w:rFonts w:hint="default" w:ascii="Times New Roman" w:hAnsi="Times New Roman" w:eastAsia="仿宋_GB2312" w:cs="Times New Roman"/>
          <w:color w:val="auto"/>
          <w:sz w:val="32"/>
          <w:szCs w:val="32"/>
        </w:rPr>
        <w:t>农业</w:t>
      </w:r>
      <w:r>
        <w:rPr>
          <w:rFonts w:hint="default" w:ascii="Times New Roman" w:hAnsi="Times New Roman" w:cs="Times New Roman"/>
          <w:color w:val="auto"/>
          <w:sz w:val="32"/>
          <w:szCs w:val="32"/>
        </w:rPr>
        <w:t>防灾减灾资金</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动物防疫补助</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sz w:val="32"/>
          <w:szCs w:val="32"/>
        </w:rPr>
        <w:t>总计</w:t>
      </w:r>
      <w:r>
        <w:rPr>
          <w:rFonts w:hint="default" w:ascii="Times New Roman" w:hAnsi="Times New Roman" w:cs="Times New Roman"/>
          <w:color w:val="auto"/>
          <w:sz w:val="32"/>
          <w:szCs w:val="32"/>
          <w:lang w:val="en-US" w:eastAsia="zh-CN"/>
        </w:rPr>
        <w:t>29972</w:t>
      </w:r>
      <w:r>
        <w:rPr>
          <w:rFonts w:hint="default" w:ascii="Times New Roman" w:hAnsi="Times New Roman" w:cs="Times New Roman"/>
          <w:color w:val="auto"/>
          <w:sz w:val="32"/>
          <w:szCs w:val="32"/>
        </w:rPr>
        <w:t>万元。截</w:t>
      </w:r>
      <w:r>
        <w:rPr>
          <w:rFonts w:hint="default" w:ascii="Times New Roman" w:hAnsi="Times New Roman" w:cs="Times New Roman"/>
          <w:color w:val="auto"/>
          <w:sz w:val="32"/>
          <w:szCs w:val="32"/>
          <w:lang w:val="en-US" w:eastAsia="zh-CN"/>
        </w:rPr>
        <w:t>至</w:t>
      </w:r>
      <w:r>
        <w:rPr>
          <w:rFonts w:hint="default" w:ascii="Times New Roman" w:hAnsi="Times New Roman" w:cs="Times New Roman"/>
          <w:color w:val="auto"/>
          <w:sz w:val="32"/>
          <w:szCs w:val="32"/>
        </w:rPr>
        <w:t>202</w:t>
      </w:r>
      <w:r>
        <w:rPr>
          <w:rFonts w:hint="default" w:ascii="Times New Roman" w:hAnsi="Times New Roman" w:cs="Times New Roman"/>
          <w:color w:val="auto"/>
          <w:sz w:val="32"/>
          <w:szCs w:val="32"/>
          <w:lang w:val="en-US" w:eastAsia="zh-CN"/>
        </w:rPr>
        <w:t>3</w:t>
      </w:r>
      <w:r>
        <w:rPr>
          <w:rFonts w:hint="default" w:ascii="Times New Roman" w:hAnsi="Times New Roman" w:cs="Times New Roman"/>
          <w:color w:val="auto"/>
          <w:sz w:val="32"/>
          <w:szCs w:val="32"/>
        </w:rPr>
        <w:t>年12月31日，共计执行</w:t>
      </w:r>
      <w:r>
        <w:rPr>
          <w:rFonts w:hint="default" w:ascii="Times New Roman" w:hAnsi="Times New Roman" w:cs="Times New Roman"/>
          <w:color w:val="auto"/>
          <w:sz w:val="32"/>
          <w:szCs w:val="32"/>
          <w:lang w:val="en-US" w:eastAsia="zh-CN"/>
        </w:rPr>
        <w:t xml:space="preserve">29397.99 </w:t>
      </w:r>
      <w:r>
        <w:rPr>
          <w:rFonts w:hint="default" w:ascii="Times New Roman" w:hAnsi="Times New Roman" w:cs="Times New Roman"/>
          <w:color w:val="auto"/>
          <w:sz w:val="32"/>
          <w:szCs w:val="32"/>
        </w:rPr>
        <w:t>万元，执行率</w:t>
      </w:r>
      <w:r>
        <w:rPr>
          <w:rFonts w:hint="eastAsia" w:ascii="Times New Roman" w:hAnsi="Times New Roman" w:cs="Times New Roman"/>
          <w:color w:val="auto"/>
          <w:sz w:val="32"/>
          <w:szCs w:val="32"/>
          <w:lang w:val="en-US" w:eastAsia="zh-CN"/>
        </w:rPr>
        <w:t>98.08</w:t>
      </w:r>
      <w:r>
        <w:rPr>
          <w:rFonts w:hint="default" w:ascii="Times New Roman" w:hAnsi="Times New Roman" w:cs="Times New Roman"/>
          <w:color w:val="auto"/>
          <w:sz w:val="32"/>
          <w:szCs w:val="32"/>
        </w:rPr>
        <w:t>%</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各地州资金执行情况详见下表：</w:t>
      </w:r>
    </w:p>
    <w:p>
      <w:pPr>
        <w:pStyle w:val="17"/>
        <w:keepNext w:val="0"/>
        <w:keepLines w:val="0"/>
        <w:pageBreakBefore w:val="0"/>
        <w:widowControl w:val="0"/>
        <w:kinsoku/>
        <w:wordWrap/>
        <w:overflowPunct/>
        <w:topLinePunct w:val="0"/>
        <w:autoSpaceDE/>
        <w:autoSpaceDN/>
        <w:bidi w:val="0"/>
        <w:snapToGrid/>
        <w:spacing w:line="240" w:lineRule="auto"/>
        <w:ind w:firstLine="441" w:firstLineChars="200"/>
        <w:jc w:val="center"/>
        <w:textAlignment w:val="auto"/>
        <w:rPr>
          <w:rFonts w:hint="default"/>
          <w:lang w:val="en-US" w:eastAsia="zh-CN"/>
        </w:rPr>
      </w:pPr>
      <w:r>
        <w:rPr>
          <w:rFonts w:hint="default" w:ascii="Times New Roman" w:hAnsi="Times New Roman" w:cs="Times New Roman"/>
          <w:b/>
          <w:bCs/>
          <w:color w:val="auto"/>
          <w:sz w:val="22"/>
          <w:szCs w:val="21"/>
          <w:lang w:val="en-US" w:eastAsia="zh-CN"/>
        </w:rPr>
        <w:t>2</w:t>
      </w:r>
      <w:r>
        <w:rPr>
          <w:rFonts w:hint="default" w:ascii="Times New Roman" w:hAnsi="Times New Roman" w:cs="Times New Roman"/>
          <w:b/>
          <w:bCs/>
          <w:color w:val="auto"/>
          <w:sz w:val="22"/>
          <w:szCs w:val="21"/>
        </w:rPr>
        <w:t>02</w:t>
      </w:r>
      <w:r>
        <w:rPr>
          <w:rFonts w:hint="default" w:ascii="Times New Roman" w:hAnsi="Times New Roman" w:cs="Times New Roman"/>
          <w:b/>
          <w:bCs/>
          <w:color w:val="auto"/>
          <w:sz w:val="22"/>
          <w:szCs w:val="21"/>
          <w:lang w:val="en-US" w:eastAsia="zh-CN"/>
        </w:rPr>
        <w:t>3</w:t>
      </w:r>
      <w:r>
        <w:rPr>
          <w:rFonts w:hint="default" w:ascii="Times New Roman" w:hAnsi="Times New Roman" w:eastAsia="宋体" w:cs="Times New Roman"/>
          <w:b/>
          <w:bCs/>
          <w:color w:val="auto"/>
          <w:sz w:val="22"/>
          <w:szCs w:val="21"/>
          <w:lang w:val="en-US" w:eastAsia="zh-CN"/>
        </w:rPr>
        <w:t>年农业防灾减灾</w:t>
      </w:r>
      <w:r>
        <w:rPr>
          <w:rFonts w:hint="eastAsia" w:ascii="Times New Roman" w:hAnsi="Times New Roman" w:eastAsia="宋体" w:cs="Times New Roman"/>
          <w:b/>
          <w:bCs/>
          <w:color w:val="auto"/>
          <w:sz w:val="22"/>
          <w:szCs w:val="21"/>
          <w:lang w:val="en-US" w:eastAsia="zh-CN"/>
        </w:rPr>
        <w:t>（</w:t>
      </w:r>
      <w:r>
        <w:rPr>
          <w:rFonts w:hint="eastAsia" w:ascii="Times New Roman" w:hAnsi="Times New Roman" w:cs="Times New Roman"/>
          <w:b/>
          <w:bCs/>
          <w:color w:val="auto"/>
          <w:sz w:val="22"/>
          <w:szCs w:val="21"/>
          <w:lang w:val="en-US" w:eastAsia="zh-CN"/>
        </w:rPr>
        <w:t>动物防疫补助</w:t>
      </w:r>
      <w:r>
        <w:rPr>
          <w:rFonts w:hint="eastAsia" w:ascii="Times New Roman" w:hAnsi="Times New Roman" w:eastAsia="宋体" w:cs="Times New Roman"/>
          <w:b/>
          <w:bCs/>
          <w:color w:val="auto"/>
          <w:sz w:val="22"/>
          <w:szCs w:val="21"/>
          <w:lang w:val="en-US" w:eastAsia="zh-CN"/>
        </w:rPr>
        <w:t>）</w:t>
      </w:r>
      <w:r>
        <w:rPr>
          <w:rFonts w:hint="default" w:ascii="Times New Roman" w:hAnsi="Times New Roman" w:eastAsia="宋体" w:cs="Times New Roman"/>
          <w:b/>
          <w:bCs/>
          <w:color w:val="auto"/>
          <w:sz w:val="22"/>
          <w:szCs w:val="21"/>
          <w:lang w:val="en-US" w:eastAsia="zh-CN"/>
        </w:rPr>
        <w:t>各地州资金执行情况表</w:t>
      </w:r>
    </w:p>
    <w:tbl>
      <w:tblPr>
        <w:tblStyle w:val="12"/>
        <w:tblW w:w="4998" w:type="pct"/>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7"/>
        <w:gridCol w:w="3457"/>
        <w:gridCol w:w="1566"/>
        <w:gridCol w:w="1488"/>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trPr>
        <w:tc>
          <w:tcPr>
            <w:tcW w:w="55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bCs/>
                <w:i w:val="0"/>
                <w:iCs w:val="0"/>
                <w:color w:val="auto"/>
                <w:sz w:val="18"/>
                <w:szCs w:val="18"/>
                <w:u w:val="none"/>
              </w:rPr>
            </w:pPr>
            <w:r>
              <w:rPr>
                <w:rFonts w:hint="default" w:ascii="Times New Roman" w:hAnsi="Times New Roman" w:cs="Times New Roman" w:eastAsiaTheme="minorEastAsia"/>
                <w:b/>
                <w:bCs/>
                <w:i w:val="0"/>
                <w:iCs w:val="0"/>
                <w:color w:val="auto"/>
                <w:kern w:val="0"/>
                <w:sz w:val="18"/>
                <w:szCs w:val="18"/>
                <w:u w:val="none"/>
                <w:lang w:val="en-US" w:eastAsia="zh-CN" w:bidi="ar"/>
              </w:rPr>
              <w:t>序号</w:t>
            </w:r>
          </w:p>
        </w:tc>
        <w:tc>
          <w:tcPr>
            <w:tcW w:w="202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bCs/>
                <w:i w:val="0"/>
                <w:iCs w:val="0"/>
                <w:color w:val="auto"/>
                <w:sz w:val="18"/>
                <w:szCs w:val="18"/>
                <w:u w:val="none"/>
              </w:rPr>
            </w:pPr>
            <w:r>
              <w:rPr>
                <w:rFonts w:hint="default" w:ascii="Times New Roman" w:hAnsi="Times New Roman" w:cs="Times New Roman" w:eastAsiaTheme="minorEastAsia"/>
                <w:b/>
                <w:bCs/>
                <w:i w:val="0"/>
                <w:iCs w:val="0"/>
                <w:color w:val="auto"/>
                <w:kern w:val="0"/>
                <w:sz w:val="18"/>
                <w:szCs w:val="18"/>
                <w:u w:val="none"/>
                <w:lang w:val="en-US" w:eastAsia="zh-CN" w:bidi="ar"/>
              </w:rPr>
              <w:t>地州/单位</w:t>
            </w:r>
          </w:p>
        </w:tc>
        <w:tc>
          <w:tcPr>
            <w:tcW w:w="91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bCs/>
                <w:i w:val="0"/>
                <w:iCs w:val="0"/>
                <w:color w:val="auto"/>
                <w:sz w:val="18"/>
                <w:szCs w:val="18"/>
                <w:u w:val="none"/>
                <w:lang w:val="en-US" w:eastAsia="zh-CN"/>
              </w:rPr>
            </w:pPr>
            <w:r>
              <w:rPr>
                <w:rFonts w:hint="default" w:ascii="Times New Roman" w:hAnsi="Times New Roman" w:cs="Times New Roman" w:eastAsiaTheme="minorEastAsia"/>
                <w:b/>
                <w:bCs/>
                <w:i w:val="0"/>
                <w:iCs w:val="0"/>
                <w:color w:val="auto"/>
                <w:sz w:val="18"/>
                <w:szCs w:val="18"/>
                <w:u w:val="none"/>
                <w:lang w:val="en-US" w:eastAsia="zh-CN"/>
              </w:rPr>
              <w:t>分配金额</w:t>
            </w:r>
            <w:r>
              <w:rPr>
                <w:rFonts w:hint="eastAsia" w:ascii="Times New Roman" w:hAnsi="Times New Roman" w:cs="Times New Roman" w:eastAsiaTheme="minorEastAsia"/>
                <w:b/>
                <w:bCs/>
                <w:i w:val="0"/>
                <w:iCs w:val="0"/>
                <w:color w:val="auto"/>
                <w:sz w:val="18"/>
                <w:szCs w:val="18"/>
                <w:u w:val="none"/>
                <w:lang w:val="en-US" w:eastAsia="zh-CN"/>
              </w:rPr>
              <w:t>（万元）</w:t>
            </w:r>
          </w:p>
        </w:tc>
        <w:tc>
          <w:tcPr>
            <w:tcW w:w="87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bCs/>
                <w:i w:val="0"/>
                <w:iCs w:val="0"/>
                <w:color w:val="auto"/>
                <w:sz w:val="18"/>
                <w:szCs w:val="18"/>
                <w:u w:val="none"/>
                <w:lang w:val="en-US" w:eastAsia="zh-CN"/>
              </w:rPr>
            </w:pPr>
            <w:r>
              <w:rPr>
                <w:rFonts w:hint="default" w:ascii="Times New Roman" w:hAnsi="Times New Roman" w:cs="Times New Roman" w:eastAsiaTheme="minorEastAsia"/>
                <w:b/>
                <w:bCs/>
                <w:i w:val="0"/>
                <w:iCs w:val="0"/>
                <w:color w:val="auto"/>
                <w:sz w:val="18"/>
                <w:szCs w:val="18"/>
                <w:u w:val="none"/>
                <w:lang w:val="en-US" w:eastAsia="zh-CN"/>
              </w:rPr>
              <w:t>执行金额</w:t>
            </w:r>
            <w:r>
              <w:rPr>
                <w:rFonts w:hint="eastAsia" w:ascii="Times New Roman" w:hAnsi="Times New Roman" w:cs="Times New Roman" w:eastAsiaTheme="minorEastAsia"/>
                <w:b/>
                <w:bCs/>
                <w:i w:val="0"/>
                <w:iCs w:val="0"/>
                <w:color w:val="auto"/>
                <w:sz w:val="18"/>
                <w:szCs w:val="18"/>
                <w:u w:val="none"/>
                <w:lang w:val="en-US" w:eastAsia="zh-CN"/>
              </w:rPr>
              <w:t>（万元）</w:t>
            </w:r>
          </w:p>
        </w:tc>
        <w:tc>
          <w:tcPr>
            <w:tcW w:w="62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Times New Roman" w:hAnsi="Times New Roman" w:cs="Times New Roman" w:eastAsiaTheme="minorEastAsia"/>
                <w:b/>
                <w:bCs/>
                <w:i w:val="0"/>
                <w:iCs w:val="0"/>
                <w:color w:val="auto"/>
                <w:sz w:val="18"/>
                <w:szCs w:val="18"/>
                <w:u w:val="none"/>
                <w:lang w:val="en-US" w:eastAsia="zh-CN"/>
              </w:rPr>
            </w:pPr>
            <w:r>
              <w:rPr>
                <w:rFonts w:hint="default" w:ascii="Times New Roman" w:hAnsi="Times New Roman" w:cs="Times New Roman" w:eastAsiaTheme="minorEastAsia"/>
                <w:b/>
                <w:bCs/>
                <w:i w:val="0"/>
                <w:iCs w:val="0"/>
                <w:color w:val="auto"/>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乌鲁木齐市</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502.64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500.64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伊犁州</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4984.12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4967.33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val="0"/>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塔城地区</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1980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1977.42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4</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阿勒泰地区</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2444.76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2418.96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5</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克拉玛依市</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207.88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207.88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6</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博州</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882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841.75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7</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昌吉州</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2174.92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2117.19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8</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哈密市</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1167.64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1137.85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9</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吐鲁番市</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364.52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341.17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10</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巴州</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2857</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2843.31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11</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阿克苏地区</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4116</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4115.49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12</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克州</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891.04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883.90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13</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喀什地区</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3979.08</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3751.13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14</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和田地区</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3340.4</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3213.97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96.22%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eastAsia="宋体" w:cs="Times New Roman"/>
                <w:i w:val="0"/>
                <w:iCs w:val="0"/>
                <w:color w:val="auto"/>
                <w:kern w:val="0"/>
                <w:sz w:val="18"/>
                <w:szCs w:val="18"/>
                <w:u w:val="none"/>
                <w:lang w:val="en-US" w:eastAsia="zh-CN" w:bidi="ar"/>
              </w:rPr>
              <w:t>15</w:t>
            </w:r>
          </w:p>
        </w:tc>
        <w:tc>
          <w:tcPr>
            <w:tcW w:w="2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cs="Times New Roman" w:eastAsiaTheme="minorEastAsia"/>
                <w:b w:val="0"/>
                <w:bCs w:val="0"/>
                <w:i w:val="0"/>
                <w:iCs w:val="0"/>
                <w:color w:val="auto"/>
                <w:sz w:val="18"/>
                <w:szCs w:val="18"/>
                <w:u w:val="none"/>
                <w:lang w:val="en-US" w:eastAsia="zh-CN"/>
              </w:rPr>
            </w:pPr>
            <w:r>
              <w:rPr>
                <w:rFonts w:hint="default" w:ascii="Times New Roman" w:hAnsi="Times New Roman" w:eastAsia="宋体" w:cs="Times New Roman"/>
                <w:i w:val="0"/>
                <w:color w:val="000000"/>
                <w:kern w:val="0"/>
                <w:sz w:val="18"/>
                <w:szCs w:val="18"/>
                <w:u w:val="none"/>
                <w:lang w:val="en-US" w:eastAsia="zh-CN" w:bidi="ar"/>
              </w:rPr>
              <w:t>自治区动物疾病预防控制中心</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80.</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57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auto"/>
                <w:sz w:val="18"/>
                <w:szCs w:val="18"/>
                <w:u w:val="none"/>
                <w:lang w:val="en-US" w:eastAsia="zh-CN"/>
              </w:rPr>
            </w:pPr>
            <w:r>
              <w:rPr>
                <w:rFonts w:hint="eastAsia" w:ascii="Times New Roman" w:hAnsi="Times New Roman" w:cs="Times New Roman" w:eastAsiaTheme="minorEastAsia"/>
                <w:b/>
                <w:bCs/>
                <w:i w:val="0"/>
                <w:iCs w:val="0"/>
                <w:color w:val="auto"/>
                <w:sz w:val="18"/>
                <w:szCs w:val="18"/>
                <w:u w:val="none"/>
                <w:lang w:val="en-US" w:eastAsia="zh-CN"/>
              </w:rPr>
              <w:t>合计</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color w:val="000000"/>
                <w:kern w:val="0"/>
                <w:sz w:val="18"/>
                <w:szCs w:val="18"/>
                <w:highlight w:val="none"/>
                <w:u w:val="none"/>
                <w:lang w:val="en-US" w:eastAsia="zh-CN" w:bidi="ar"/>
              </w:rPr>
              <w:t>29972</w:t>
            </w:r>
          </w:p>
        </w:tc>
        <w:tc>
          <w:tcPr>
            <w:tcW w:w="8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color w:val="000000"/>
                <w:kern w:val="0"/>
                <w:sz w:val="18"/>
                <w:szCs w:val="18"/>
                <w:highlight w:val="none"/>
                <w:u w:val="none"/>
                <w:lang w:val="en-US" w:eastAsia="zh-CN" w:bidi="ar"/>
              </w:rPr>
              <w:t xml:space="preserve">29397.99 </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color w:val="000000"/>
                <w:kern w:val="0"/>
                <w:sz w:val="18"/>
                <w:szCs w:val="18"/>
                <w:highlight w:val="none"/>
                <w:u w:val="none"/>
                <w:lang w:val="en-US" w:eastAsia="zh-CN" w:bidi="ar"/>
              </w:rPr>
              <w:t>98.08%</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楷体"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楷体"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楷体" w:cs="Times New Roman"/>
          <w:b/>
          <w:bCs/>
          <w:color w:val="auto"/>
          <w:kern w:val="2"/>
          <w:sz w:val="32"/>
          <w:szCs w:val="32"/>
          <w:lang w:val="en-US" w:eastAsia="zh-CN" w:bidi="ar-SA"/>
        </w:rPr>
      </w:pPr>
      <w:r>
        <w:rPr>
          <w:rFonts w:hint="default" w:ascii="Times New Roman" w:hAnsi="Times New Roman" w:eastAsia="楷体" w:cs="Times New Roman"/>
          <w:b/>
          <w:bCs/>
          <w:color w:val="auto"/>
          <w:kern w:val="2"/>
          <w:sz w:val="32"/>
          <w:szCs w:val="32"/>
          <w:lang w:val="en-US" w:eastAsia="zh-CN" w:bidi="ar-SA"/>
        </w:rPr>
        <w:t>（二）项目资金管理情况分析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sz w:val="32"/>
          <w:szCs w:val="32"/>
          <w:lang w:val="en-US" w:eastAsia="zh-CN"/>
        </w:rPr>
        <w:t>1.资金分配科学性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color w:val="auto"/>
          <w:lang w:val="en-US" w:eastAsia="zh-CN"/>
        </w:rPr>
      </w:pPr>
      <w:r>
        <w:rPr>
          <w:rFonts w:hint="eastAsia" w:cs="Times New Roman"/>
          <w:color w:val="auto"/>
          <w:sz w:val="32"/>
          <w:szCs w:val="32"/>
          <w:lang w:val="en-US" w:eastAsia="zh-CN"/>
        </w:rPr>
        <w:t>一是</w:t>
      </w:r>
      <w:r>
        <w:rPr>
          <w:rFonts w:hint="default" w:ascii="Times New Roman" w:hAnsi="Times New Roman" w:eastAsia="仿宋_GB2312" w:cs="Times New Roman"/>
          <w:color w:val="auto"/>
          <w:sz w:val="32"/>
          <w:szCs w:val="32"/>
          <w:lang w:val="en-US" w:eastAsia="zh-CN"/>
        </w:rPr>
        <w:t>根据全国对新疆小麦、玉米重大农作物病虫害以及农区蝗虫监测防控工作任务安排，结合“虫口夺粮”保丰收目标任务和新疆生产实际，研究制定“2023年农业防灾减灾资金（防灾救灾第一批）建议分配方案、实施方案”，统筹全区病虫害防控工作重点，结合粮食产能任务，测算资金分配额度，将各项任务分解到各地（州、市）。</w:t>
      </w:r>
      <w:r>
        <w:rPr>
          <w:rFonts w:hint="eastAsia" w:cs="Times New Roman"/>
          <w:color w:val="auto"/>
          <w:sz w:val="32"/>
          <w:szCs w:val="32"/>
          <w:lang w:val="en-US" w:eastAsia="zh-CN"/>
        </w:rPr>
        <w:t>二是</w:t>
      </w:r>
      <w:r>
        <w:rPr>
          <w:rFonts w:hint="default" w:ascii="Times New Roman" w:hAnsi="Times New Roman" w:eastAsia="仿宋_GB2312" w:cs="Times New Roman"/>
          <w:color w:val="auto"/>
          <w:sz w:val="32"/>
          <w:szCs w:val="32"/>
          <w:lang w:val="en-US" w:eastAsia="zh-CN"/>
        </w:rPr>
        <w:t>根据《财政部关于下达2023年农业防灾减灾和水利救灾资金预算（防灾减灾第四批）的通知》（财农〔2023〕47号），拨付我区农业生产救灾资金2140万元，主要用于支持新疆开展大风、低温救灾等相关工作。根据各地农作物受灾情况和设施大棚损毁情况，予以分配资金。</w:t>
      </w:r>
      <w:r>
        <w:rPr>
          <w:rFonts w:hint="eastAsia" w:cs="Times New Roman"/>
          <w:color w:val="auto"/>
          <w:sz w:val="32"/>
          <w:szCs w:val="32"/>
          <w:lang w:val="en-US" w:eastAsia="zh-CN"/>
        </w:rPr>
        <w:t>三是</w:t>
      </w:r>
      <w:r>
        <w:rPr>
          <w:rFonts w:hint="default" w:ascii="Times New Roman" w:hAnsi="Times New Roman" w:eastAsia="仿宋_GB2312" w:cs="Times New Roman"/>
          <w:color w:val="auto"/>
          <w:sz w:val="32"/>
          <w:szCs w:val="32"/>
          <w:lang w:val="en-US" w:eastAsia="zh-CN"/>
        </w:rPr>
        <w:t>根据财政部、农业农村部、水利部《农业防灾减灾和水利救灾资金管理办法》（农财〔2023〕13号）和财政部《关于下达2023年农业防灾减灾和水利救灾资金预算（防灾救灾第十一批）的通知》（财农〔2023〕99号）要求，按照因素法测算分配资金，结合实际确定补助标准，对灾害易发、频发区域给予适当支持，充分应用上年度资金绩效评价结</w:t>
      </w:r>
      <w:r>
        <w:rPr>
          <w:rFonts w:hint="default" w:ascii="Times New Roman" w:hAnsi="Times New Roman" w:eastAsia="仿宋_GB2312" w:cs="Times New Roman"/>
          <w:color w:val="auto"/>
          <w:sz w:val="32"/>
          <w:szCs w:val="32"/>
          <w:highlight w:val="none"/>
        </w:rPr>
        <w:t>果，明确了资金主要用于支持购买调运防灾饲草料、受灾区灾后恢复畜牧业生产、保障防灾饲草料库运行、应急救灾饲草料调运及转移安置和兽药、消毒药品及品种改良等应急物资购置等5个方面</w:t>
      </w:r>
      <w:r>
        <w:rPr>
          <w:rFonts w:hint="default" w:cs="Times New Roman"/>
          <w:color w:val="auto"/>
          <w:sz w:val="32"/>
          <w:szCs w:val="32"/>
          <w:highlight w:val="none"/>
          <w:lang w:val="en" w:eastAsia="zh-CN"/>
        </w:rPr>
        <w:t>,</w:t>
      </w:r>
      <w:r>
        <w:rPr>
          <w:rFonts w:hint="eastAsia" w:ascii="Times New Roman" w:hAnsi="Times New Roman" w:cs="Times New Roman"/>
          <w:color w:val="auto"/>
          <w:sz w:val="32"/>
          <w:szCs w:val="32"/>
          <w:highlight w:val="none"/>
          <w:lang w:val="en-US" w:eastAsia="zh-CN"/>
        </w:rPr>
        <w:t>专项资金分配科学。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_GB2312" w:cs="Times New Roman"/>
          <w:b/>
          <w:bCs/>
          <w:color w:val="auto"/>
          <w:sz w:val="32"/>
          <w:szCs w:val="32"/>
          <w:shd w:val="clear" w:color="auto" w:fill="FFFFFF"/>
          <w:lang w:val="en-US" w:eastAsia="zh-CN"/>
        </w:rPr>
      </w:pPr>
      <w:r>
        <w:rPr>
          <w:rFonts w:hint="default" w:ascii="Times New Roman" w:hAnsi="Times New Roman" w:eastAsia="仿宋_GB2312" w:cs="Times New Roman"/>
          <w:b/>
          <w:bCs/>
          <w:color w:val="auto"/>
          <w:sz w:val="32"/>
          <w:szCs w:val="32"/>
          <w:shd w:val="clear" w:color="auto" w:fill="FFFFFF"/>
          <w:lang w:val="en-US" w:eastAsia="zh-CN"/>
        </w:rPr>
        <w:t>2.资金下达及时性</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pPr>
      <w:r>
        <w:rPr>
          <w:rFonts w:hint="default" w:ascii="Times New Roman" w:hAnsi="Times New Roman" w:eastAsia="仿宋_GB2312" w:cs="Times New Roman"/>
          <w:color w:val="auto"/>
          <w:sz w:val="32"/>
          <w:szCs w:val="32"/>
          <w:shd w:val="clear" w:color="auto" w:fill="FFFFFF"/>
          <w:lang w:val="en-US" w:eastAsia="zh-CN"/>
        </w:rPr>
        <w:t>2023年度，中央财政分</w:t>
      </w:r>
      <w:r>
        <w:rPr>
          <w:rFonts w:hint="eastAsia" w:cs="Times New Roman"/>
          <w:color w:val="auto"/>
          <w:sz w:val="32"/>
          <w:szCs w:val="32"/>
          <w:shd w:val="clear" w:color="auto" w:fill="FFFFFF"/>
          <w:lang w:val="en-US" w:eastAsia="zh-CN"/>
        </w:rPr>
        <w:t>五</w:t>
      </w:r>
      <w:r>
        <w:rPr>
          <w:rFonts w:hint="default" w:ascii="Times New Roman" w:hAnsi="Times New Roman" w:eastAsia="仿宋_GB2312" w:cs="Times New Roman"/>
          <w:color w:val="auto"/>
          <w:sz w:val="32"/>
          <w:szCs w:val="32"/>
          <w:shd w:val="clear" w:color="auto" w:fill="FFFFFF"/>
          <w:lang w:val="en-US" w:eastAsia="zh-CN"/>
        </w:rPr>
        <w:t>批下达我区农业防灾减灾资金，第一批资金于202</w:t>
      </w:r>
      <w:r>
        <w:rPr>
          <w:rFonts w:hint="eastAsia" w:cs="Times New Roman"/>
          <w:color w:val="auto"/>
          <w:sz w:val="32"/>
          <w:szCs w:val="32"/>
          <w:shd w:val="clear" w:color="auto" w:fill="FFFFFF"/>
          <w:lang w:val="en-US" w:eastAsia="zh-CN"/>
        </w:rPr>
        <w:t>2</w:t>
      </w:r>
      <w:r>
        <w:rPr>
          <w:rFonts w:hint="default" w:ascii="Times New Roman" w:hAnsi="Times New Roman" w:eastAsia="仿宋_GB2312" w:cs="Times New Roman"/>
          <w:color w:val="auto"/>
          <w:sz w:val="32"/>
          <w:szCs w:val="32"/>
          <w:shd w:val="clear" w:color="auto" w:fill="FFFFFF"/>
          <w:lang w:val="en-US" w:eastAsia="zh-CN"/>
        </w:rPr>
        <w:t>年</w:t>
      </w:r>
      <w:r>
        <w:rPr>
          <w:rFonts w:hint="eastAsia" w:cs="Times New Roman"/>
          <w:color w:val="auto"/>
          <w:sz w:val="32"/>
          <w:szCs w:val="32"/>
          <w:shd w:val="clear" w:color="auto" w:fill="FFFFFF"/>
          <w:lang w:val="en-US" w:eastAsia="zh-CN"/>
        </w:rPr>
        <w:t>10</w:t>
      </w:r>
      <w:r>
        <w:rPr>
          <w:rFonts w:hint="default" w:ascii="Times New Roman" w:hAnsi="Times New Roman" w:eastAsia="仿宋_GB2312" w:cs="Times New Roman"/>
          <w:color w:val="auto"/>
          <w:sz w:val="32"/>
          <w:szCs w:val="32"/>
          <w:shd w:val="clear" w:color="auto" w:fill="FFFFFF"/>
          <w:lang w:val="en-US" w:eastAsia="zh-CN"/>
        </w:rPr>
        <w:t>月下达，第二</w:t>
      </w:r>
      <w:r>
        <w:rPr>
          <w:rFonts w:hint="eastAsia" w:cs="Times New Roman"/>
          <w:color w:val="auto"/>
          <w:sz w:val="32"/>
          <w:szCs w:val="32"/>
          <w:shd w:val="clear" w:color="auto" w:fill="FFFFFF"/>
          <w:lang w:val="en-US" w:eastAsia="zh-CN"/>
        </w:rPr>
        <w:t>、三</w:t>
      </w:r>
      <w:r>
        <w:rPr>
          <w:rFonts w:hint="default" w:ascii="Times New Roman" w:hAnsi="Times New Roman" w:eastAsia="仿宋_GB2312" w:cs="Times New Roman"/>
          <w:color w:val="auto"/>
          <w:sz w:val="32"/>
          <w:szCs w:val="32"/>
          <w:shd w:val="clear" w:color="auto" w:fill="FFFFFF"/>
          <w:lang w:val="en-US" w:eastAsia="zh-CN"/>
        </w:rPr>
        <w:t>批资金于2023年</w:t>
      </w:r>
      <w:r>
        <w:rPr>
          <w:rFonts w:hint="eastAsia"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lang w:val="en-US" w:eastAsia="zh-CN"/>
        </w:rPr>
        <w:t>月下达，第</w:t>
      </w:r>
      <w:r>
        <w:rPr>
          <w:rFonts w:hint="eastAsia" w:cs="Times New Roman"/>
          <w:color w:val="auto"/>
          <w:sz w:val="32"/>
          <w:szCs w:val="32"/>
          <w:shd w:val="clear" w:color="auto" w:fill="FFFFFF"/>
          <w:lang w:val="en-US" w:eastAsia="zh-CN"/>
        </w:rPr>
        <w:t>四</w:t>
      </w:r>
      <w:r>
        <w:rPr>
          <w:rFonts w:hint="default" w:ascii="Times New Roman" w:hAnsi="Times New Roman" w:eastAsia="仿宋_GB2312" w:cs="Times New Roman"/>
          <w:color w:val="auto"/>
          <w:sz w:val="32"/>
          <w:szCs w:val="32"/>
          <w:shd w:val="clear" w:color="auto" w:fill="FFFFFF"/>
          <w:lang w:val="en-US" w:eastAsia="zh-CN"/>
        </w:rPr>
        <w:t>批资金于2023年</w:t>
      </w:r>
      <w:r>
        <w:rPr>
          <w:rFonts w:hint="eastAsia" w:cs="Times New Roman"/>
          <w:color w:val="auto"/>
          <w:sz w:val="32"/>
          <w:szCs w:val="32"/>
          <w:shd w:val="clear" w:color="auto" w:fill="FFFFFF"/>
          <w:lang w:val="en-US" w:eastAsia="zh-CN"/>
        </w:rPr>
        <w:t>6</w:t>
      </w:r>
      <w:r>
        <w:rPr>
          <w:rFonts w:hint="default" w:ascii="Times New Roman" w:hAnsi="Times New Roman" w:eastAsia="仿宋_GB2312" w:cs="Times New Roman"/>
          <w:color w:val="auto"/>
          <w:sz w:val="32"/>
          <w:szCs w:val="32"/>
          <w:shd w:val="clear" w:color="auto" w:fill="FFFFFF"/>
          <w:lang w:val="en-US" w:eastAsia="zh-CN"/>
        </w:rPr>
        <w:t>月下达</w:t>
      </w:r>
      <w:r>
        <w:rPr>
          <w:rFonts w:hint="eastAsia"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lang w:val="en-US" w:eastAsia="zh-CN"/>
        </w:rPr>
        <w:t>第</w:t>
      </w:r>
      <w:r>
        <w:rPr>
          <w:rFonts w:hint="eastAsia" w:cs="Times New Roman"/>
          <w:color w:val="auto"/>
          <w:sz w:val="32"/>
          <w:szCs w:val="32"/>
          <w:shd w:val="clear" w:color="auto" w:fill="FFFFFF"/>
          <w:lang w:val="en-US" w:eastAsia="zh-CN"/>
        </w:rPr>
        <w:t>五</w:t>
      </w:r>
      <w:r>
        <w:rPr>
          <w:rFonts w:hint="default" w:ascii="Times New Roman" w:hAnsi="Times New Roman" w:eastAsia="仿宋_GB2312" w:cs="Times New Roman"/>
          <w:color w:val="auto"/>
          <w:sz w:val="32"/>
          <w:szCs w:val="32"/>
          <w:shd w:val="clear" w:color="auto" w:fill="FFFFFF"/>
          <w:lang w:val="en-US" w:eastAsia="zh-CN"/>
        </w:rPr>
        <w:t>批资金于2023年</w:t>
      </w:r>
      <w:r>
        <w:rPr>
          <w:rFonts w:hint="eastAsia" w:cs="Times New Roman"/>
          <w:color w:val="auto"/>
          <w:sz w:val="32"/>
          <w:szCs w:val="32"/>
          <w:shd w:val="clear" w:color="auto" w:fill="FFFFFF"/>
          <w:lang w:val="en-US" w:eastAsia="zh-CN"/>
        </w:rPr>
        <w:t>12</w:t>
      </w:r>
      <w:r>
        <w:rPr>
          <w:rFonts w:hint="default" w:ascii="Times New Roman" w:hAnsi="Times New Roman" w:eastAsia="仿宋_GB2312" w:cs="Times New Roman"/>
          <w:color w:val="auto"/>
          <w:sz w:val="32"/>
          <w:szCs w:val="32"/>
          <w:shd w:val="clear" w:color="auto" w:fill="FFFFFF"/>
          <w:lang w:val="en-US" w:eastAsia="zh-CN"/>
        </w:rPr>
        <w:t>月下达。根据财政部、</w:t>
      </w:r>
      <w:r>
        <w:rPr>
          <w:rFonts w:hint="eastAsia" w:cs="Times New Roman"/>
          <w:color w:val="auto"/>
          <w:sz w:val="32"/>
          <w:szCs w:val="32"/>
          <w:shd w:val="clear" w:color="auto" w:fill="FFFFFF"/>
          <w:lang w:val="en-US" w:eastAsia="zh-CN"/>
        </w:rPr>
        <w:t>农业农村</w:t>
      </w:r>
      <w:r>
        <w:rPr>
          <w:rFonts w:hint="default" w:ascii="Times New Roman" w:hAnsi="Times New Roman" w:eastAsia="仿宋_GB2312" w:cs="Times New Roman"/>
          <w:color w:val="auto"/>
          <w:sz w:val="32"/>
          <w:szCs w:val="32"/>
          <w:shd w:val="clear" w:color="auto" w:fill="FFFFFF"/>
          <w:lang w:val="en-US" w:eastAsia="zh-CN"/>
        </w:rPr>
        <w:t>部有关要求，农业农村厅收到资金文件后，在规定时限内，按管理办法规定提出具体资金分配方案，经厅党组审议同意后，正式行文报财政厅申请下达资金</w:t>
      </w:r>
      <w:r>
        <w:rPr>
          <w:rFonts w:hint="eastAsia" w:cs="Times New Roman"/>
          <w:color w:val="auto"/>
          <w:sz w:val="32"/>
          <w:szCs w:val="32"/>
          <w:shd w:val="clear" w:color="auto" w:fill="FFFFFF"/>
          <w:lang w:val="en-US" w:eastAsia="zh-CN"/>
        </w:rPr>
        <w:t>。</w:t>
      </w:r>
      <w:r>
        <w:rPr>
          <w:rFonts w:hint="default" w:ascii="Times New Roman" w:hAnsi="Times New Roman" w:cs="Times New Roman"/>
          <w:sz w:val="32"/>
          <w:szCs w:val="32"/>
          <w:lang w:val="en-US" w:eastAsia="zh-CN"/>
        </w:rPr>
        <w:t>专项资金及时拨付至各地县市，</w:t>
      </w:r>
      <w:r>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t>资金分解下达及时。</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i w:val="0"/>
          <w:iCs w:val="0"/>
          <w:color w:val="auto"/>
          <w:kern w:val="0"/>
          <w:sz w:val="32"/>
          <w:szCs w:val="32"/>
          <w:highlight w:val="none"/>
          <w:u w:val="none"/>
          <w:lang w:val="en-US" w:eastAsia="zh-CN" w:bidi="ar"/>
        </w:rPr>
      </w:pPr>
      <w:r>
        <w:rPr>
          <w:rFonts w:hint="default" w:ascii="Times New Roman" w:hAnsi="Times New Roman" w:eastAsia="仿宋_GB2312" w:cs="Times New Roman"/>
          <w:b/>
          <w:bCs/>
          <w:i w:val="0"/>
          <w:iCs w:val="0"/>
          <w:color w:val="auto"/>
          <w:kern w:val="0"/>
          <w:sz w:val="32"/>
          <w:szCs w:val="32"/>
          <w:highlight w:val="none"/>
          <w:u w:val="none"/>
          <w:lang w:val="en-US" w:eastAsia="zh-CN" w:bidi="ar"/>
        </w:rPr>
        <w:t>3.资金拨付合规性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按照《财政部</w:t>
      </w:r>
      <w:r>
        <w:rPr>
          <w:rFonts w:hint="default" w:ascii="Times New Roman" w:hAnsi="Times New Roman"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农业农村部</w:t>
      </w:r>
      <w:r>
        <w:rPr>
          <w:rFonts w:hint="default" w:ascii="Times New Roman" w:hAnsi="Times New Roman"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水利部关于印发《农业生产和水利救灾资金管理办法》的通知》（财农</w:t>
      </w:r>
      <w:r>
        <w:rPr>
          <w:rFonts w:hint="default" w:ascii="Times New Roman" w:hAnsi="Times New Roman" w:eastAsia="仿宋_GB2312" w:cs="Times New Roman"/>
          <w:color w:val="auto"/>
          <w:sz w:val="32"/>
          <w:szCs w:val="32"/>
          <w:highlight w:val="none"/>
        </w:rPr>
        <w:t>〔202</w:t>
      </w:r>
      <w:r>
        <w:rPr>
          <w:rFonts w:hint="default" w:ascii="Times New Roman" w:hAnsi="Times New Roman"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default" w:ascii="Times New Roman" w:hAnsi="Times New Roman"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US" w:eastAsia="zh-CN"/>
        </w:rPr>
        <w:t>9号）。</w:t>
      </w:r>
      <w:r>
        <w:rPr>
          <w:rFonts w:hint="default" w:ascii="Times New Roman" w:hAnsi="Times New Roman" w:eastAsia="仿宋_GB2312" w:cs="Times New Roman"/>
          <w:b w:val="0"/>
          <w:bCs w:val="0"/>
          <w:color w:val="auto"/>
          <w:sz w:val="32"/>
          <w:szCs w:val="32"/>
          <w:highlight w:val="none"/>
          <w:lang w:val="en-US" w:eastAsia="zh-CN"/>
        </w:rPr>
        <w:t>根据灾情基本情况、受灾农作物种植面积、受灾畜禽数量、饲草料缺口、受灾水产养殖面积及产量、农牧渔业生产设施损毁情况等。农作物受灾，按受灾成灾、绝收面积测算补助;畜禽和水产养殖受灾，根据灾情程度和因灾损失等给予适当补助。农业生物灾害补助，分配因素主要包括本年度农作物病虫害防治任务面积、上年度地方病虫害防控投入、实际防控面积、病虫害发生率等。农业自然灾害、农业生物灾害灾前预防，根据实际措施、成本、规模等给予适当补助</w:t>
      </w:r>
      <w:r>
        <w:rPr>
          <w:rFonts w:hint="default" w:ascii="Times New Roman" w:hAnsi="Times New Roman" w:cs="Times New Roman"/>
          <w:b w:val="0"/>
          <w:bCs w:val="0"/>
          <w:color w:val="auto"/>
          <w:sz w:val="32"/>
          <w:szCs w:val="32"/>
          <w:highlight w:val="none"/>
          <w:lang w:val="en-US" w:eastAsia="zh-CN"/>
        </w:rPr>
        <w:t>，资金拨付合规。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4.资金使用规范性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pPr>
      <w:r>
        <w:rPr>
          <w:rFonts w:hint="default" w:ascii="Times New Roman" w:hAnsi="Times New Roman" w:eastAsia="仿宋_GB2312" w:cs="Times New Roman"/>
          <w:color w:val="auto"/>
          <w:sz w:val="32"/>
          <w:szCs w:val="32"/>
          <w:lang w:val="en-US" w:eastAsia="zh-CN"/>
        </w:rPr>
        <w:t>根据</w:t>
      </w:r>
      <w:r>
        <w:rPr>
          <w:rFonts w:hint="default" w:ascii="Times New Roman" w:hAnsi="Times New Roman" w:eastAsia="仿宋_GB2312" w:cs="Times New Roman"/>
          <w:color w:val="auto"/>
          <w:sz w:val="32"/>
          <w:szCs w:val="32"/>
          <w:highlight w:val="none"/>
          <w:lang w:val="en-US" w:eastAsia="zh-CN"/>
        </w:rPr>
        <w:t>《财政部</w:t>
      </w:r>
      <w:r>
        <w:rPr>
          <w:rFonts w:hint="default" w:ascii="Times New Roman" w:hAnsi="Times New Roman"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农业农村部</w:t>
      </w:r>
      <w:r>
        <w:rPr>
          <w:rFonts w:hint="default" w:ascii="Times New Roman" w:hAnsi="Times New Roman"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val="en-US" w:eastAsia="zh-CN"/>
        </w:rPr>
        <w:t>水利部关于印发《农业生产和水利救灾资金管理办法》的通知》</w:t>
      </w:r>
      <w:r>
        <w:rPr>
          <w:rFonts w:hint="default" w:ascii="Times New Roman" w:hAnsi="Times New Roman" w:eastAsia="仿宋_GB2312" w:cs="Times New Roman"/>
          <w:color w:val="auto"/>
          <w:sz w:val="32"/>
          <w:szCs w:val="32"/>
          <w:lang w:val="en-US" w:eastAsia="zh-CN"/>
        </w:rPr>
        <w:t>（财农〔2022〕79号），资金主要用于：农业生物灾害防治和恢复农业生产所需的物资材料及服务补助，包括购买药剂、药械、燃油、肥料、种子</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植物种苗、水产种苗</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，应用生物防治、综合防治、生态控制技术，修复诱虫灯等监控设施器械及调运、检疫处理、技术指导培训</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highlight w:val="none"/>
        </w:rPr>
        <w:t>根据</w:t>
      </w:r>
      <w:r>
        <w:rPr>
          <w:rFonts w:hint="default" w:ascii="Times New Roman" w:hAnsi="Times New Roman" w:eastAsia="仿宋_GB2312" w:cs="Times New Roman"/>
          <w:color w:val="auto"/>
          <w:sz w:val="32"/>
          <w:szCs w:val="32"/>
          <w:highlight w:val="none"/>
          <w:lang w:val="en-US" w:eastAsia="zh-CN"/>
        </w:rPr>
        <w:t>受灾畜禽数量</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饲草料缺口</w:t>
      </w:r>
      <w:r>
        <w:rPr>
          <w:rFonts w:hint="default" w:ascii="Times New Roman" w:hAnsi="Times New Roman" w:eastAsia="仿宋_GB2312" w:cs="Times New Roman"/>
          <w:color w:val="auto"/>
          <w:sz w:val="32"/>
          <w:szCs w:val="32"/>
          <w:lang w:val="en-US" w:eastAsia="zh-CN"/>
        </w:rPr>
        <w:t>等费用</w:t>
      </w:r>
      <w:r>
        <w:rPr>
          <w:rFonts w:hint="default"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highlight w:val="none"/>
        </w:rPr>
        <w:t>统筹安排资金用于</w:t>
      </w:r>
      <w:r>
        <w:rPr>
          <w:rFonts w:hint="default" w:ascii="Times New Roman" w:hAnsi="Times New Roman" w:eastAsia="仿宋_GB2312" w:cs="Times New Roman"/>
          <w:color w:val="auto"/>
          <w:sz w:val="32"/>
          <w:szCs w:val="32"/>
          <w:highlight w:val="none"/>
          <w:lang w:eastAsia="zh-CN"/>
        </w:rPr>
        <w:t>农业防灾减灾</w:t>
      </w:r>
      <w:r>
        <w:rPr>
          <w:rFonts w:hint="default" w:ascii="Times New Roman" w:hAnsi="Times New Roman" w:eastAsia="仿宋_GB2312" w:cs="Times New Roman"/>
          <w:color w:val="auto"/>
          <w:sz w:val="32"/>
          <w:szCs w:val="32"/>
          <w:highlight w:val="none"/>
        </w:rPr>
        <w:t>防灾救灾，</w:t>
      </w:r>
      <w:r>
        <w:rPr>
          <w:rFonts w:hint="default" w:ascii="Times New Roman" w:hAnsi="Times New Roman" w:eastAsia="仿宋_GB2312" w:cs="Times New Roman"/>
          <w:color w:val="auto"/>
          <w:sz w:val="32"/>
          <w:szCs w:val="32"/>
          <w:highlight w:val="none"/>
          <w:lang w:val="en-US" w:eastAsia="zh-CN"/>
        </w:rPr>
        <w:t>资金符合</w:t>
      </w:r>
      <w:r>
        <w:rPr>
          <w:rFonts w:hint="default" w:ascii="Times New Roman" w:hAnsi="Times New Roman" w:eastAsia="仿宋_GB2312" w:cs="Times New Roman"/>
          <w:color w:val="auto"/>
          <w:sz w:val="32"/>
          <w:szCs w:val="32"/>
          <w:highlight w:val="none"/>
        </w:rPr>
        <w:t>中央农业防灾减灾资金使用范围</w:t>
      </w:r>
      <w:r>
        <w:rPr>
          <w:rFonts w:hint="default" w:ascii="Times New Roman" w:hAnsi="Times New Roman" w:eastAsia="仿宋_GB2312" w:cs="Times New Roman"/>
          <w:color w:val="auto"/>
          <w:sz w:val="32"/>
          <w:szCs w:val="32"/>
          <w:highlight w:val="none"/>
          <w:lang w:val="en-US" w:eastAsia="zh-CN"/>
        </w:rPr>
        <w:t>要求，</w:t>
      </w:r>
      <w:r>
        <w:rPr>
          <w:rFonts w:hint="default" w:ascii="Times New Roman" w:hAnsi="Times New Roman" w:eastAsia="仿宋_GB2312" w:cs="Times New Roman"/>
          <w:b w:val="0"/>
          <w:bCs w:val="0"/>
          <w:i w:val="0"/>
          <w:iCs w:val="0"/>
          <w:color w:val="auto"/>
          <w:kern w:val="0"/>
          <w:sz w:val="32"/>
          <w:szCs w:val="32"/>
          <w:highlight w:val="none"/>
          <w:u w:val="none"/>
          <w:lang w:val="en-US" w:eastAsia="zh-CN" w:bidi="ar"/>
        </w:rPr>
        <w:t>在中央巡视、各级审计和财政监督中未发现问题</w:t>
      </w:r>
      <w:r>
        <w:rPr>
          <w:rFonts w:hint="eastAsia" w:ascii="Times New Roman" w:hAnsi="Times New Roman" w:cs="Times New Roman"/>
          <w:b w:val="0"/>
          <w:bCs w:val="0"/>
          <w:i w:val="0"/>
          <w:iCs w:val="0"/>
          <w:color w:val="auto"/>
          <w:kern w:val="0"/>
          <w:sz w:val="32"/>
          <w:szCs w:val="32"/>
          <w:highlight w:val="none"/>
          <w:u w:val="none"/>
          <w:lang w:val="en-US" w:eastAsia="zh-CN" w:bidi="ar"/>
        </w:rPr>
        <w:t>，资金使用规范。</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default" w:ascii="Times New Roman" w:hAnsi="Times New Roman" w:eastAsia="仿宋_GB2312" w:cs="Times New Roman"/>
          <w:b/>
          <w:bCs/>
          <w:i w:val="0"/>
          <w:iCs w:val="0"/>
          <w:color w:val="auto"/>
          <w:kern w:val="0"/>
          <w:sz w:val="32"/>
          <w:szCs w:val="32"/>
          <w:highlight w:val="none"/>
          <w:u w:val="none"/>
          <w:lang w:val="en-US" w:eastAsia="zh-CN" w:bidi="ar"/>
        </w:rPr>
      </w:pPr>
      <w:r>
        <w:rPr>
          <w:rFonts w:hint="default" w:ascii="Times New Roman" w:hAnsi="Times New Roman" w:eastAsia="仿宋_GB2312" w:cs="Times New Roman"/>
          <w:b/>
          <w:bCs/>
          <w:i w:val="0"/>
          <w:iCs w:val="0"/>
          <w:color w:val="auto"/>
          <w:kern w:val="0"/>
          <w:sz w:val="32"/>
          <w:szCs w:val="32"/>
          <w:highlight w:val="none"/>
          <w:u w:val="none"/>
          <w:lang w:val="en-US" w:eastAsia="zh-CN" w:bidi="ar"/>
        </w:rPr>
        <w:t>5.资金执行准确性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依据农业农村部小麦和玉米重大病虫害、农区蝗虫防治资金、防治面积测算内容。小麦重大病虫害防治资金505万元，按照15元/亩补助，补助面积33.7万亩；玉米重大病虫害防治资金575万元，按照15元/亩补助，补助面积38.3万亩；农区蝗虫防治资金250万元，按照10元/亩补助，补助面积25万亩。明确项目实施内容、补助方式及资金使用范围，切实提高项目实施准确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sz w:val="32"/>
          <w:szCs w:val="32"/>
          <w:highlight w:val="none"/>
        </w:rPr>
        <w:t>按照《财政部 农业农村部 水利部关于印发&lt;</w:t>
      </w:r>
      <w:r>
        <w:rPr>
          <w:rFonts w:hint="default" w:ascii="Times New Roman" w:hAnsi="Times New Roman" w:eastAsia="仿宋_GB2312" w:cs="Times New Roman"/>
          <w:color w:val="auto"/>
          <w:sz w:val="32"/>
          <w:szCs w:val="32"/>
          <w:highlight w:val="none"/>
          <w:lang w:eastAsia="zh-CN"/>
        </w:rPr>
        <w:t>农业防灾减灾和水利救灾资金管理办法</w:t>
      </w:r>
      <w:r>
        <w:rPr>
          <w:rFonts w:hint="default" w:ascii="Times New Roman" w:hAnsi="Times New Roman" w:eastAsia="仿宋_GB2312" w:cs="Times New Roman"/>
          <w:color w:val="auto"/>
          <w:sz w:val="32"/>
          <w:szCs w:val="32"/>
          <w:highlight w:val="none"/>
        </w:rPr>
        <w:t>&gt;的通知》</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财农</w:t>
      </w:r>
      <w:r>
        <w:rPr>
          <w:rFonts w:hint="default" w:ascii="Times New Roman" w:hAnsi="Times New Roman" w:eastAsia="仿宋_GB2312" w:cs="Times New Roman"/>
          <w:color w:val="auto"/>
          <w:sz w:val="32"/>
          <w:szCs w:val="32"/>
          <w:highlight w:val="none"/>
          <w:lang w:eastAsia="zh-CN"/>
        </w:rPr>
        <w:t>〔2023〕13号</w:t>
      </w:r>
      <w:r>
        <w:rPr>
          <w:rFonts w:hint="default" w:ascii="Times New Roman" w:hAnsi="Times New Roman" w:eastAsia="仿宋_GB2312" w:cs="Times New Roman"/>
          <w:color w:val="auto"/>
          <w:sz w:val="32"/>
          <w:szCs w:val="32"/>
          <w:highlight w:val="none"/>
        </w:rPr>
        <w:t>）的“第四章 绩效管理和资金监督”要求，按照上级下达和本级预算安排的金额执行，不存在挪用、徇私舞弊等违法违规问题。</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6.预算绩效管理情况</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按照《中共中央国务院关于全面实施预算绩效管理的意见》、《关于印发&lt;自治区本级部门预算绩效目标管理办法&gt;的通知》（新财预〔2017〕21号</w:t>
      </w:r>
      <w:r>
        <w:rPr>
          <w:rFonts w:hint="eastAsia" w:ascii="Times New Roman" w:hAnsi="Times New Roman"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资金安全规范使用，如期实现年度绩效目标。</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7.支出责任履行情况</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lang w:val="en-US" w:eastAsia="zh-CN"/>
        </w:rPr>
        <w:t>对共同财政事权转移支付，按照财政事权和支出责任划分有关规定，足额安排资金履行本级支出责任，支出责任履行情况良好。</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Hans"/>
        </w:rPr>
      </w:pPr>
      <w:r>
        <w:rPr>
          <w:rFonts w:hint="default" w:ascii="Times New Roman" w:hAnsi="Times New Roman" w:eastAsia="仿宋_GB2312" w:cs="Times New Roman"/>
          <w:color w:val="auto"/>
          <w:sz w:val="32"/>
          <w:szCs w:val="32"/>
          <w:highlight w:val="none"/>
          <w:lang w:val="en-US" w:eastAsia="zh-Hans"/>
        </w:rPr>
        <w:t>项目实施乡镇人民政府为直接责任人，地州市县农业农村局为项目主管部门对项目资金使用、监督和验收负主体责任；单位主要领导为项目监督和实施第一责任人</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Hans"/>
        </w:rPr>
        <w:t>主动与财政部门做好项目资金对接落实工作，确保资金及时到位，安全使用；</w:t>
      </w:r>
      <w:r>
        <w:rPr>
          <w:rFonts w:hint="default" w:ascii="Times New Roman" w:hAnsi="Times New Roman" w:eastAsia="仿宋_GB2312" w:cs="Times New Roman"/>
          <w:color w:val="auto"/>
          <w:sz w:val="32"/>
          <w:szCs w:val="32"/>
          <w:highlight w:val="none"/>
          <w:lang w:val="en-US" w:eastAsia="zh-CN"/>
        </w:rPr>
        <w:t>自治区农业农村厅</w:t>
      </w:r>
      <w:r>
        <w:rPr>
          <w:rFonts w:hint="default" w:ascii="Times New Roman" w:hAnsi="Times New Roman" w:eastAsia="仿宋_GB2312" w:cs="Times New Roman"/>
          <w:color w:val="auto"/>
          <w:sz w:val="32"/>
          <w:szCs w:val="32"/>
          <w:highlight w:val="none"/>
          <w:lang w:val="en-US" w:eastAsia="zh-Hans"/>
        </w:rPr>
        <w:t>建立项目执行定期调度督导机制，及时掌握项目执行和资金使用情况，</w:t>
      </w:r>
      <w:r>
        <w:rPr>
          <w:rFonts w:hint="default" w:ascii="Times New Roman" w:hAnsi="Times New Roman" w:eastAsia="仿宋_GB2312" w:cs="Times New Roman"/>
          <w:color w:val="auto"/>
          <w:sz w:val="32"/>
          <w:szCs w:val="32"/>
          <w:highlight w:val="none"/>
          <w:lang w:val="en-US" w:eastAsia="zh-CN"/>
        </w:rPr>
        <w:t>不断总结经验和问题</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Hans"/>
        </w:rPr>
        <w:t>项目执行到位、资金使用规范。</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color w:val="auto"/>
          <w:sz w:val="32"/>
          <w:szCs w:val="36"/>
          <w:lang w:val="en-US" w:eastAsia="zh-CN"/>
        </w:rPr>
      </w:pPr>
      <w:r>
        <w:rPr>
          <w:rFonts w:hint="default" w:ascii="Times New Roman" w:hAnsi="Times New Roman" w:eastAsia="楷体" w:cs="Times New Roman"/>
          <w:b/>
          <w:bCs/>
          <w:color w:val="auto"/>
          <w:sz w:val="32"/>
          <w:szCs w:val="36"/>
          <w:lang w:val="en-US" w:eastAsia="zh-CN"/>
        </w:rPr>
        <w:t>（三）总体绩效目标完成情况分析</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2023年完成97万亩重大病虫疫情防控面积，支持农作物防灾减灾和灾后恢复生产73.59万亩，项目实施区统防统治覆盖率45%，</w:t>
      </w:r>
      <w:r>
        <w:rPr>
          <w:rFonts w:hint="default" w:ascii="Times New Roman" w:hAnsi="Times New Roman" w:eastAsia="仿宋_GB2312" w:cs="Times New Roman"/>
          <w:color w:val="auto"/>
          <w:sz w:val="32"/>
          <w:szCs w:val="32"/>
          <w:highlight w:val="none"/>
          <w:lang w:val="en-US" w:eastAsia="zh-CN"/>
        </w:rPr>
        <w:t>项目对小麦、玉米重大病虫害以及农区蝗虫等农作物重大病虫疫情防控提供了防治资金的支持，使重发区域病虫疫情得到有效控制，新发突发重大农业植物疫情有效处置，没有出现大面积绝收成灾，有力保障</w:t>
      </w:r>
      <w:r>
        <w:rPr>
          <w:rFonts w:hint="default" w:ascii="Times New Roman" w:hAnsi="Times New Roman" w:cs="Times New Roman"/>
          <w:color w:val="auto"/>
          <w:sz w:val="32"/>
          <w:szCs w:val="32"/>
          <w:highlight w:val="none"/>
          <w:lang w:val="en-US" w:eastAsia="zh-CN"/>
        </w:rPr>
        <w:t>了</w:t>
      </w:r>
      <w:r>
        <w:rPr>
          <w:rFonts w:hint="default" w:ascii="Times New Roman" w:hAnsi="Times New Roman" w:eastAsia="仿宋_GB2312" w:cs="Times New Roman"/>
          <w:color w:val="auto"/>
          <w:sz w:val="32"/>
          <w:szCs w:val="32"/>
          <w:highlight w:val="none"/>
          <w:lang w:val="en-US" w:eastAsia="zh-CN"/>
        </w:rPr>
        <w:t>粮食安全和农业生产安全。</w:t>
      </w:r>
    </w:p>
    <w:p>
      <w:pPr>
        <w:keepNext w:val="0"/>
        <w:keepLines w:val="0"/>
        <w:pageBreakBefore w:val="0"/>
        <w:widowControl/>
        <w:kinsoku/>
        <w:wordWrap/>
        <w:overflowPunct/>
        <w:topLinePunct w:val="0"/>
        <w:autoSpaceDE/>
        <w:autoSpaceDN/>
        <w:bidi w:val="0"/>
        <w:adjustRightInd w:val="0"/>
        <w:snapToGrid/>
        <w:spacing w:line="560" w:lineRule="atLeast"/>
        <w:ind w:firstLine="641"/>
        <w:textAlignment w:val="auto"/>
        <w:outlineLvl w:val="9"/>
        <w:rPr>
          <w:rFonts w:hint="default"/>
          <w:lang w:val="en-US" w:eastAsia="zh-CN"/>
        </w:rPr>
      </w:pPr>
      <w:r>
        <w:rPr>
          <w:rFonts w:hint="default" w:ascii="Times New Roman" w:hAnsi="Times New Roman" w:cs="Times New Roman"/>
          <w:color w:val="auto"/>
          <w:sz w:val="32"/>
          <w:szCs w:val="32"/>
          <w:highlight w:val="none"/>
          <w:lang w:val="en-US" w:eastAsia="zh-CN"/>
        </w:rPr>
        <w:t>2023年</w:t>
      </w:r>
      <w:r>
        <w:rPr>
          <w:rFonts w:hint="default" w:ascii="Times New Roman" w:hAnsi="Times New Roman" w:eastAsia="仿宋_GB2312" w:cs="Times New Roman"/>
          <w:color w:val="auto"/>
          <w:sz w:val="32"/>
          <w:szCs w:val="32"/>
          <w:highlight w:val="none"/>
        </w:rPr>
        <w:t>通过项目实施，高致病禽流感、口蹄疫、小反刍兽疫等重大动物疫病得到有效控制，</w:t>
      </w:r>
      <w:r>
        <w:rPr>
          <w:rFonts w:hint="default" w:ascii="Times New Roman" w:hAnsi="Times New Roman" w:eastAsia="仿宋_GB2312" w:cs="Times New Roman"/>
          <w:color w:val="auto"/>
          <w:sz w:val="32"/>
          <w:szCs w:val="32"/>
          <w:highlight w:val="none"/>
          <w:lang w:eastAsia="zh-CN"/>
        </w:rPr>
        <w:t>春防、秋防</w:t>
      </w:r>
      <w:r>
        <w:rPr>
          <w:rFonts w:hint="default" w:ascii="Times New Roman" w:hAnsi="Times New Roman" w:eastAsia="仿宋_GB2312" w:cs="Times New Roman"/>
          <w:color w:val="auto"/>
          <w:sz w:val="32"/>
          <w:szCs w:val="32"/>
          <w:highlight w:val="none"/>
        </w:rPr>
        <w:t>免疫密度</w:t>
      </w:r>
      <w:r>
        <w:rPr>
          <w:rFonts w:hint="default" w:ascii="Times New Roman" w:hAnsi="Times New Roman" w:eastAsia="仿宋_GB2312" w:cs="Times New Roman"/>
          <w:color w:val="auto"/>
          <w:sz w:val="32"/>
          <w:szCs w:val="32"/>
          <w:highlight w:val="none"/>
          <w:lang w:eastAsia="zh-CN"/>
        </w:rPr>
        <w:t>均</w:t>
      </w:r>
      <w:r>
        <w:rPr>
          <w:rFonts w:hint="default" w:ascii="Times New Roman" w:hAnsi="Times New Roman" w:eastAsia="仿宋_GB2312" w:cs="Times New Roman"/>
          <w:color w:val="auto"/>
          <w:sz w:val="32"/>
          <w:szCs w:val="32"/>
          <w:highlight w:val="none"/>
        </w:rPr>
        <w:t>达到90%以上，免疫抗体监测合格率均达到70%以上。点状散发的重大动物疫情及时得到</w:t>
      </w:r>
      <w:r>
        <w:rPr>
          <w:rFonts w:hint="default" w:ascii="Times New Roman" w:hAnsi="Times New Roman" w:eastAsia="仿宋_GB2312" w:cs="Times New Roman"/>
          <w:color w:val="auto"/>
          <w:sz w:val="32"/>
          <w:szCs w:val="32"/>
          <w:highlight w:val="none"/>
          <w:lang w:eastAsia="zh-CN"/>
        </w:rPr>
        <w:t>规范</w:t>
      </w:r>
      <w:r>
        <w:rPr>
          <w:rFonts w:hint="default" w:ascii="Times New Roman" w:hAnsi="Times New Roman" w:eastAsia="仿宋_GB2312" w:cs="Times New Roman"/>
          <w:color w:val="auto"/>
          <w:sz w:val="32"/>
          <w:szCs w:val="32"/>
          <w:highlight w:val="none"/>
        </w:rPr>
        <w:t>处置，规范处置率达100%，</w:t>
      </w:r>
      <w:r>
        <w:rPr>
          <w:rFonts w:hint="default" w:ascii="Times New Roman" w:hAnsi="Times New Roman" w:eastAsia="仿宋_GB2312" w:cs="Times New Roman"/>
          <w:color w:val="auto"/>
          <w:sz w:val="32"/>
          <w:szCs w:val="32"/>
          <w:highlight w:val="none"/>
          <w:lang w:eastAsia="zh-CN"/>
        </w:rPr>
        <w:t>未</w:t>
      </w:r>
      <w:r>
        <w:rPr>
          <w:rFonts w:hint="default" w:ascii="Times New Roman" w:hAnsi="Times New Roman" w:eastAsia="仿宋_GB2312" w:cs="Times New Roman"/>
          <w:color w:val="auto"/>
          <w:sz w:val="32"/>
          <w:szCs w:val="32"/>
          <w:highlight w:val="none"/>
        </w:rPr>
        <w:t>发生区域性重大动物疫情，</w:t>
      </w:r>
      <w:r>
        <w:rPr>
          <w:rFonts w:hint="default" w:ascii="Times New Roman" w:hAnsi="Times New Roman" w:eastAsia="仿宋_GB2312" w:cs="Times New Roman"/>
          <w:color w:val="auto"/>
          <w:sz w:val="32"/>
          <w:szCs w:val="32"/>
          <w:highlight w:val="none"/>
          <w:lang w:eastAsia="zh-CN"/>
        </w:rPr>
        <w:t>依法规范</w:t>
      </w:r>
      <w:r>
        <w:rPr>
          <w:rFonts w:hint="default" w:ascii="Times New Roman" w:hAnsi="Times New Roman" w:eastAsia="仿宋_GB2312" w:cs="Times New Roman"/>
          <w:color w:val="auto"/>
          <w:sz w:val="32"/>
          <w:szCs w:val="32"/>
          <w:highlight w:val="none"/>
        </w:rPr>
        <w:t>处置</w:t>
      </w:r>
      <w:r>
        <w:rPr>
          <w:rFonts w:hint="default" w:ascii="Times New Roman" w:hAnsi="Times New Roman" w:eastAsia="仿宋_GB2312" w:cs="Times New Roman"/>
          <w:color w:val="auto"/>
          <w:sz w:val="32"/>
          <w:szCs w:val="32"/>
          <w:highlight w:val="none"/>
          <w:lang w:eastAsia="zh-CN"/>
        </w:rPr>
        <w:t>了所有</w:t>
      </w:r>
      <w:r>
        <w:rPr>
          <w:rFonts w:hint="default" w:ascii="Times New Roman" w:hAnsi="Times New Roman" w:eastAsia="仿宋_GB2312" w:cs="Times New Roman"/>
          <w:color w:val="auto"/>
          <w:sz w:val="32"/>
          <w:szCs w:val="32"/>
          <w:highlight w:val="none"/>
        </w:rPr>
        <w:t>输入性重大动物疫情。</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color w:val="auto"/>
          <w:sz w:val="32"/>
          <w:szCs w:val="36"/>
          <w:lang w:val="en-US" w:eastAsia="zh-CN"/>
        </w:rPr>
      </w:pPr>
      <w:r>
        <w:rPr>
          <w:rFonts w:hint="default" w:ascii="Times New Roman" w:hAnsi="Times New Roman" w:eastAsia="楷体" w:cs="Times New Roman"/>
          <w:b/>
          <w:bCs/>
          <w:color w:val="auto"/>
          <w:sz w:val="32"/>
          <w:szCs w:val="36"/>
          <w:lang w:val="en-US" w:eastAsia="zh-CN"/>
        </w:rPr>
        <w:t>（四）绩效指标完成情况分析</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中央农业防灾减灾和水利救灾资金预算（</w:t>
      </w:r>
      <w:r>
        <w:rPr>
          <w:rFonts w:hint="eastAsia" w:ascii="Times New Roman" w:hAnsi="Times New Roman" w:eastAsia="仿宋_GB2312" w:cs="Times New Roman"/>
          <w:b/>
          <w:bCs/>
          <w:color w:val="auto"/>
          <w:kern w:val="2"/>
          <w:sz w:val="32"/>
          <w:szCs w:val="32"/>
          <w:lang w:val="en-US" w:eastAsia="zh-CN" w:bidi="ar-SA"/>
        </w:rPr>
        <w:t>动物防疫补助</w:t>
      </w:r>
      <w:r>
        <w:rPr>
          <w:rFonts w:hint="default" w:ascii="Times New Roman" w:hAnsi="Times New Roman" w:eastAsia="仿宋_GB2312" w:cs="Times New Roman"/>
          <w:b/>
          <w:bCs/>
          <w:color w:val="auto"/>
          <w:kern w:val="2"/>
          <w:sz w:val="32"/>
          <w:szCs w:val="32"/>
          <w:lang w:val="en-US" w:eastAsia="zh-CN" w:bidi="ar-SA"/>
        </w:rPr>
        <w:t>）</w:t>
      </w:r>
      <w:r>
        <w:rPr>
          <w:rFonts w:hint="eastAsia" w:ascii="Times New Roman" w:hAnsi="Times New Roman" w:eastAsia="仿宋_GB2312" w:cs="Times New Roman"/>
          <w:b/>
          <w:bCs/>
          <w:color w:val="auto"/>
          <w:kern w:val="2"/>
          <w:sz w:val="32"/>
          <w:szCs w:val="32"/>
          <w:lang w:val="en-US" w:eastAsia="zh-CN" w:bidi="ar-SA"/>
        </w:rPr>
        <w:t>29972</w:t>
      </w:r>
      <w:r>
        <w:rPr>
          <w:rFonts w:hint="default" w:ascii="Times New Roman" w:hAnsi="Times New Roman" w:eastAsia="仿宋_GB2312" w:cs="Times New Roman"/>
          <w:b/>
          <w:bCs/>
          <w:color w:val="auto"/>
          <w:kern w:val="2"/>
          <w:sz w:val="32"/>
          <w:szCs w:val="32"/>
          <w:lang w:val="en-US" w:eastAsia="zh-CN" w:bidi="ar-SA"/>
        </w:rPr>
        <w:t>万元</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1.产出指标完成情况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（1）数量指标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eastAsia" w:ascii="Times New Roman" w:hAnsi="Times New Roman" w:eastAsia="仿宋_GB2312" w:cs="Times New Roman"/>
          <w:b w:val="0"/>
          <w:bCs w:val="0"/>
          <w:color w:val="auto"/>
          <w:sz w:val="32"/>
          <w:szCs w:val="36"/>
          <w:lang w:val="en-US" w:eastAsia="zh-CN"/>
        </w:rPr>
        <w:t>a.</w:t>
      </w:r>
      <w:r>
        <w:rPr>
          <w:rFonts w:hint="default" w:ascii="Times New Roman" w:hAnsi="Times New Roman" w:eastAsia="仿宋_GB2312" w:cs="Times New Roman"/>
          <w:b w:val="0"/>
          <w:bCs w:val="0"/>
          <w:color w:val="auto"/>
          <w:sz w:val="32"/>
          <w:szCs w:val="36"/>
          <w:lang w:val="en-US" w:eastAsia="zh-CN"/>
        </w:rPr>
        <w:t>财政部随文下达强制免疫病种应免畜禽的免疫密度指标，指标值为≥90%，实际完成90%，完成率100%，偏差率0%。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eastAsia" w:ascii="Times New Roman" w:hAnsi="Times New Roman" w:eastAsia="仿宋_GB2312" w:cs="Times New Roman"/>
          <w:b w:val="0"/>
          <w:bCs w:val="0"/>
          <w:color w:val="auto"/>
          <w:sz w:val="32"/>
          <w:szCs w:val="36"/>
          <w:lang w:val="en-US" w:eastAsia="zh-CN"/>
        </w:rPr>
        <w:t>b.</w:t>
      </w:r>
      <w:r>
        <w:rPr>
          <w:rFonts w:hint="default" w:ascii="Times New Roman" w:hAnsi="Times New Roman" w:eastAsia="仿宋_GB2312" w:cs="Times New Roman"/>
          <w:b w:val="0"/>
          <w:bCs w:val="0"/>
          <w:color w:val="auto"/>
          <w:sz w:val="32"/>
          <w:szCs w:val="36"/>
          <w:lang w:val="en-US" w:eastAsia="zh-CN"/>
        </w:rPr>
        <w:t>财政部随文下达强制扑杀补助数量指标，指标值为14104（头、只），实际完成14104（头、只），完成率100%，偏差率0%。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eastAsia" w:ascii="Times New Roman" w:hAnsi="Times New Roman" w:eastAsia="仿宋_GB2312" w:cs="Times New Roman"/>
          <w:b w:val="0"/>
          <w:bCs w:val="0"/>
          <w:color w:val="auto"/>
          <w:sz w:val="32"/>
          <w:szCs w:val="36"/>
          <w:lang w:val="en-US" w:eastAsia="zh-CN"/>
        </w:rPr>
        <w:t>c.</w:t>
      </w:r>
      <w:r>
        <w:rPr>
          <w:rFonts w:hint="default" w:ascii="Times New Roman" w:hAnsi="Times New Roman" w:eastAsia="仿宋_GB2312" w:cs="Times New Roman"/>
          <w:b w:val="0"/>
          <w:bCs w:val="0"/>
          <w:color w:val="auto"/>
          <w:sz w:val="32"/>
          <w:szCs w:val="36"/>
          <w:lang w:val="en-US" w:eastAsia="zh-CN"/>
        </w:rPr>
        <w:t>财政部随文下达养殖环节病死猪无害化处理补助头数指标，指标值为180048头，实际完成163939头，完成率</w:t>
      </w:r>
      <w:r>
        <w:rPr>
          <w:rFonts w:hint="eastAsia" w:ascii="Times New Roman" w:hAnsi="Times New Roman" w:eastAsia="仿宋_GB2312" w:cs="Times New Roman"/>
          <w:b w:val="0"/>
          <w:bCs w:val="0"/>
          <w:color w:val="auto"/>
          <w:sz w:val="32"/>
          <w:szCs w:val="36"/>
          <w:lang w:val="en-US" w:eastAsia="zh-CN"/>
        </w:rPr>
        <w:t>91.05%，偏差率8.95%。偏差原因</w:t>
      </w:r>
      <w:r>
        <w:rPr>
          <w:rFonts w:hint="default" w:ascii="Times New Roman" w:hAnsi="Times New Roman" w:eastAsia="仿宋_GB2312" w:cs="Times New Roman"/>
          <w:b w:val="0"/>
          <w:bCs w:val="0"/>
          <w:color w:val="auto"/>
          <w:sz w:val="32"/>
          <w:szCs w:val="36"/>
          <w:lang w:val="en-US" w:eastAsia="zh-CN"/>
        </w:rPr>
        <w:t>一是昌吉州指标值为17514头，实际完成值为12507头，完成率71%，主要是呼图壁县、奇台县财政一直未支付；二是喀什地区指标值为10594头，实际完成值为8591头，完成率81%，主要是莎车县财政一直未支付；三是博州指标值为16950头，实际完成值为5424头，完成率32%，主要是由于生猪存栏量受市场价格等因素影响波动较大，下达的病死生猪处理任务头数（来年的估值）与实际病死生猪处理头数出入较大，致使资金实际使用率较低；四是吐鲁番市财政未完全支付。</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eastAsia" w:ascii="Times New Roman" w:hAnsi="Times New Roman" w:eastAsia="仿宋_GB2312" w:cs="Times New Roman"/>
          <w:b w:val="0"/>
          <w:bCs w:val="0"/>
          <w:color w:val="auto"/>
          <w:sz w:val="32"/>
          <w:szCs w:val="36"/>
          <w:lang w:val="en-US" w:eastAsia="zh-CN"/>
        </w:rPr>
        <w:t>d.</w:t>
      </w:r>
      <w:r>
        <w:rPr>
          <w:rFonts w:hint="default" w:ascii="Times New Roman" w:hAnsi="Times New Roman" w:eastAsia="仿宋_GB2312" w:cs="Times New Roman"/>
          <w:b w:val="0"/>
          <w:bCs w:val="0"/>
          <w:color w:val="auto"/>
          <w:sz w:val="32"/>
          <w:szCs w:val="36"/>
          <w:lang w:val="en-US" w:eastAsia="zh-CN"/>
        </w:rPr>
        <w:t>财政部随文下达完成包虫病疫区犬的驱虫数量指标，指标值为51.36万只，实际完成51.36万只，完成率100%，偏差率0%。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（2）质量指标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a.财政部随文下达依法对重大动物疫情处置率指标，指标值为100%，实际完成100%，完成率100%，偏差率0%。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eastAsia" w:ascii="Times New Roman" w:hAnsi="Times New Roman" w:eastAsia="仿宋_GB2312" w:cs="Times New Roman"/>
          <w:b w:val="0"/>
          <w:bCs w:val="0"/>
          <w:color w:val="auto"/>
          <w:sz w:val="32"/>
          <w:szCs w:val="36"/>
          <w:lang w:val="en-US" w:eastAsia="zh-CN"/>
        </w:rPr>
        <w:t>b.</w:t>
      </w:r>
      <w:r>
        <w:rPr>
          <w:rFonts w:hint="default" w:ascii="Times New Roman" w:hAnsi="Times New Roman" w:eastAsia="仿宋_GB2312" w:cs="Times New Roman"/>
          <w:b w:val="0"/>
          <w:bCs w:val="0"/>
          <w:color w:val="auto"/>
          <w:sz w:val="32"/>
          <w:szCs w:val="36"/>
          <w:lang w:val="en-US" w:eastAsia="zh-CN"/>
        </w:rPr>
        <w:t>财政部随文下达免疫质量和免疫效果（除布病外其他病种的平均免疫抗体合格率指标，指标值为</w:t>
      </w:r>
      <w:r>
        <w:rPr>
          <w:rFonts w:hint="eastAsia" w:ascii="Times New Roman" w:hAnsi="Times New Roman" w:eastAsia="仿宋_GB2312" w:cs="Times New Roman"/>
          <w:b w:val="0"/>
          <w:bCs w:val="0"/>
          <w:color w:val="auto"/>
          <w:sz w:val="32"/>
          <w:szCs w:val="36"/>
          <w:lang w:val="en-US" w:eastAsia="zh-CN"/>
        </w:rPr>
        <w:t>70%，</w:t>
      </w:r>
      <w:r>
        <w:rPr>
          <w:rFonts w:hint="default" w:ascii="Times New Roman" w:hAnsi="Times New Roman" w:eastAsia="仿宋_GB2312" w:cs="Times New Roman"/>
          <w:b w:val="0"/>
          <w:bCs w:val="0"/>
          <w:color w:val="auto"/>
          <w:sz w:val="32"/>
          <w:szCs w:val="36"/>
          <w:lang w:val="en-US" w:eastAsia="zh-CN"/>
        </w:rPr>
        <w:t>实际完成</w:t>
      </w:r>
      <w:r>
        <w:rPr>
          <w:rFonts w:hint="eastAsia" w:ascii="Times New Roman" w:hAnsi="Times New Roman" w:eastAsia="仿宋_GB2312" w:cs="Times New Roman"/>
          <w:b w:val="0"/>
          <w:bCs w:val="0"/>
          <w:color w:val="auto"/>
          <w:sz w:val="32"/>
          <w:szCs w:val="36"/>
          <w:lang w:val="en-US" w:eastAsia="zh-CN"/>
        </w:rPr>
        <w:t>7</w:t>
      </w:r>
      <w:r>
        <w:rPr>
          <w:rFonts w:hint="default" w:ascii="Times New Roman" w:hAnsi="Times New Roman" w:eastAsia="仿宋_GB2312" w:cs="Times New Roman"/>
          <w:b w:val="0"/>
          <w:bCs w:val="0"/>
          <w:color w:val="auto"/>
          <w:sz w:val="32"/>
          <w:szCs w:val="36"/>
          <w:lang w:val="en-US" w:eastAsia="zh-CN"/>
        </w:rPr>
        <w:t>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w:t>
      </w:r>
      <w:r>
        <w:rPr>
          <w:rFonts w:hint="eastAsia" w:ascii="Times New Roman" w:hAnsi="Times New Roman" w:eastAsia="仿宋_GB2312" w:cs="Times New Roman"/>
          <w:b w:val="0"/>
          <w:bCs w:val="0"/>
          <w:color w:val="auto"/>
          <w:sz w:val="32"/>
          <w:szCs w:val="36"/>
          <w:lang w:val="en-US" w:eastAsia="zh-CN"/>
        </w:rPr>
        <w:t>3</w:t>
      </w:r>
      <w:r>
        <w:rPr>
          <w:rFonts w:hint="default" w:ascii="Times New Roman" w:hAnsi="Times New Roman" w:eastAsia="仿宋_GB2312" w:cs="Times New Roman"/>
          <w:b w:val="0"/>
          <w:bCs w:val="0"/>
          <w:color w:val="auto"/>
          <w:sz w:val="32"/>
          <w:szCs w:val="36"/>
          <w:lang w:val="en-US" w:eastAsia="zh-CN"/>
        </w:rPr>
        <w:t>）</w:t>
      </w:r>
      <w:r>
        <w:rPr>
          <w:rFonts w:hint="eastAsia" w:ascii="Times New Roman" w:hAnsi="Times New Roman" w:eastAsia="仿宋_GB2312" w:cs="Times New Roman"/>
          <w:b w:val="0"/>
          <w:bCs w:val="0"/>
          <w:color w:val="auto"/>
          <w:sz w:val="32"/>
          <w:szCs w:val="36"/>
          <w:lang w:val="en-US" w:eastAsia="zh-CN"/>
        </w:rPr>
        <w:t>时效</w:t>
      </w:r>
      <w:r>
        <w:rPr>
          <w:rFonts w:hint="default" w:ascii="Times New Roman" w:hAnsi="Times New Roman" w:eastAsia="仿宋_GB2312" w:cs="Times New Roman"/>
          <w:b w:val="0"/>
          <w:bCs w:val="0"/>
          <w:color w:val="auto"/>
          <w:sz w:val="32"/>
          <w:szCs w:val="36"/>
          <w:lang w:val="en-US" w:eastAsia="zh-CN"/>
        </w:rPr>
        <w:t>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财政部随文下达重大动物疫情及时报告率指标，指标值为100%，实际完成100%，完成率100%，偏差率0%。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2.效益指标完成情况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（1）社会效益指标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eastAsia" w:ascii="Times New Roman" w:hAnsi="Times New Roman" w:eastAsia="仿宋_GB2312" w:cs="Times New Roman"/>
          <w:b w:val="0"/>
          <w:bCs w:val="0"/>
          <w:color w:val="auto"/>
          <w:sz w:val="32"/>
          <w:szCs w:val="36"/>
          <w:lang w:val="en-US" w:eastAsia="zh-CN"/>
        </w:rPr>
        <w:t>a.</w:t>
      </w:r>
      <w:r>
        <w:rPr>
          <w:rFonts w:hint="default" w:ascii="Times New Roman" w:hAnsi="Times New Roman" w:eastAsia="仿宋_GB2312" w:cs="Times New Roman"/>
          <w:b w:val="0"/>
          <w:bCs w:val="0"/>
          <w:color w:val="auto"/>
          <w:sz w:val="32"/>
          <w:szCs w:val="36"/>
          <w:lang w:val="en-US" w:eastAsia="zh-CN"/>
        </w:rPr>
        <w:t>财政部随文下达口蹄疫、高致病性禽流感、布病、包虫病等优先防治病种防治工作指标，指标值为疫情保持平稳，实际完成100%，完成率100%，偏差率0%。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0"/>
          <w:szCs w:val="30"/>
          <w:lang w:val="en-US" w:eastAsia="zh-CN"/>
        </w:rPr>
      </w:pPr>
      <w:r>
        <w:rPr>
          <w:rFonts w:hint="eastAsia" w:ascii="Times New Roman" w:hAnsi="Times New Roman" w:eastAsia="仿宋_GB2312" w:cs="Times New Roman"/>
          <w:b w:val="0"/>
          <w:bCs w:val="0"/>
          <w:color w:val="auto"/>
          <w:sz w:val="32"/>
          <w:szCs w:val="36"/>
          <w:lang w:val="en-US" w:eastAsia="zh-CN"/>
        </w:rPr>
        <w:t>b.</w:t>
      </w:r>
      <w:r>
        <w:rPr>
          <w:rFonts w:hint="default" w:ascii="Times New Roman" w:hAnsi="Times New Roman" w:eastAsia="仿宋_GB2312" w:cs="Times New Roman"/>
          <w:b w:val="0"/>
          <w:bCs w:val="0"/>
          <w:color w:val="auto"/>
          <w:sz w:val="32"/>
          <w:szCs w:val="36"/>
          <w:lang w:val="en-US" w:eastAsia="zh-CN"/>
        </w:rPr>
        <w:t>财政部随文下达资金使用重大违规违纪问题指标，指标值为资金使用</w:t>
      </w:r>
      <w:r>
        <w:rPr>
          <w:rFonts w:hint="eastAsia" w:ascii="Times New Roman" w:hAnsi="Times New Roman" w:eastAsia="仿宋_GB2312" w:cs="Times New Roman"/>
          <w:b w:val="0"/>
          <w:bCs w:val="0"/>
          <w:color w:val="auto"/>
          <w:sz w:val="32"/>
          <w:szCs w:val="36"/>
          <w:lang w:val="en-US" w:eastAsia="zh-CN"/>
        </w:rPr>
        <w:t>无</w:t>
      </w:r>
      <w:r>
        <w:rPr>
          <w:rFonts w:hint="default" w:ascii="Times New Roman" w:hAnsi="Times New Roman" w:eastAsia="仿宋_GB2312" w:cs="Times New Roman"/>
          <w:b w:val="0"/>
          <w:bCs w:val="0"/>
          <w:color w:val="auto"/>
          <w:sz w:val="32"/>
          <w:szCs w:val="36"/>
          <w:lang w:val="en-US" w:eastAsia="zh-CN"/>
        </w:rPr>
        <w:t>重大违规违纪问题</w:t>
      </w:r>
      <w:r>
        <w:rPr>
          <w:rFonts w:hint="eastAsia" w:ascii="Times New Roman" w:hAnsi="Times New Roman" w:eastAsia="仿宋_GB2312" w:cs="Times New Roman"/>
          <w:b w:val="0"/>
          <w:bCs w:val="0"/>
          <w:color w:val="auto"/>
          <w:sz w:val="30"/>
          <w:szCs w:val="30"/>
          <w:lang w:val="en-US" w:eastAsia="zh-CN"/>
        </w:rPr>
        <w:t>，</w:t>
      </w:r>
      <w:r>
        <w:rPr>
          <w:rFonts w:hint="default" w:ascii="Times New Roman" w:hAnsi="Times New Roman" w:eastAsia="仿宋_GB2312" w:cs="Times New Roman"/>
          <w:b w:val="0"/>
          <w:bCs w:val="0"/>
          <w:color w:val="auto"/>
          <w:sz w:val="30"/>
          <w:szCs w:val="30"/>
          <w:lang w:val="en-US" w:eastAsia="zh-CN"/>
        </w:rPr>
        <w:t>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w:t>
      </w:r>
      <w:r>
        <w:rPr>
          <w:rFonts w:hint="eastAsia" w:ascii="Times New Roman" w:hAnsi="Times New Roman" w:eastAsia="仿宋_GB2312" w:cs="Times New Roman"/>
          <w:b w:val="0"/>
          <w:bCs w:val="0"/>
          <w:color w:val="auto"/>
          <w:sz w:val="32"/>
          <w:szCs w:val="36"/>
          <w:lang w:val="en-US" w:eastAsia="zh-CN"/>
        </w:rPr>
        <w:t>2</w:t>
      </w:r>
      <w:r>
        <w:rPr>
          <w:rFonts w:hint="default" w:ascii="Times New Roman" w:hAnsi="Times New Roman" w:eastAsia="仿宋_GB2312" w:cs="Times New Roman"/>
          <w:b w:val="0"/>
          <w:bCs w:val="0"/>
          <w:color w:val="auto"/>
          <w:sz w:val="32"/>
          <w:szCs w:val="36"/>
          <w:lang w:val="en-US" w:eastAsia="zh-CN"/>
        </w:rPr>
        <w:t>）</w:t>
      </w:r>
      <w:r>
        <w:rPr>
          <w:rFonts w:hint="eastAsia" w:ascii="Times New Roman" w:hAnsi="Times New Roman" w:eastAsia="仿宋_GB2312" w:cs="Times New Roman"/>
          <w:b w:val="0"/>
          <w:bCs w:val="0"/>
          <w:color w:val="auto"/>
          <w:sz w:val="32"/>
          <w:szCs w:val="36"/>
          <w:lang w:val="en-US" w:eastAsia="zh-CN"/>
        </w:rPr>
        <w:t>生态</w:t>
      </w:r>
      <w:r>
        <w:rPr>
          <w:rFonts w:hint="default" w:ascii="Times New Roman" w:hAnsi="Times New Roman" w:eastAsia="仿宋_GB2312" w:cs="Times New Roman"/>
          <w:b w:val="0"/>
          <w:bCs w:val="0"/>
          <w:color w:val="auto"/>
          <w:sz w:val="32"/>
          <w:szCs w:val="36"/>
          <w:lang w:val="en-US" w:eastAsia="zh-CN"/>
        </w:rPr>
        <w:t>效益指标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财政部随文下达大规模随意抛弃病死猪事件发生率指标，指标值为</w:t>
      </w:r>
      <w:r>
        <w:rPr>
          <w:rFonts w:hint="eastAsia" w:ascii="Times New Roman" w:hAnsi="Times New Roman" w:eastAsia="仿宋_GB2312" w:cs="Times New Roman"/>
          <w:b w:val="0"/>
          <w:bCs w:val="0"/>
          <w:color w:val="auto"/>
          <w:sz w:val="32"/>
          <w:szCs w:val="36"/>
          <w:lang w:val="en-US" w:eastAsia="zh-CN"/>
        </w:rPr>
        <w:t>0，</w:t>
      </w:r>
      <w:r>
        <w:rPr>
          <w:rFonts w:hint="default" w:ascii="Times New Roman" w:hAnsi="Times New Roman" w:eastAsia="仿宋_GB2312" w:cs="Times New Roman"/>
          <w:b w:val="0"/>
          <w:bCs w:val="0"/>
          <w:color w:val="auto"/>
          <w:sz w:val="32"/>
          <w:szCs w:val="36"/>
          <w:lang w:val="en-US" w:eastAsia="zh-CN"/>
        </w:rPr>
        <w:t>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3.满意度指标完成情况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财政部随文下达补助对象对政策实施满意率指标，指标值为≥90%</w:t>
      </w:r>
      <w:r>
        <w:rPr>
          <w:rFonts w:hint="eastAsia" w:ascii="Times New Roman" w:hAnsi="Times New Roman" w:eastAsia="仿宋_GB2312" w:cs="Times New Roman"/>
          <w:b w:val="0"/>
          <w:bCs w:val="0"/>
          <w:color w:val="auto"/>
          <w:sz w:val="32"/>
          <w:szCs w:val="36"/>
          <w:lang w:val="en-US" w:eastAsia="zh-CN"/>
        </w:rPr>
        <w:t>，</w:t>
      </w:r>
      <w:r>
        <w:rPr>
          <w:rFonts w:hint="default" w:ascii="Times New Roman" w:hAnsi="Times New Roman" w:eastAsia="仿宋_GB2312" w:cs="Times New Roman"/>
          <w:b w:val="0"/>
          <w:bCs w:val="0"/>
          <w:color w:val="auto"/>
          <w:sz w:val="32"/>
          <w:szCs w:val="36"/>
          <w:lang w:val="en-US" w:eastAsia="zh-CN"/>
        </w:rPr>
        <w:t>实际完成</w:t>
      </w:r>
      <w:r>
        <w:rPr>
          <w:rFonts w:hint="eastAsia" w:ascii="Times New Roman" w:hAnsi="Times New Roman" w:eastAsia="仿宋_GB2312" w:cs="Times New Roman"/>
          <w:b w:val="0"/>
          <w:bCs w:val="0"/>
          <w:color w:val="auto"/>
          <w:sz w:val="32"/>
          <w:szCs w:val="36"/>
          <w:lang w:val="en-US" w:eastAsia="zh-CN"/>
        </w:rPr>
        <w:t>90</w:t>
      </w:r>
      <w:r>
        <w:rPr>
          <w:rFonts w:hint="default" w:ascii="Times New Roman" w:hAnsi="Times New Roman" w:eastAsia="仿宋_GB2312" w:cs="Times New Roman"/>
          <w:b w:val="0"/>
          <w:bCs w:val="0"/>
          <w:color w:val="auto"/>
          <w:sz w:val="32"/>
          <w:szCs w:val="36"/>
          <w:lang w:val="en-US" w:eastAsia="zh-CN"/>
        </w:rPr>
        <w:t>%，完成率100%，偏差率0%。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中央农业防灾减灾和水利救灾资金预算（防灾救灾第一批）1330万元</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1.产出指标完成情况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（1）数量指标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财政部随文下达重大病虫疫情防控面积</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lang w:val="en-US" w:eastAsia="zh-CN"/>
        </w:rPr>
        <w:t>≥97万亩，实际完成97万亩，完成率100%，偏差率0%。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（2）质量指标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a.财政部随文下达防控效果</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lang w:val="en-US" w:eastAsia="zh-CN"/>
        </w:rPr>
        <w:t>有效遏制暴发流行成灾，实际完成100%，完成率100%，偏差率0%。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b.财政部随文下达项目实施区统防统治覆盖率</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lang w:val="en-US" w:eastAsia="zh-CN"/>
        </w:rPr>
        <w:t>&gt;43%，实际完成45%，完成率104.65%，偏差率4.65%。</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（3）时效指标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财政部随文下达农作物病虫害防治组织实施时效</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lang w:val="en-US" w:eastAsia="zh-CN"/>
        </w:rPr>
        <w:t>在农作物病虫害防控期及时组织实施，实际完成100%，完成率100%，偏差率0%。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（4）成本指标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财政部随文下达采购物资或服务价格</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lang w:val="en-US" w:eastAsia="zh-CN"/>
        </w:rPr>
        <w:t>不超过市场价格，实际完成100%，完成率100%，偏差率0%。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2.效益指标完成情况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（1）社会效益指标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财政部随文下达防灾措施保障粮食安全和农业生产安全效果</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lang w:val="en-US" w:eastAsia="zh-CN"/>
        </w:rPr>
        <w:t>重发区域病虫害得到有效控制，农作物不出现大范围成灾绝收，实际完成100%，完成率100%，偏差率0%。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（2）可持续影响指标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财政部随文下达有效保持重大病虫疫情灾情</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lang w:val="en-US" w:eastAsia="zh-CN"/>
        </w:rPr>
        <w:t>监测预警能力病虫害防控期内，实际完成100%，完成率100%，偏差率0%。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3.满意度指标完成情况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财政部随文下达受灾农民或防治服务组织满意度</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lang w:val="en-US" w:eastAsia="zh-CN"/>
        </w:rPr>
        <w:t>≥85%，实际完成</w:t>
      </w:r>
      <w:r>
        <w:rPr>
          <w:rFonts w:hint="eastAsia" w:ascii="Times New Roman" w:hAnsi="Times New Roman" w:eastAsia="仿宋_GB2312" w:cs="Times New Roman"/>
          <w:b w:val="0"/>
          <w:bCs w:val="0"/>
          <w:color w:val="auto"/>
          <w:sz w:val="32"/>
          <w:szCs w:val="36"/>
          <w:lang w:val="en-US" w:eastAsia="zh-CN"/>
        </w:rPr>
        <w:t>90</w:t>
      </w:r>
      <w:r>
        <w:rPr>
          <w:rFonts w:hint="default" w:ascii="Times New Roman" w:hAnsi="Times New Roman" w:eastAsia="仿宋_GB2312" w:cs="Times New Roman"/>
          <w:b w:val="0"/>
          <w:bCs w:val="0"/>
          <w:color w:val="auto"/>
          <w:sz w:val="32"/>
          <w:szCs w:val="36"/>
          <w:lang w:val="en-US" w:eastAsia="zh-CN"/>
        </w:rPr>
        <w:t>%，完成率100%，偏差率0%。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color w:val="auto"/>
          <w:sz w:val="32"/>
          <w:szCs w:val="36"/>
          <w:highlight w:val="none"/>
          <w:lang w:val="en-US" w:eastAsia="zh-CN"/>
        </w:rPr>
      </w:pPr>
      <w:r>
        <w:rPr>
          <w:rFonts w:hint="default" w:ascii="Times New Roman" w:hAnsi="Times New Roman" w:eastAsia="楷体" w:cs="Times New Roman"/>
          <w:b/>
          <w:bCs/>
          <w:color w:val="auto"/>
          <w:sz w:val="32"/>
          <w:szCs w:val="36"/>
          <w:highlight w:val="none"/>
          <w:lang w:val="en-US" w:eastAsia="zh-CN"/>
        </w:rPr>
        <w:t>中央农业防灾减灾和水利救灾资金预算（防灾救灾第四批）2140万元</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1.产出指标完成情况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（1）数量指标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随文下达支持农作物防灾减灾和灾后恢复生产</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≥71.34万亩，实际完成73.59万亩，完成率103.11%，偏差率3.11%。</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（2）质量指标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随文下达用于农业生产救灾相关支出的比例</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100%，实际完成100%，完成率100%，偏差率0%。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（3）时效指标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a.</w:t>
      </w: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w:t>
      </w:r>
      <w:r>
        <w:rPr>
          <w:rFonts w:hint="default" w:ascii="Times New Roman" w:hAnsi="Times New Roman" w:eastAsia="仿宋_GB2312" w:cs="Times New Roman"/>
          <w:color w:val="auto"/>
          <w:sz w:val="32"/>
          <w:szCs w:val="32"/>
          <w:highlight w:val="none"/>
          <w:lang w:val="en-US" w:eastAsia="zh-CN"/>
        </w:rPr>
        <w:t>灾后生产恢复时效性</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color w:val="auto"/>
          <w:sz w:val="32"/>
          <w:szCs w:val="32"/>
          <w:highlight w:val="none"/>
          <w:lang w:val="en-US" w:eastAsia="zh-CN"/>
        </w:rPr>
        <w:t>能达及时恢复正常生产</w:t>
      </w:r>
      <w:r>
        <w:rPr>
          <w:rFonts w:hint="default" w:ascii="Times New Roman" w:hAnsi="Times New Roman" w:eastAsia="仿宋_GB2312" w:cs="Times New Roman"/>
          <w:b w:val="0"/>
          <w:bCs w:val="0"/>
          <w:color w:val="auto"/>
          <w:sz w:val="32"/>
          <w:szCs w:val="36"/>
          <w:highlight w:val="none"/>
          <w:lang w:val="en-US" w:eastAsia="zh-CN"/>
        </w:rPr>
        <w:t>，实际完成100%，完成率100%，偏差率0%。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b.</w:t>
      </w: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随文下达地（市）级6个月内预算执行率</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≥80%，实际完成80%，完成率100%，偏差率0%。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（4）成本指标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yellow"/>
          <w:lang w:val="en-US" w:eastAsia="zh-CN"/>
        </w:rPr>
      </w:pPr>
      <w:r>
        <w:rPr>
          <w:rFonts w:hint="default" w:ascii="Times New Roman" w:hAnsi="Times New Roman" w:eastAsia="仿宋_GB2312" w:cs="Times New Roman"/>
          <w:b w:val="0"/>
          <w:bCs w:val="0"/>
          <w:color w:val="auto"/>
          <w:sz w:val="32"/>
          <w:szCs w:val="36"/>
          <w:highlight w:val="none"/>
          <w:lang w:val="en-US" w:eastAsia="zh-CN"/>
        </w:rPr>
        <w:t>a.</w:t>
      </w: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随文下达采购物资或服务价格</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不超过市场价格，实际完成100%，完成率100%，偏差率0%。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2.效益指标完成情况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（1）经济效益指标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随文下达受灾地区主要农作物单产减幅</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≤5%，实际完成5%，完成率100%，偏差率0%。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（2）社会效益指标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w:t>
      </w:r>
      <w:r>
        <w:rPr>
          <w:rFonts w:hint="default" w:ascii="Times New Roman" w:hAnsi="Times New Roman" w:eastAsia="仿宋_GB2312" w:cs="Times New Roman"/>
          <w:b w:val="0"/>
          <w:bCs w:val="0"/>
          <w:color w:val="auto"/>
          <w:sz w:val="32"/>
          <w:szCs w:val="32"/>
          <w:highlight w:val="none"/>
          <w:lang w:val="en-US" w:eastAsia="zh-CN"/>
        </w:rPr>
        <w:t>灾区农业生产秩序恢复</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2"/>
          <w:highlight w:val="none"/>
          <w:lang w:val="en-US" w:eastAsia="zh-CN"/>
        </w:rPr>
        <w:t>基本恢复</w:t>
      </w:r>
      <w:r>
        <w:rPr>
          <w:rFonts w:hint="default" w:ascii="Times New Roman" w:hAnsi="Times New Roman" w:eastAsia="仿宋_GB2312" w:cs="Times New Roman"/>
          <w:b w:val="0"/>
          <w:bCs w:val="0"/>
          <w:color w:val="auto"/>
          <w:sz w:val="32"/>
          <w:szCs w:val="36"/>
          <w:highlight w:val="none"/>
          <w:lang w:val="en-US" w:eastAsia="zh-CN"/>
        </w:rPr>
        <w:t>，实际完成100%，完成率100%，偏差率0%。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（3）生态效益指标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w:t>
      </w:r>
      <w:r>
        <w:rPr>
          <w:rFonts w:hint="default" w:ascii="Times New Roman" w:hAnsi="Times New Roman" w:eastAsia="仿宋_GB2312" w:cs="Times New Roman"/>
          <w:color w:val="auto"/>
          <w:sz w:val="32"/>
          <w:szCs w:val="32"/>
          <w:highlight w:val="none"/>
          <w:lang w:val="en-US" w:eastAsia="zh-CN" w:bidi="ar"/>
        </w:rPr>
        <w:t>灾区生产能力恢复</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2"/>
          <w:highlight w:val="none"/>
          <w:lang w:val="en-US" w:eastAsia="zh-CN"/>
        </w:rPr>
        <w:t>基本恢复</w:t>
      </w:r>
      <w:r>
        <w:rPr>
          <w:rFonts w:hint="default" w:ascii="Times New Roman" w:hAnsi="Times New Roman" w:eastAsia="仿宋_GB2312" w:cs="Times New Roman"/>
          <w:b w:val="0"/>
          <w:bCs w:val="0"/>
          <w:color w:val="auto"/>
          <w:sz w:val="32"/>
          <w:szCs w:val="36"/>
          <w:highlight w:val="none"/>
          <w:lang w:val="en-US" w:eastAsia="zh-CN"/>
        </w:rPr>
        <w:t>，实际完成100%，完成率100%，偏差率0%。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（4）可持续影响指标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a.</w:t>
      </w: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w:t>
      </w:r>
      <w:r>
        <w:rPr>
          <w:rFonts w:hint="default" w:ascii="Times New Roman" w:hAnsi="Times New Roman" w:eastAsia="仿宋_GB2312" w:cs="Times New Roman"/>
          <w:b w:val="0"/>
          <w:bCs w:val="0"/>
          <w:color w:val="auto"/>
          <w:sz w:val="32"/>
          <w:szCs w:val="32"/>
          <w:highlight w:val="none"/>
          <w:lang w:val="en-US" w:eastAsia="zh-CN"/>
        </w:rPr>
        <w:t>稳定受灾农作物播种面积</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2"/>
          <w:highlight w:val="none"/>
          <w:lang w:val="en-US" w:eastAsia="zh-CN"/>
        </w:rPr>
        <w:t>保持稳定</w:t>
      </w:r>
      <w:r>
        <w:rPr>
          <w:rFonts w:hint="default" w:ascii="Times New Roman" w:hAnsi="Times New Roman" w:eastAsia="仿宋_GB2312" w:cs="Times New Roman"/>
          <w:b w:val="0"/>
          <w:bCs w:val="0"/>
          <w:color w:val="auto"/>
          <w:sz w:val="32"/>
          <w:szCs w:val="36"/>
          <w:highlight w:val="none"/>
          <w:lang w:val="en-US" w:eastAsia="zh-CN"/>
        </w:rPr>
        <w:t>，实际完成100%，完成率100%，偏差率0%。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b.</w:t>
      </w: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w:t>
      </w:r>
      <w:r>
        <w:rPr>
          <w:rFonts w:hint="default" w:ascii="Times New Roman" w:hAnsi="Times New Roman" w:eastAsia="仿宋_GB2312" w:cs="Times New Roman"/>
          <w:b w:val="0"/>
          <w:bCs w:val="0"/>
          <w:color w:val="auto"/>
          <w:sz w:val="32"/>
          <w:szCs w:val="32"/>
          <w:highlight w:val="none"/>
          <w:lang w:val="en-US" w:eastAsia="zh-CN"/>
        </w:rPr>
        <w:t>稳定农民生产积极性</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2"/>
          <w:highlight w:val="none"/>
          <w:lang w:val="en-US" w:eastAsia="zh-CN"/>
        </w:rPr>
        <w:t>保持稳定</w:t>
      </w:r>
      <w:r>
        <w:rPr>
          <w:rFonts w:hint="default" w:ascii="Times New Roman" w:hAnsi="Times New Roman" w:eastAsia="仿宋_GB2312" w:cs="Times New Roman"/>
          <w:b w:val="0"/>
          <w:bCs w:val="0"/>
          <w:color w:val="auto"/>
          <w:sz w:val="32"/>
          <w:szCs w:val="36"/>
          <w:highlight w:val="none"/>
          <w:lang w:val="en-US" w:eastAsia="zh-CN"/>
        </w:rPr>
        <w:t>，实际完成100%，完成率100%，偏差率0%。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3.满意度指标完成情况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w:t>
      </w:r>
      <w:r>
        <w:rPr>
          <w:rFonts w:hint="default" w:ascii="Times New Roman" w:hAnsi="Times New Roman" w:eastAsia="仿宋_GB2312" w:cs="Times New Roman"/>
          <w:color w:val="auto"/>
          <w:sz w:val="32"/>
          <w:szCs w:val="32"/>
          <w:highlight w:val="none"/>
          <w:lang w:val="en-US" w:eastAsia="zh-CN"/>
        </w:rPr>
        <w:t>指导服务对象满意度</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≥85%，实际完成</w:t>
      </w:r>
      <w:r>
        <w:rPr>
          <w:rFonts w:hint="eastAsia" w:ascii="Times New Roman" w:hAnsi="Times New Roman" w:eastAsia="仿宋_GB2312" w:cs="Times New Roman"/>
          <w:b w:val="0"/>
          <w:bCs w:val="0"/>
          <w:color w:val="auto"/>
          <w:sz w:val="32"/>
          <w:szCs w:val="36"/>
          <w:highlight w:val="none"/>
          <w:lang w:val="en-US" w:eastAsia="zh-CN"/>
        </w:rPr>
        <w:t>90</w:t>
      </w:r>
      <w:r>
        <w:rPr>
          <w:rFonts w:hint="default" w:ascii="Times New Roman" w:hAnsi="Times New Roman" w:eastAsia="仿宋_GB2312" w:cs="Times New Roman"/>
          <w:b w:val="0"/>
          <w:bCs w:val="0"/>
          <w:color w:val="auto"/>
          <w:sz w:val="32"/>
          <w:szCs w:val="36"/>
          <w:highlight w:val="none"/>
          <w:lang w:val="en-US" w:eastAsia="zh-CN"/>
        </w:rPr>
        <w:t>%，完成率100%，偏差率0%。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color w:val="auto"/>
          <w:sz w:val="32"/>
          <w:szCs w:val="36"/>
          <w:lang w:val="en-US" w:eastAsia="zh-CN"/>
        </w:rPr>
      </w:pPr>
      <w:r>
        <w:rPr>
          <w:rFonts w:hint="default" w:ascii="Times New Roman" w:hAnsi="Times New Roman" w:eastAsia="楷体" w:cs="Times New Roman"/>
          <w:b/>
          <w:bCs/>
          <w:color w:val="auto"/>
          <w:sz w:val="32"/>
          <w:szCs w:val="36"/>
          <w:lang w:val="en-US" w:eastAsia="zh-CN"/>
        </w:rPr>
        <w:t>中央农业防灾减灾和水利救灾资金预算（防灾救灾第十一批）9620万元</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 w:cs="Times New Roman"/>
          <w:b/>
          <w:bCs/>
          <w:color w:val="auto"/>
          <w:sz w:val="32"/>
          <w:szCs w:val="36"/>
          <w:highlight w:val="none"/>
          <w:lang w:val="en-US" w:eastAsia="zh-CN"/>
        </w:rPr>
      </w:pPr>
      <w:r>
        <w:rPr>
          <w:rFonts w:hint="default" w:ascii="Times New Roman" w:hAnsi="Times New Roman" w:eastAsia="仿宋_GB2312" w:cs="Times New Roman"/>
          <w:b/>
          <w:bCs/>
          <w:color w:val="auto"/>
          <w:kern w:val="2"/>
          <w:sz w:val="32"/>
          <w:szCs w:val="32"/>
          <w:lang w:val="en-US" w:eastAsia="zh-CN" w:bidi="ar-SA"/>
        </w:rPr>
        <w:t>1.产出指标完成情况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（1）数量指标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随文下达调运和储备饲草料</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≥54万吨，实际完成0万吨，完成率0%，偏差率0%。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（2）质量指标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中央随文下达用于农业生产救灾相关支出的比例</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100%，实际完成0%，完成率0%，偏差率0%。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（3）时效指标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随文下达救灾资金下达到自治区3个月内预算执行率</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≥80%，实际完成0%，完成率0%，偏差率0%。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（4）成本指标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随文下达采购物资或服务价格</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不超过市场价格，实际完成0%，完成率0%，偏差率0%。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2.效益指标完成情况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（1）经济效益指标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随文下达受灾地区主要牲畜存栏量减幅</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重灾区少减产、轻灾区不减产，实际完成0%，完成率0%，偏差率0%。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（2）社会效益指标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随文下达灾区畜牧业生产秩序恢复</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基本恢复，实际完成0%，完成率0%，偏差率0%。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（3）生态效益指标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随文下达灾区畜牧业生产能力恢复</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基本恢复，实际完成0%，完成率0%，偏差率0%。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（4）可持续影响指标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a.</w:t>
      </w: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随文下达稳定农民畜牧业生产积极性</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保持稳定，实际完成0%，完成率0%，偏差率0%。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highlight w:val="none"/>
          <w:lang w:val="en-US" w:eastAsia="zh-CN"/>
        </w:rPr>
        <w:t>b.</w:t>
      </w: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随文下达保证主要畜禽存栏量稳定</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保持稳定，实际完成0%，完成率0%，偏差率0%。</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3.满意度指标完成情况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仿宋_GB2312" w:cs="Times New Roman"/>
          <w:b w:val="0"/>
          <w:bCs w:val="0"/>
          <w:color w:val="auto"/>
          <w:sz w:val="32"/>
          <w:szCs w:val="36"/>
          <w:lang w:val="en-US" w:eastAsia="zh-CN"/>
        </w:rPr>
        <w:t>财政部</w:t>
      </w:r>
      <w:r>
        <w:rPr>
          <w:rFonts w:hint="default" w:ascii="Times New Roman" w:hAnsi="Times New Roman" w:eastAsia="仿宋_GB2312" w:cs="Times New Roman"/>
          <w:b w:val="0"/>
          <w:bCs w:val="0"/>
          <w:color w:val="auto"/>
          <w:sz w:val="32"/>
          <w:szCs w:val="36"/>
          <w:highlight w:val="none"/>
          <w:lang w:val="en-US" w:eastAsia="zh-CN"/>
        </w:rPr>
        <w:t>随文下达指导服务对象满意度</w:t>
      </w:r>
      <w:r>
        <w:rPr>
          <w:rFonts w:hint="default" w:ascii="Times New Roman" w:hAnsi="Times New Roman" w:eastAsia="仿宋_GB2312" w:cs="Times New Roman"/>
          <w:b w:val="0"/>
          <w:bCs w:val="0"/>
          <w:sz w:val="32"/>
          <w:szCs w:val="36"/>
          <w:lang w:val="en-US" w:eastAsia="zh-CN"/>
        </w:rPr>
        <w:t>指标，指标值为</w:t>
      </w:r>
      <w:r>
        <w:rPr>
          <w:rFonts w:hint="default" w:ascii="Times New Roman" w:hAnsi="Times New Roman" w:eastAsia="仿宋_GB2312" w:cs="Times New Roman"/>
          <w:b w:val="0"/>
          <w:bCs w:val="0"/>
          <w:color w:val="auto"/>
          <w:sz w:val="32"/>
          <w:szCs w:val="36"/>
          <w:highlight w:val="none"/>
          <w:lang w:val="en-US" w:eastAsia="zh-CN"/>
        </w:rPr>
        <w:t>≥85%，实际完成0%，完成率0%，偏差率0%。</w:t>
      </w:r>
    </w:p>
    <w:p>
      <w:pPr>
        <w:keepNext w:val="0"/>
        <w:keepLines w:val="0"/>
        <w:pageBreakBefore w:val="0"/>
        <w:widowControl w:val="0"/>
        <w:numPr>
          <w:ilvl w:val="0"/>
          <w:numId w:val="1"/>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 w:cs="Times New Roman"/>
          <w:b/>
          <w:bCs/>
          <w:color w:val="auto"/>
          <w:sz w:val="32"/>
          <w:szCs w:val="32"/>
        </w:rPr>
      </w:pPr>
      <w:r>
        <w:rPr>
          <w:rFonts w:hint="default" w:ascii="Times New Roman" w:hAnsi="Times New Roman" w:eastAsia="黑体" w:cs="Times New Roman"/>
          <w:bCs/>
          <w:color w:val="auto"/>
          <w:sz w:val="32"/>
          <w:szCs w:val="32"/>
        </w:rPr>
        <w:t>偏离绩效目标的原因和下一步改进措施</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Chars="200"/>
        <w:textAlignment w:val="auto"/>
        <w:rPr>
          <w:rFonts w:hint="eastAsia" w:ascii="Times New Roman" w:hAnsi="Times New Roman" w:eastAsia="楷体" w:cs="Times New Roman"/>
          <w:b/>
          <w:bCs/>
          <w:color w:val="auto"/>
          <w:lang w:val="en-US" w:eastAsia="zh-CN"/>
        </w:rPr>
      </w:pPr>
      <w:r>
        <w:rPr>
          <w:rFonts w:hint="default" w:ascii="Times New Roman" w:hAnsi="Times New Roman" w:eastAsia="楷体" w:cs="Times New Roman"/>
          <w:b/>
          <w:bCs/>
          <w:color w:val="auto"/>
          <w:sz w:val="32"/>
          <w:szCs w:val="32"/>
        </w:rPr>
        <w:t>（一）偏离绩效目标</w:t>
      </w:r>
      <w:r>
        <w:rPr>
          <w:rFonts w:hint="eastAsia" w:eastAsia="楷体" w:cs="Times New Roman"/>
          <w:b/>
          <w:bCs/>
          <w:color w:val="auto"/>
          <w:sz w:val="32"/>
          <w:szCs w:val="32"/>
          <w:lang w:eastAsia="zh-CN"/>
        </w:rPr>
        <w:t>的原因</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6"/>
          <w:lang w:val="en-US" w:eastAsia="zh-CN"/>
        </w:rPr>
      </w:pPr>
      <w:r>
        <w:rPr>
          <w:rFonts w:hint="eastAsia" w:ascii="Times New Roman" w:hAnsi="Times New Roman" w:eastAsia="仿宋_GB2312" w:cs="Times New Roman"/>
          <w:b/>
          <w:bCs/>
          <w:color w:val="auto"/>
          <w:sz w:val="32"/>
          <w:szCs w:val="36"/>
          <w:lang w:val="en-US" w:eastAsia="zh-CN"/>
        </w:rPr>
        <w:t>1.</w:t>
      </w:r>
      <w:r>
        <w:rPr>
          <w:rFonts w:hint="default" w:ascii="Times New Roman" w:hAnsi="Times New Roman" w:eastAsia="仿宋_GB2312" w:cs="Times New Roman"/>
          <w:b/>
          <w:bCs/>
          <w:color w:val="auto"/>
          <w:sz w:val="32"/>
          <w:szCs w:val="36"/>
          <w:lang w:val="en-US" w:eastAsia="zh-CN"/>
        </w:rPr>
        <w:t>中央农业防灾减灾和水利救灾资金预算（</w:t>
      </w:r>
      <w:r>
        <w:rPr>
          <w:rFonts w:hint="eastAsia" w:ascii="Times New Roman" w:hAnsi="Times New Roman" w:eastAsia="仿宋_GB2312" w:cs="Times New Roman"/>
          <w:b/>
          <w:bCs/>
          <w:color w:val="auto"/>
          <w:sz w:val="32"/>
          <w:szCs w:val="36"/>
          <w:lang w:val="en-US" w:eastAsia="zh-CN"/>
        </w:rPr>
        <w:t>动物防疫补助</w:t>
      </w:r>
      <w:r>
        <w:rPr>
          <w:rFonts w:hint="default" w:ascii="Times New Roman" w:hAnsi="Times New Roman" w:eastAsia="仿宋_GB2312" w:cs="Times New Roman"/>
          <w:b/>
          <w:bCs/>
          <w:color w:val="auto"/>
          <w:sz w:val="32"/>
          <w:szCs w:val="36"/>
          <w:lang w:val="en-US" w:eastAsia="zh-CN"/>
        </w:rPr>
        <w:t>）</w:t>
      </w:r>
      <w:r>
        <w:rPr>
          <w:rFonts w:hint="eastAsia" w:ascii="Times New Roman" w:hAnsi="Times New Roman" w:eastAsia="仿宋_GB2312" w:cs="Times New Roman"/>
          <w:b/>
          <w:bCs/>
          <w:color w:val="auto"/>
          <w:sz w:val="32"/>
          <w:szCs w:val="36"/>
          <w:lang w:val="en-US" w:eastAsia="zh-CN"/>
        </w:rPr>
        <w:t>29972</w:t>
      </w:r>
      <w:r>
        <w:rPr>
          <w:rFonts w:hint="default" w:ascii="Times New Roman" w:hAnsi="Times New Roman" w:eastAsia="仿宋_GB2312" w:cs="Times New Roman"/>
          <w:b/>
          <w:bCs/>
          <w:color w:val="auto"/>
          <w:sz w:val="32"/>
          <w:szCs w:val="36"/>
          <w:lang w:val="en-US" w:eastAsia="zh-CN"/>
        </w:rPr>
        <w:t>万元偏离的绩效目标：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财政部随文下达养殖环节病死猪无害化处理补助头数指标，指标值为180048头</w:t>
      </w:r>
      <w:r>
        <w:rPr>
          <w:rFonts w:hint="eastAsia" w:ascii="Times New Roman" w:hAnsi="Times New Roman" w:eastAsia="仿宋_GB2312" w:cs="Times New Roman"/>
          <w:b w:val="0"/>
          <w:bCs w:val="0"/>
          <w:color w:val="auto"/>
          <w:sz w:val="32"/>
          <w:szCs w:val="36"/>
          <w:lang w:val="en-US" w:eastAsia="zh-CN"/>
        </w:rPr>
        <w:t>。偏差原因</w:t>
      </w:r>
      <w:r>
        <w:rPr>
          <w:rFonts w:hint="default" w:ascii="Times New Roman" w:hAnsi="Times New Roman" w:eastAsia="仿宋_GB2312" w:cs="Times New Roman"/>
          <w:b w:val="0"/>
          <w:bCs w:val="0"/>
          <w:color w:val="auto"/>
          <w:sz w:val="32"/>
          <w:szCs w:val="36"/>
          <w:lang w:val="en-US" w:eastAsia="zh-CN"/>
        </w:rPr>
        <w:t>一是昌吉州指标值为17514头，实际完成值为12507头，完成率71%，主要是呼图壁县、奇台县财政一直未支付；二是喀什地区指标值为10594头，实际完成值为8591头，完成率81%，主要是莎车县财政一直未支付；三是博州指标值为16950头，实际完成值为5424头，完成率32%，主要是由于生猪存栏量受市场价格等因素影响波动较大，下达的病死生猪处理任务头数（来年的估值）与实际病死生猪处理头数出入较大，致使资金实际使用率较低；四是吐鲁番市财政未完全支付。</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bCs/>
          <w:color w:val="auto"/>
          <w:sz w:val="32"/>
          <w:szCs w:val="36"/>
          <w:lang w:val="en-US" w:eastAsia="zh-CN"/>
        </w:rPr>
      </w:pPr>
      <w:r>
        <w:rPr>
          <w:rFonts w:hint="eastAsia" w:ascii="Times New Roman" w:hAnsi="Times New Roman" w:eastAsia="仿宋_GB2312" w:cs="Times New Roman"/>
          <w:b/>
          <w:bCs/>
          <w:color w:val="auto"/>
          <w:sz w:val="32"/>
          <w:szCs w:val="36"/>
          <w:lang w:val="en-US" w:eastAsia="zh-CN"/>
        </w:rPr>
        <w:t>2.</w:t>
      </w:r>
      <w:r>
        <w:rPr>
          <w:rFonts w:hint="default" w:ascii="Times New Roman" w:hAnsi="Times New Roman" w:eastAsia="仿宋_GB2312" w:cs="Times New Roman"/>
          <w:b/>
          <w:bCs/>
          <w:color w:val="auto"/>
          <w:sz w:val="32"/>
          <w:szCs w:val="36"/>
          <w:lang w:val="en-US" w:eastAsia="zh-CN"/>
        </w:rPr>
        <w:t>中央农业防灾减灾和水利救灾资金预算（防灾救灾第十一批）9620万元偏离的绩效目标：</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2023年12月15日《财政部关于下达2023年农业防灾减灾和水利救灾资金预算</w:t>
      </w:r>
      <w:r>
        <w:rPr>
          <w:rFonts w:hint="eastAsia" w:ascii="Times New Roman" w:hAnsi="Times New Roman" w:eastAsia="仿宋_GB2312" w:cs="Times New Roman"/>
          <w:b w:val="0"/>
          <w:bCs w:val="0"/>
          <w:color w:val="auto"/>
          <w:sz w:val="32"/>
          <w:szCs w:val="36"/>
          <w:lang w:val="en-US" w:eastAsia="zh-CN"/>
        </w:rPr>
        <w:t>（</w:t>
      </w:r>
      <w:r>
        <w:rPr>
          <w:rFonts w:hint="default" w:ascii="Times New Roman" w:hAnsi="Times New Roman" w:eastAsia="仿宋_GB2312" w:cs="Times New Roman"/>
          <w:b w:val="0"/>
          <w:bCs w:val="0"/>
          <w:color w:val="auto"/>
          <w:sz w:val="32"/>
          <w:szCs w:val="36"/>
          <w:lang w:val="en-US" w:eastAsia="zh-CN"/>
        </w:rPr>
        <w:t>防灾救灾第十一批</w:t>
      </w:r>
      <w:r>
        <w:rPr>
          <w:rFonts w:hint="eastAsia" w:ascii="Times New Roman" w:hAnsi="Times New Roman" w:eastAsia="仿宋_GB2312" w:cs="Times New Roman"/>
          <w:b w:val="0"/>
          <w:bCs w:val="0"/>
          <w:color w:val="auto"/>
          <w:sz w:val="32"/>
          <w:szCs w:val="36"/>
          <w:lang w:val="en-US" w:eastAsia="zh-CN"/>
        </w:rPr>
        <w:t>）</w:t>
      </w:r>
      <w:r>
        <w:rPr>
          <w:rFonts w:hint="default" w:ascii="Times New Roman" w:hAnsi="Times New Roman" w:eastAsia="仿宋_GB2312" w:cs="Times New Roman"/>
          <w:b w:val="0"/>
          <w:bCs w:val="0"/>
          <w:color w:val="auto"/>
          <w:sz w:val="32"/>
          <w:szCs w:val="36"/>
          <w:lang w:val="en-US" w:eastAsia="zh-CN"/>
        </w:rPr>
        <w:t>的通知》（财农〔2023〕99号）下达资金。2023年12月29日，农业防灾减灾和水利救灾资金（防灾救灾第十一批）到达各项目执行县，该项资金2023年未形成支出。</w:t>
      </w:r>
    </w:p>
    <w:p>
      <w:pPr>
        <w:keepNext w:val="0"/>
        <w:keepLines w:val="0"/>
        <w:pageBreakBefore w:val="0"/>
        <w:widowControl w:val="0"/>
        <w:numPr>
          <w:ilvl w:val="0"/>
          <w:numId w:val="0"/>
        </w:numPr>
        <w:pBdr>
          <w:top w:val="none" w:color="000000" w:sz="0" w:space="0"/>
          <w:left w:val="none" w:color="000000" w:sz="0" w:space="0"/>
          <w:bottom w:val="none" w:color="000000" w:sz="0" w:space="21"/>
          <w:right w:val="none" w:color="000000" w:sz="0" w:space="0"/>
        </w:pBdr>
        <w:kinsoku/>
        <w:wordWrap/>
        <w:overflowPunct w:val="0"/>
        <w:topLinePunct w:val="0"/>
        <w:autoSpaceDE/>
        <w:autoSpaceDN/>
        <w:bidi w:val="0"/>
        <w:adjustRightInd/>
        <w:snapToGrid/>
        <w:spacing w:line="560" w:lineRule="exact"/>
        <w:ind w:leftChars="200"/>
        <w:textAlignment w:val="auto"/>
        <w:rPr>
          <w:rFonts w:hint="default" w:ascii="Times New Roman" w:hAnsi="Times New Roman" w:eastAsia="楷体" w:cs="Times New Roman"/>
          <w:b/>
          <w:bCs/>
          <w:color w:val="auto"/>
          <w:lang w:val="en-US" w:eastAsia="zh-CN"/>
        </w:rPr>
      </w:pPr>
      <w:r>
        <w:rPr>
          <w:rFonts w:hint="default" w:ascii="Times New Roman" w:hAnsi="Times New Roman" w:eastAsia="楷体" w:cs="Times New Roman"/>
          <w:b/>
          <w:bCs/>
          <w:color w:val="auto"/>
          <w:sz w:val="32"/>
          <w:szCs w:val="32"/>
        </w:rPr>
        <w:t>（</w:t>
      </w:r>
      <w:r>
        <w:rPr>
          <w:rFonts w:hint="default" w:ascii="Times New Roman" w:hAnsi="Times New Roman" w:eastAsia="楷体" w:cs="Times New Roman"/>
          <w:b/>
          <w:bCs/>
          <w:color w:val="auto"/>
          <w:sz w:val="32"/>
          <w:szCs w:val="32"/>
          <w:lang w:val="en-US" w:eastAsia="zh-CN"/>
        </w:rPr>
        <w:t>二</w:t>
      </w:r>
      <w:r>
        <w:rPr>
          <w:rFonts w:hint="default" w:ascii="Times New Roman" w:hAnsi="Times New Roman" w:eastAsia="楷体" w:cs="Times New Roman"/>
          <w:b/>
          <w:bCs/>
          <w:color w:val="auto"/>
          <w:sz w:val="32"/>
          <w:szCs w:val="32"/>
        </w:rPr>
        <w:t>）</w:t>
      </w:r>
      <w:r>
        <w:rPr>
          <w:rFonts w:hint="default" w:ascii="Times New Roman" w:hAnsi="Times New Roman" w:eastAsia="楷体" w:cs="Times New Roman"/>
          <w:b/>
          <w:bCs/>
          <w:color w:val="auto"/>
          <w:sz w:val="32"/>
          <w:szCs w:val="32"/>
          <w:lang w:val="en-US" w:eastAsia="zh-CN"/>
        </w:rPr>
        <w:t>下一步改进措施</w:t>
      </w:r>
    </w:p>
    <w:p>
      <w:pPr>
        <w:pStyle w:val="10"/>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6"/>
          <w:highlight w:val="none"/>
          <w:lang w:val="en-US" w:eastAsia="zh-CN"/>
        </w:rPr>
      </w:pPr>
      <w:r>
        <w:rPr>
          <w:rFonts w:hint="default" w:ascii="Times New Roman" w:hAnsi="Times New Roman" w:eastAsia="仿宋_GB2312" w:cs="Times New Roman"/>
          <w:b/>
          <w:bCs/>
          <w:sz w:val="32"/>
          <w:szCs w:val="36"/>
          <w:highlight w:val="none"/>
          <w:lang w:val="en-US" w:eastAsia="zh-CN"/>
        </w:rPr>
        <w:t>1.项目实施过程中存在不足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eastAsia" w:cs="Times New Roman"/>
          <w:color w:val="000000"/>
          <w:sz w:val="32"/>
          <w:szCs w:val="32"/>
          <w:highlight w:val="none"/>
          <w:lang w:val="en-US" w:eastAsia="zh-CN"/>
        </w:rPr>
        <w:t>一是2023年12月15日财政部下达</w:t>
      </w:r>
      <w:r>
        <w:rPr>
          <w:rFonts w:hint="default" w:ascii="Times New Roman" w:hAnsi="Times New Roman" w:eastAsia="仿宋_GB2312" w:cs="Times New Roman"/>
          <w:color w:val="000000"/>
          <w:sz w:val="32"/>
          <w:szCs w:val="32"/>
          <w:highlight w:val="none"/>
          <w:lang w:val="en-US" w:eastAsia="zh-CN"/>
        </w:rPr>
        <w:t>农业防灾减灾和水利救灾资金（防灾救灾第十一批）</w:t>
      </w:r>
      <w:r>
        <w:rPr>
          <w:rFonts w:hint="eastAsia" w:cs="Times New Roman"/>
          <w:color w:val="000000"/>
          <w:sz w:val="32"/>
          <w:szCs w:val="32"/>
          <w:highlight w:val="none"/>
          <w:lang w:val="en-US" w:eastAsia="zh-CN"/>
        </w:rPr>
        <w:t>9620万元，</w:t>
      </w:r>
      <w:r>
        <w:rPr>
          <w:rFonts w:hint="default" w:ascii="Times New Roman" w:hAnsi="Times New Roman" w:eastAsia="仿宋_GB2312" w:cs="Times New Roman"/>
          <w:color w:val="000000"/>
          <w:sz w:val="32"/>
          <w:szCs w:val="32"/>
          <w:highlight w:val="none"/>
          <w:lang w:val="en-US" w:eastAsia="zh-CN"/>
        </w:rPr>
        <w:t>2023年12月29日，</w:t>
      </w:r>
      <w:r>
        <w:rPr>
          <w:rFonts w:hint="eastAsia" w:cs="Times New Roman"/>
          <w:color w:val="000000"/>
          <w:sz w:val="32"/>
          <w:szCs w:val="32"/>
          <w:highlight w:val="none"/>
          <w:lang w:val="en-US" w:eastAsia="zh-CN"/>
        </w:rPr>
        <w:t>我区将资金分解下达至</w:t>
      </w:r>
      <w:r>
        <w:rPr>
          <w:rFonts w:hint="default" w:ascii="Times New Roman" w:hAnsi="Times New Roman" w:eastAsia="仿宋_GB2312" w:cs="Times New Roman"/>
          <w:color w:val="000000"/>
          <w:sz w:val="32"/>
          <w:szCs w:val="32"/>
          <w:highlight w:val="none"/>
          <w:lang w:val="en-US" w:eastAsia="zh-CN"/>
        </w:rPr>
        <w:t>各项目执行县，</w:t>
      </w:r>
      <w:r>
        <w:rPr>
          <w:rFonts w:hint="eastAsia" w:cs="Times New Roman"/>
          <w:color w:val="000000"/>
          <w:sz w:val="32"/>
          <w:szCs w:val="32"/>
          <w:highlight w:val="none"/>
          <w:lang w:val="en-US" w:eastAsia="zh-CN"/>
        </w:rPr>
        <w:t>截止2023年底，各地仅开展项目前期工作，资金暂未执行</w:t>
      </w:r>
      <w:r>
        <w:rPr>
          <w:rFonts w:hint="default" w:ascii="Times New Roman" w:hAnsi="Times New Roman" w:eastAsia="仿宋_GB2312" w:cs="Times New Roman"/>
          <w:color w:val="000000"/>
          <w:sz w:val="32"/>
          <w:szCs w:val="32"/>
          <w:highlight w:val="none"/>
          <w:lang w:val="en-US" w:eastAsia="zh-CN"/>
        </w:rPr>
        <w:t>。</w:t>
      </w:r>
      <w:r>
        <w:rPr>
          <w:rFonts w:hint="eastAsia" w:cs="Times New Roman"/>
          <w:color w:val="000000"/>
          <w:sz w:val="32"/>
          <w:szCs w:val="32"/>
          <w:highlight w:val="none"/>
          <w:lang w:val="en-US" w:eastAsia="zh-CN"/>
        </w:rPr>
        <w:t>二是</w:t>
      </w:r>
      <w:r>
        <w:rPr>
          <w:rFonts w:hint="default" w:ascii="Times New Roman" w:hAnsi="Times New Roman" w:eastAsia="仿宋_GB2312" w:cs="Times New Roman"/>
          <w:color w:val="000000"/>
          <w:sz w:val="32"/>
          <w:szCs w:val="32"/>
          <w:highlight w:val="none"/>
          <w:lang w:val="en-US" w:eastAsia="zh-CN"/>
        </w:rPr>
        <w:t>农业防灾减灾和水利救灾资金（</w:t>
      </w:r>
      <w:r>
        <w:rPr>
          <w:rFonts w:hint="eastAsia" w:ascii="Times New Roman" w:hAnsi="Times New Roman" w:cs="Times New Roman"/>
          <w:color w:val="000000"/>
          <w:sz w:val="32"/>
          <w:szCs w:val="32"/>
          <w:highlight w:val="none"/>
          <w:lang w:val="en-US" w:eastAsia="zh-CN"/>
        </w:rPr>
        <w:t>动物防疫补助</w:t>
      </w:r>
      <w:r>
        <w:rPr>
          <w:rFonts w:hint="default" w:ascii="Times New Roman" w:hAnsi="Times New Roman" w:eastAsia="仿宋_GB2312" w:cs="Times New Roman"/>
          <w:color w:val="000000"/>
          <w:sz w:val="32"/>
          <w:szCs w:val="32"/>
          <w:highlight w:val="none"/>
          <w:lang w:val="en-US" w:eastAsia="zh-CN"/>
        </w:rPr>
        <w:t>）</w:t>
      </w:r>
      <w:r>
        <w:rPr>
          <w:rFonts w:hint="eastAsia" w:ascii="Times New Roman" w:hAnsi="Times New Roman" w:cs="Times New Roman"/>
          <w:color w:val="000000"/>
          <w:sz w:val="32"/>
          <w:szCs w:val="32"/>
          <w:highlight w:val="none"/>
          <w:lang w:val="en-US" w:eastAsia="zh-CN"/>
        </w:rPr>
        <w:t>资金</w:t>
      </w:r>
      <w:r>
        <w:rPr>
          <w:rFonts w:hint="default" w:ascii="Times New Roman" w:hAnsi="Times New Roman" w:eastAsia="仿宋_GB2312" w:cs="Times New Roman"/>
          <w:b w:val="0"/>
          <w:bCs w:val="0"/>
          <w:color w:val="auto"/>
          <w:sz w:val="32"/>
          <w:szCs w:val="36"/>
          <w:lang w:val="en-US" w:eastAsia="zh-CN"/>
        </w:rPr>
        <w:t>昌吉州呼图壁县、奇台县</w:t>
      </w:r>
      <w:r>
        <w:rPr>
          <w:rFonts w:hint="eastAsia" w:ascii="Times New Roman" w:hAnsi="Times New Roman" w:cs="Times New Roman"/>
          <w:b w:val="0"/>
          <w:bCs w:val="0"/>
          <w:color w:val="auto"/>
          <w:sz w:val="32"/>
          <w:szCs w:val="36"/>
          <w:lang w:val="en-US" w:eastAsia="zh-CN"/>
        </w:rPr>
        <w:t>、</w:t>
      </w:r>
      <w:r>
        <w:rPr>
          <w:rFonts w:hint="default" w:ascii="Times New Roman" w:hAnsi="Times New Roman" w:eastAsia="仿宋_GB2312" w:cs="Times New Roman"/>
          <w:b w:val="0"/>
          <w:bCs w:val="0"/>
          <w:color w:val="auto"/>
          <w:sz w:val="32"/>
          <w:szCs w:val="36"/>
          <w:lang w:val="en-US" w:eastAsia="zh-CN"/>
        </w:rPr>
        <w:t>喀什地区莎车县</w:t>
      </w:r>
      <w:r>
        <w:rPr>
          <w:rFonts w:hint="eastAsia" w:ascii="Times New Roman" w:hAnsi="Times New Roman" w:cs="Times New Roman"/>
          <w:b w:val="0"/>
          <w:bCs w:val="0"/>
          <w:color w:val="auto"/>
          <w:sz w:val="32"/>
          <w:szCs w:val="36"/>
          <w:lang w:val="en-US" w:eastAsia="zh-CN"/>
        </w:rPr>
        <w:t>、</w:t>
      </w:r>
      <w:r>
        <w:rPr>
          <w:rFonts w:hint="default" w:ascii="Times New Roman" w:hAnsi="Times New Roman" w:eastAsia="仿宋_GB2312" w:cs="Times New Roman"/>
          <w:b w:val="0"/>
          <w:bCs w:val="0"/>
          <w:color w:val="auto"/>
          <w:sz w:val="32"/>
          <w:szCs w:val="36"/>
          <w:lang w:val="en-US" w:eastAsia="zh-CN"/>
        </w:rPr>
        <w:t>吐鲁番市</w:t>
      </w:r>
      <w:r>
        <w:rPr>
          <w:rFonts w:hint="eastAsia" w:ascii="Times New Roman" w:hAnsi="Times New Roman" w:cs="Times New Roman"/>
          <w:b w:val="0"/>
          <w:bCs w:val="0"/>
          <w:color w:val="auto"/>
          <w:sz w:val="32"/>
          <w:szCs w:val="36"/>
          <w:lang w:val="en-US" w:eastAsia="zh-CN"/>
        </w:rPr>
        <w:t>等地资金执行进度较低、</w:t>
      </w:r>
      <w:r>
        <w:rPr>
          <w:rFonts w:hint="default" w:ascii="Times New Roman" w:hAnsi="Times New Roman" w:eastAsia="仿宋_GB2312" w:cs="Times New Roman"/>
          <w:b w:val="0"/>
          <w:bCs w:val="0"/>
          <w:color w:val="auto"/>
          <w:sz w:val="32"/>
          <w:szCs w:val="36"/>
          <w:lang w:val="en-US" w:eastAsia="zh-CN"/>
        </w:rPr>
        <w:t>财政未完全支付。</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2.下一步工作实施改进措施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一是督促指导</w:t>
      </w:r>
      <w:r>
        <w:rPr>
          <w:rFonts w:hint="eastAsia" w:ascii="Times New Roman" w:hAnsi="Times New Roman" w:cs="Times New Roman"/>
          <w:color w:val="000000"/>
          <w:sz w:val="32"/>
          <w:szCs w:val="32"/>
          <w:highlight w:val="none"/>
          <w:lang w:val="en-US" w:eastAsia="zh-CN"/>
        </w:rPr>
        <w:t>各</w:t>
      </w:r>
      <w:r>
        <w:rPr>
          <w:rFonts w:hint="default" w:ascii="Times New Roman" w:hAnsi="Times New Roman" w:eastAsia="仿宋_GB2312" w:cs="Times New Roman"/>
          <w:color w:val="000000"/>
          <w:sz w:val="32"/>
          <w:szCs w:val="32"/>
          <w:highlight w:val="none"/>
          <w:lang w:val="en-US" w:eastAsia="zh-CN"/>
        </w:rPr>
        <w:t>地州、县市按照项目资金使用方案，加快资金</w:t>
      </w:r>
      <w:r>
        <w:rPr>
          <w:rFonts w:hint="eastAsia" w:ascii="Times New Roman" w:hAnsi="Times New Roman" w:cs="Times New Roman"/>
          <w:color w:val="000000"/>
          <w:sz w:val="32"/>
          <w:szCs w:val="32"/>
          <w:highlight w:val="none"/>
          <w:lang w:val="en-US" w:eastAsia="zh-CN"/>
        </w:rPr>
        <w:t>兑付</w:t>
      </w:r>
      <w:r>
        <w:rPr>
          <w:rFonts w:hint="default" w:ascii="Times New Roman" w:hAnsi="Times New Roman" w:eastAsia="仿宋_GB2312" w:cs="Times New Roman"/>
          <w:color w:val="000000"/>
          <w:sz w:val="32"/>
          <w:szCs w:val="32"/>
          <w:highlight w:val="none"/>
          <w:lang w:val="en-US" w:eastAsia="zh-CN"/>
        </w:rPr>
        <w:t>，抓紧收集农牧民、养殖场户储备、调运饲草料凭证，指导受灾户（养殖场）恢复生产采购畜禽，开展防灾消毒药品、兽药等采购流程，尽快向财政申请项目资金支付；二是加强</w:t>
      </w:r>
      <w:r>
        <w:rPr>
          <w:rFonts w:hint="eastAsia" w:ascii="Times New Roman" w:hAnsi="Times New Roman" w:eastAsia="仿宋_GB2312" w:cs="Times New Roman"/>
          <w:color w:val="000000"/>
          <w:sz w:val="32"/>
          <w:szCs w:val="32"/>
          <w:highlight w:val="none"/>
          <w:lang w:val="en-US" w:eastAsia="zh-CN"/>
        </w:rPr>
        <w:t>调度</w:t>
      </w:r>
      <w:r>
        <w:rPr>
          <w:rFonts w:hint="default" w:ascii="Times New Roman" w:hAnsi="Times New Roman" w:eastAsia="仿宋_GB2312" w:cs="Times New Roman"/>
          <w:color w:val="000000"/>
          <w:sz w:val="32"/>
          <w:szCs w:val="32"/>
          <w:highlight w:val="none"/>
          <w:lang w:val="en-US" w:eastAsia="zh-CN"/>
        </w:rPr>
        <w:t>，指导项目所在区县加强项目绩效管理，定期调度项目资金及绩效目标完成情况的进度，督促执行缓慢的地州、区县按照上报绩效目标值开展相关工作，跟踪落实情况；</w:t>
      </w:r>
      <w:r>
        <w:rPr>
          <w:rFonts w:hint="eastAsia" w:ascii="Times New Roman" w:hAnsi="Times New Roman" w:eastAsia="仿宋_GB2312" w:cs="Times New Roman"/>
          <w:color w:val="000000"/>
          <w:sz w:val="32"/>
          <w:szCs w:val="32"/>
          <w:highlight w:val="none"/>
          <w:lang w:val="en-US" w:eastAsia="zh-CN"/>
        </w:rPr>
        <w:t>三</w:t>
      </w:r>
      <w:r>
        <w:rPr>
          <w:rFonts w:hint="default" w:ascii="Times New Roman" w:hAnsi="Times New Roman" w:eastAsia="仿宋_GB2312" w:cs="Times New Roman"/>
          <w:color w:val="000000"/>
          <w:sz w:val="32"/>
          <w:szCs w:val="32"/>
          <w:highlight w:val="none"/>
          <w:lang w:val="en-US" w:eastAsia="zh-CN"/>
        </w:rPr>
        <w:t>是进一步加强灾情收集，做好易灾区饲草料储备、灾后畜牧业生产恢复工作，指导农牧民把握时节，加大饲草料储备，提高秸秆利用率，对存在安全隐患的棚圈、牧道，提前开展防灾工作。</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6"/>
          <w:lang w:val="en-US" w:eastAsia="zh-CN"/>
        </w:rPr>
      </w:pPr>
      <w:r>
        <w:rPr>
          <w:rFonts w:hint="default" w:ascii="Times New Roman" w:hAnsi="Times New Roman" w:eastAsia="黑体" w:cs="Times New Roman"/>
          <w:b w:val="0"/>
          <w:bCs w:val="0"/>
          <w:color w:val="auto"/>
          <w:sz w:val="32"/>
          <w:szCs w:val="36"/>
          <w:lang w:val="en-US" w:eastAsia="zh-CN"/>
        </w:rPr>
        <w:t>四、绩效自评结果拟应用和公开情况</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楷体" w:cs="Times New Roman"/>
          <w:b w:val="0"/>
          <w:bCs w:val="0"/>
          <w:color w:val="auto"/>
          <w:sz w:val="32"/>
          <w:szCs w:val="32"/>
        </w:rPr>
        <w:t>（一）</w:t>
      </w:r>
      <w:r>
        <w:rPr>
          <w:rFonts w:hint="default" w:ascii="Times New Roman" w:hAnsi="Times New Roman" w:eastAsia="仿宋_GB2312" w:cs="Times New Roman"/>
          <w:b w:val="0"/>
          <w:bCs w:val="0"/>
          <w:color w:val="auto"/>
          <w:sz w:val="32"/>
          <w:szCs w:val="36"/>
          <w:lang w:val="en-US" w:eastAsia="zh-CN"/>
        </w:rPr>
        <w:t>按照财政部《项目支出绩效评价管理办法》（财预〔2020〕10号）规定，单位自评标准是：预算执行10分，产出指标50分，效益指标30分，服务对象满意度指标10分。</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1.经自评，2023年度中央农业防灾减灾和水利救灾资金预算（防灾救灾第一批）项目综合评价自评得分为99.99分，其中：预算执行9.99分、产出指标50分、效益指标30分、服务对象满意度指标10分，自评结果为“优”。</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2.经自评，2023年度中央农业防灾减灾和水利救灾资金预算（防灾减灾第四批）项目综合评价自评得分为99.7分，其中：预算执行9.7分、产出指标50分、效益指标30分、服务对象满意度指标10分，自评结果为“优”。</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3.经自评，2023年度中央农业防灾减灾和水利救灾资金预算（防灾减灾第十一批）项目综合评价自评得分为0分，其中：预算执行0分、产出指标0分、效益指标0分、服务对象满意度指标0分，自评结果为“差”。</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eastAsia" w:ascii="Times New Roman" w:hAnsi="Times New Roman" w:eastAsia="仿宋_GB2312" w:cs="Times New Roman"/>
          <w:b w:val="0"/>
          <w:bCs w:val="0"/>
          <w:color w:val="auto"/>
          <w:sz w:val="32"/>
          <w:szCs w:val="36"/>
          <w:lang w:val="en-US" w:eastAsia="zh-CN"/>
        </w:rPr>
        <w:t>4.</w:t>
      </w:r>
      <w:r>
        <w:rPr>
          <w:rFonts w:hint="default" w:ascii="Times New Roman" w:hAnsi="Times New Roman" w:eastAsia="仿宋_GB2312" w:cs="Times New Roman"/>
          <w:b w:val="0"/>
          <w:bCs w:val="0"/>
          <w:color w:val="auto"/>
          <w:sz w:val="32"/>
          <w:szCs w:val="36"/>
          <w:lang w:val="en-US" w:eastAsia="zh-CN"/>
        </w:rPr>
        <w:t>经自评，2023年度中央农业防灾减灾和水利救灾资金预算（</w:t>
      </w:r>
      <w:r>
        <w:rPr>
          <w:rFonts w:hint="eastAsia" w:ascii="Times New Roman" w:hAnsi="Times New Roman" w:eastAsia="仿宋_GB2312" w:cs="Times New Roman"/>
          <w:b w:val="0"/>
          <w:bCs w:val="0"/>
          <w:color w:val="auto"/>
          <w:sz w:val="32"/>
          <w:szCs w:val="36"/>
          <w:lang w:val="en-US" w:eastAsia="zh-CN"/>
        </w:rPr>
        <w:t>动物防疫补助</w:t>
      </w:r>
      <w:r>
        <w:rPr>
          <w:rFonts w:hint="default" w:ascii="Times New Roman" w:hAnsi="Times New Roman" w:eastAsia="仿宋_GB2312" w:cs="Times New Roman"/>
          <w:b w:val="0"/>
          <w:bCs w:val="0"/>
          <w:color w:val="auto"/>
          <w:sz w:val="32"/>
          <w:szCs w:val="36"/>
          <w:lang w:val="en-US" w:eastAsia="zh-CN"/>
        </w:rPr>
        <w:t>）项目综合评价自评得分为</w:t>
      </w:r>
      <w:r>
        <w:rPr>
          <w:rFonts w:hint="eastAsia" w:ascii="Times New Roman" w:hAnsi="Times New Roman" w:eastAsia="仿宋_GB2312" w:cs="Times New Roman"/>
          <w:b w:val="0"/>
          <w:bCs w:val="0"/>
          <w:color w:val="auto"/>
          <w:sz w:val="32"/>
          <w:szCs w:val="36"/>
          <w:lang w:val="en-US" w:eastAsia="zh-CN"/>
        </w:rPr>
        <w:t>99.18</w:t>
      </w:r>
      <w:r>
        <w:rPr>
          <w:rFonts w:hint="default" w:ascii="Times New Roman" w:hAnsi="Times New Roman" w:eastAsia="仿宋_GB2312" w:cs="Times New Roman"/>
          <w:b w:val="0"/>
          <w:bCs w:val="0"/>
          <w:color w:val="auto"/>
          <w:sz w:val="32"/>
          <w:szCs w:val="36"/>
          <w:lang w:val="en-US" w:eastAsia="zh-CN"/>
        </w:rPr>
        <w:t>分，其中：预算执行</w:t>
      </w:r>
      <w:r>
        <w:rPr>
          <w:rFonts w:hint="eastAsia" w:ascii="Times New Roman" w:hAnsi="Times New Roman" w:eastAsia="仿宋_GB2312" w:cs="Times New Roman"/>
          <w:b w:val="0"/>
          <w:bCs w:val="0"/>
          <w:color w:val="auto"/>
          <w:sz w:val="32"/>
          <w:szCs w:val="36"/>
          <w:lang w:val="en-US" w:eastAsia="zh-CN"/>
        </w:rPr>
        <w:t>9.81</w:t>
      </w:r>
      <w:r>
        <w:rPr>
          <w:rFonts w:hint="default" w:ascii="Times New Roman" w:hAnsi="Times New Roman" w:eastAsia="仿宋_GB2312" w:cs="Times New Roman"/>
          <w:b w:val="0"/>
          <w:bCs w:val="0"/>
          <w:color w:val="auto"/>
          <w:sz w:val="32"/>
          <w:szCs w:val="36"/>
          <w:lang w:val="en-US" w:eastAsia="zh-CN"/>
        </w:rPr>
        <w:t>分、产出指标</w:t>
      </w:r>
      <w:r>
        <w:rPr>
          <w:rFonts w:hint="eastAsia" w:ascii="Times New Roman" w:hAnsi="Times New Roman" w:eastAsia="仿宋_GB2312" w:cs="Times New Roman"/>
          <w:b w:val="0"/>
          <w:bCs w:val="0"/>
          <w:color w:val="auto"/>
          <w:sz w:val="32"/>
          <w:szCs w:val="36"/>
          <w:lang w:val="en-US" w:eastAsia="zh-CN"/>
        </w:rPr>
        <w:t>49.37</w:t>
      </w:r>
      <w:r>
        <w:rPr>
          <w:rFonts w:hint="default" w:ascii="Times New Roman" w:hAnsi="Times New Roman" w:eastAsia="仿宋_GB2312" w:cs="Times New Roman"/>
          <w:b w:val="0"/>
          <w:bCs w:val="0"/>
          <w:color w:val="auto"/>
          <w:sz w:val="32"/>
          <w:szCs w:val="36"/>
          <w:lang w:val="en-US" w:eastAsia="zh-CN"/>
        </w:rPr>
        <w:t>分、效益指标</w:t>
      </w:r>
      <w:r>
        <w:rPr>
          <w:rFonts w:hint="eastAsia" w:ascii="Times New Roman" w:hAnsi="Times New Roman" w:eastAsia="仿宋_GB2312" w:cs="Times New Roman"/>
          <w:b w:val="0"/>
          <w:bCs w:val="0"/>
          <w:color w:val="auto"/>
          <w:sz w:val="32"/>
          <w:szCs w:val="36"/>
          <w:lang w:val="en-US" w:eastAsia="zh-CN"/>
        </w:rPr>
        <w:t>30</w:t>
      </w:r>
      <w:r>
        <w:rPr>
          <w:rFonts w:hint="default" w:ascii="Times New Roman" w:hAnsi="Times New Roman" w:eastAsia="仿宋_GB2312" w:cs="Times New Roman"/>
          <w:b w:val="0"/>
          <w:bCs w:val="0"/>
          <w:color w:val="auto"/>
          <w:sz w:val="32"/>
          <w:szCs w:val="36"/>
          <w:lang w:val="en-US" w:eastAsia="zh-CN"/>
        </w:rPr>
        <w:t>分、服务对象满意度指标</w:t>
      </w:r>
      <w:r>
        <w:rPr>
          <w:rFonts w:hint="eastAsia" w:ascii="Times New Roman" w:hAnsi="Times New Roman" w:eastAsia="仿宋_GB2312" w:cs="Times New Roman"/>
          <w:b w:val="0"/>
          <w:bCs w:val="0"/>
          <w:color w:val="auto"/>
          <w:sz w:val="32"/>
          <w:szCs w:val="36"/>
          <w:lang w:val="en-US" w:eastAsia="zh-CN"/>
        </w:rPr>
        <w:t>10</w:t>
      </w:r>
      <w:r>
        <w:rPr>
          <w:rFonts w:hint="default" w:ascii="Times New Roman" w:hAnsi="Times New Roman" w:eastAsia="仿宋_GB2312" w:cs="Times New Roman"/>
          <w:b w:val="0"/>
          <w:bCs w:val="0"/>
          <w:color w:val="auto"/>
          <w:sz w:val="32"/>
          <w:szCs w:val="36"/>
          <w:lang w:val="en-US" w:eastAsia="zh-CN"/>
        </w:rPr>
        <w:t>分，自评结果为“</w:t>
      </w:r>
      <w:r>
        <w:rPr>
          <w:rFonts w:hint="eastAsia" w:ascii="Times New Roman" w:hAnsi="Times New Roman" w:eastAsia="仿宋_GB2312" w:cs="Times New Roman"/>
          <w:b w:val="0"/>
          <w:bCs w:val="0"/>
          <w:color w:val="auto"/>
          <w:sz w:val="32"/>
          <w:szCs w:val="36"/>
          <w:lang w:val="en-US" w:eastAsia="zh-CN"/>
        </w:rPr>
        <w:t>优</w:t>
      </w:r>
      <w:r>
        <w:rPr>
          <w:rFonts w:hint="default" w:ascii="Times New Roman" w:hAnsi="Times New Roman" w:eastAsia="仿宋_GB2312" w:cs="Times New Roman"/>
          <w:b w:val="0"/>
          <w:bCs w:val="0"/>
          <w:color w:val="auto"/>
          <w:sz w:val="32"/>
          <w:szCs w:val="36"/>
          <w:lang w:val="en-US"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楷体" w:cs="Times New Roman"/>
          <w:b w:val="0"/>
          <w:bCs w:val="0"/>
          <w:color w:val="auto"/>
          <w:sz w:val="32"/>
          <w:szCs w:val="32"/>
          <w:lang w:val="en-US" w:eastAsia="zh-CN"/>
        </w:rPr>
        <w:t>（二）</w:t>
      </w:r>
      <w:r>
        <w:rPr>
          <w:rFonts w:hint="default" w:ascii="Times New Roman" w:hAnsi="Times New Roman" w:eastAsia="仿宋_GB2312" w:cs="Times New Roman"/>
          <w:b w:val="0"/>
          <w:bCs w:val="0"/>
          <w:color w:val="auto"/>
          <w:sz w:val="32"/>
          <w:szCs w:val="36"/>
          <w:lang w:val="en-US" w:eastAsia="zh-CN"/>
        </w:rPr>
        <w:t>自治区农业农村厅</w:t>
      </w:r>
      <w:r>
        <w:rPr>
          <w:rFonts w:hint="eastAsia" w:ascii="Times New Roman" w:hAnsi="Times New Roman" w:eastAsia="仿宋_GB2312" w:cs="Times New Roman"/>
          <w:b w:val="0"/>
          <w:bCs w:val="0"/>
          <w:color w:val="auto"/>
          <w:sz w:val="32"/>
          <w:szCs w:val="36"/>
          <w:lang w:val="en-US" w:eastAsia="zh-CN"/>
        </w:rPr>
        <w:t>、畜牧兽医局</w:t>
      </w:r>
      <w:r>
        <w:rPr>
          <w:rFonts w:hint="default" w:ascii="Times New Roman" w:hAnsi="Times New Roman" w:eastAsia="仿宋_GB2312" w:cs="Times New Roman"/>
          <w:b w:val="0"/>
          <w:bCs w:val="0"/>
          <w:color w:val="auto"/>
          <w:sz w:val="32"/>
          <w:szCs w:val="36"/>
          <w:lang w:val="en-US" w:eastAsia="zh-CN"/>
        </w:rPr>
        <w:t>高度重视绩效自评结果的应用工作，积极探索和建立与预算管理相结合的有效机制，着力</w:t>
      </w:r>
      <w:r>
        <w:rPr>
          <w:rFonts w:hint="eastAsia" w:ascii="Times New Roman" w:hAnsi="Times New Roman" w:eastAsia="仿宋_GB2312" w:cs="Times New Roman"/>
          <w:b w:val="0"/>
          <w:bCs w:val="0"/>
          <w:color w:val="auto"/>
          <w:sz w:val="32"/>
          <w:szCs w:val="36"/>
          <w:lang w:val="en-US" w:eastAsia="zh-CN"/>
        </w:rPr>
        <w:t>增强</w:t>
      </w:r>
      <w:r>
        <w:rPr>
          <w:rFonts w:hint="default" w:ascii="Times New Roman" w:hAnsi="Times New Roman" w:eastAsia="仿宋_GB2312" w:cs="Times New Roman"/>
          <w:b w:val="0"/>
          <w:bCs w:val="0"/>
          <w:color w:val="auto"/>
          <w:sz w:val="32"/>
          <w:szCs w:val="36"/>
          <w:lang w:val="en-US" w:eastAsia="zh-CN"/>
        </w:rPr>
        <w:t>绩效意识和财政资金的使用效益。农业防灾减灾转移支付资金的绩效自评结果、执行情况等将作为下一</w:t>
      </w:r>
      <w:r>
        <w:rPr>
          <w:rFonts w:hint="eastAsia" w:ascii="Times New Roman" w:hAnsi="Times New Roman" w:eastAsia="仿宋_GB2312" w:cs="Times New Roman"/>
          <w:b w:val="0"/>
          <w:bCs w:val="0"/>
          <w:color w:val="auto"/>
          <w:sz w:val="32"/>
          <w:szCs w:val="36"/>
          <w:lang w:val="en-US" w:eastAsia="zh-CN"/>
        </w:rPr>
        <w:t>年度</w:t>
      </w:r>
      <w:r>
        <w:rPr>
          <w:rFonts w:hint="default" w:ascii="Times New Roman" w:hAnsi="Times New Roman" w:eastAsia="仿宋_GB2312" w:cs="Times New Roman"/>
          <w:b w:val="0"/>
          <w:bCs w:val="0"/>
          <w:color w:val="auto"/>
          <w:sz w:val="32"/>
          <w:szCs w:val="36"/>
          <w:lang w:val="en-US" w:eastAsia="zh-CN"/>
        </w:rPr>
        <w:t>安排项目资金的依据，对于绩效自评差的、执行进度慢的地</w:t>
      </w:r>
      <w:r>
        <w:rPr>
          <w:rFonts w:hint="eastAsia" w:ascii="Times New Roman" w:hAnsi="Times New Roman" w:eastAsia="仿宋_GB2312" w:cs="Times New Roman"/>
          <w:b w:val="0"/>
          <w:bCs w:val="0"/>
          <w:color w:val="auto"/>
          <w:sz w:val="32"/>
          <w:szCs w:val="36"/>
          <w:lang w:val="en-US" w:eastAsia="zh-CN"/>
        </w:rPr>
        <w:t>（</w:t>
      </w:r>
      <w:r>
        <w:rPr>
          <w:rFonts w:hint="default" w:ascii="Times New Roman" w:hAnsi="Times New Roman" w:eastAsia="仿宋_GB2312" w:cs="Times New Roman"/>
          <w:b w:val="0"/>
          <w:bCs w:val="0"/>
          <w:color w:val="auto"/>
          <w:sz w:val="32"/>
          <w:szCs w:val="36"/>
          <w:lang w:val="en-US" w:eastAsia="zh-CN"/>
        </w:rPr>
        <w:t>州</w:t>
      </w:r>
      <w:r>
        <w:rPr>
          <w:rFonts w:hint="eastAsia" w:ascii="Times New Roman" w:hAnsi="Times New Roman" w:eastAsia="仿宋_GB2312" w:cs="Times New Roman"/>
          <w:b w:val="0"/>
          <w:bCs w:val="0"/>
          <w:color w:val="auto"/>
          <w:sz w:val="32"/>
          <w:szCs w:val="36"/>
          <w:lang w:val="en-US" w:eastAsia="zh-CN"/>
        </w:rPr>
        <w:t>、市）</w:t>
      </w:r>
      <w:r>
        <w:rPr>
          <w:rFonts w:hint="default" w:ascii="Times New Roman" w:hAnsi="Times New Roman" w:eastAsia="仿宋_GB2312" w:cs="Times New Roman"/>
          <w:b w:val="0"/>
          <w:bCs w:val="0"/>
          <w:color w:val="auto"/>
          <w:sz w:val="32"/>
          <w:szCs w:val="36"/>
          <w:lang w:val="en-US" w:eastAsia="zh-CN"/>
        </w:rPr>
        <w:t>，将在分配下一年度资金时酌情扣减。</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highlight w:val="none"/>
          <w:lang w:val="en-US" w:eastAsia="zh-CN"/>
        </w:rPr>
      </w:pPr>
      <w:r>
        <w:rPr>
          <w:rFonts w:hint="default" w:ascii="Times New Roman" w:hAnsi="Times New Roman" w:eastAsia="楷体" w:cs="Times New Roman"/>
          <w:b w:val="0"/>
          <w:bCs w:val="0"/>
          <w:color w:val="auto"/>
          <w:sz w:val="32"/>
          <w:szCs w:val="32"/>
          <w:lang w:val="en-US" w:eastAsia="zh-CN"/>
        </w:rPr>
        <w:t>（三）</w:t>
      </w:r>
      <w:r>
        <w:rPr>
          <w:rFonts w:hint="default" w:ascii="Times New Roman" w:hAnsi="Times New Roman" w:eastAsia="仿宋_GB2312" w:cs="Times New Roman"/>
          <w:b w:val="0"/>
          <w:bCs w:val="0"/>
          <w:color w:val="auto"/>
          <w:sz w:val="32"/>
          <w:szCs w:val="36"/>
          <w:highlight w:val="none"/>
          <w:lang w:val="en-US" w:eastAsia="zh-CN"/>
        </w:rPr>
        <w:t>评价结果将在自治区农业农村厅、自治区</w:t>
      </w:r>
      <w:r>
        <w:rPr>
          <w:rFonts w:hint="eastAsia" w:ascii="Times New Roman" w:hAnsi="Times New Roman" w:eastAsia="仿宋_GB2312" w:cs="Times New Roman"/>
          <w:b w:val="0"/>
          <w:bCs w:val="0"/>
          <w:color w:val="auto"/>
          <w:sz w:val="32"/>
          <w:szCs w:val="36"/>
          <w:lang w:val="en-US" w:eastAsia="zh-CN"/>
        </w:rPr>
        <w:t>畜牧兽医局、</w:t>
      </w:r>
      <w:r>
        <w:rPr>
          <w:rFonts w:hint="default" w:ascii="Times New Roman" w:hAnsi="Times New Roman" w:eastAsia="仿宋_GB2312" w:cs="Times New Roman"/>
          <w:b w:val="0"/>
          <w:bCs w:val="0"/>
          <w:color w:val="auto"/>
          <w:sz w:val="32"/>
          <w:szCs w:val="36"/>
          <w:highlight w:val="none"/>
          <w:lang w:val="en-US" w:eastAsia="zh-CN"/>
        </w:rPr>
        <w:t>自治区财政厅门户网站进行公示公开，广泛接受社会监督。</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6"/>
          <w:lang w:val="en-US" w:eastAsia="zh-CN"/>
        </w:rPr>
      </w:pPr>
      <w:r>
        <w:rPr>
          <w:rFonts w:hint="default" w:ascii="Times New Roman" w:hAnsi="Times New Roman" w:eastAsia="黑体" w:cs="Times New Roman"/>
          <w:b w:val="0"/>
          <w:bCs w:val="0"/>
          <w:color w:val="auto"/>
          <w:sz w:val="32"/>
          <w:szCs w:val="36"/>
          <w:lang w:val="en-US" w:eastAsia="zh-CN"/>
        </w:rPr>
        <w:t>五、其他需要说明的问题</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中央巡视、各级审计和财政监督中未发现问题。</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6"/>
          <w:lang w:val="en-US" w:eastAsia="zh-CN"/>
        </w:rPr>
      </w:pPr>
      <w:r>
        <w:rPr>
          <w:rFonts w:hint="default" w:ascii="Times New Roman" w:hAnsi="Times New Roman" w:eastAsia="黑体" w:cs="Times New Roman"/>
          <w:b w:val="0"/>
          <w:bCs w:val="0"/>
          <w:color w:val="auto"/>
          <w:sz w:val="32"/>
          <w:szCs w:val="36"/>
          <w:lang w:val="en-US" w:eastAsia="zh-CN"/>
        </w:rPr>
        <w:t>附件</w:t>
      </w:r>
    </w:p>
    <w:p>
      <w:pPr>
        <w:spacing w:line="600" w:lineRule="exact"/>
        <w:ind w:firstLine="640" w:firstLineChars="200"/>
        <w:rPr>
          <w:rFonts w:hint="default" w:ascii="Times New Roman" w:hAnsi="Times New Roman" w:eastAsia="仿宋_GB2312" w:cs="Times New Roman"/>
          <w:kern w:val="0"/>
          <w:sz w:val="32"/>
          <w:szCs w:val="32"/>
          <w:lang w:bidi="ar"/>
        </w:rPr>
      </w:pPr>
      <w:r>
        <w:rPr>
          <w:rFonts w:hint="default" w:ascii="Times New Roman" w:hAnsi="Times New Roman" w:eastAsia="仿宋_GB2312" w:cs="Times New Roman"/>
          <w:sz w:val="32"/>
          <w:szCs w:val="32"/>
        </w:rPr>
        <w:t>附件1：</w:t>
      </w:r>
      <w:r>
        <w:rPr>
          <w:rFonts w:hint="default" w:ascii="Times New Roman" w:hAnsi="Times New Roman" w:eastAsia="仿宋_GB2312" w:cs="Times New Roman"/>
          <w:b w:val="0"/>
          <w:bCs w:val="0"/>
          <w:color w:val="auto"/>
          <w:sz w:val="32"/>
          <w:szCs w:val="36"/>
          <w:lang w:val="en-US" w:eastAsia="zh-CN"/>
        </w:rPr>
        <w:t>农业防灾减灾资金转移支付</w:t>
      </w:r>
      <w:r>
        <w:rPr>
          <w:rFonts w:hint="default" w:ascii="Times New Roman" w:hAnsi="Times New Roman" w:cs="Times New Roman"/>
          <w:b w:val="0"/>
          <w:bCs w:val="0"/>
          <w:color w:val="auto"/>
          <w:sz w:val="32"/>
          <w:szCs w:val="36"/>
          <w:lang w:val="en-US" w:eastAsia="zh-CN"/>
        </w:rPr>
        <w:t>区域（目标）</w:t>
      </w:r>
      <w:r>
        <w:rPr>
          <w:rFonts w:hint="default" w:ascii="Times New Roman" w:hAnsi="Times New Roman" w:eastAsia="仿宋_GB2312" w:cs="Times New Roman"/>
          <w:b w:val="0"/>
          <w:bCs w:val="0"/>
          <w:color w:val="auto"/>
          <w:sz w:val="32"/>
          <w:szCs w:val="36"/>
          <w:lang w:val="en-US" w:eastAsia="zh-CN"/>
        </w:rPr>
        <w:t>绩效目标自评表（2023年中央农业防灾减灾和水利救灾资金预算（防灾救灾第一批）</w:t>
      </w:r>
      <w:r>
        <w:rPr>
          <w:rFonts w:hint="eastAsia" w:ascii="Times New Roman" w:hAnsi="Times New Roman" w:cs="Times New Roman"/>
          <w:b w:val="0"/>
          <w:bCs w:val="0"/>
          <w:color w:val="auto"/>
          <w:sz w:val="32"/>
          <w:szCs w:val="36"/>
          <w:lang w:val="en-US" w:eastAsia="zh-CN"/>
        </w:rPr>
        <w:t>）</w:t>
      </w:r>
    </w:p>
    <w:p>
      <w:pPr>
        <w:spacing w:line="600" w:lineRule="exact"/>
        <w:ind w:firstLine="640" w:firstLineChars="200"/>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kern w:val="0"/>
          <w:sz w:val="32"/>
          <w:szCs w:val="32"/>
          <w:lang w:bidi="ar"/>
        </w:rPr>
        <w:t>附件2：</w:t>
      </w:r>
      <w:r>
        <w:rPr>
          <w:rFonts w:hint="default" w:ascii="Times New Roman" w:hAnsi="Times New Roman" w:eastAsia="仿宋_GB2312" w:cs="Times New Roman"/>
          <w:b w:val="0"/>
          <w:bCs w:val="0"/>
          <w:color w:val="auto"/>
          <w:sz w:val="32"/>
          <w:szCs w:val="36"/>
          <w:lang w:val="en-US" w:eastAsia="zh-CN"/>
        </w:rPr>
        <w:t>农业防灾减灾资金转移支付</w:t>
      </w:r>
      <w:r>
        <w:rPr>
          <w:rFonts w:hint="default" w:ascii="Times New Roman" w:hAnsi="Times New Roman" w:cs="Times New Roman"/>
          <w:b w:val="0"/>
          <w:bCs w:val="0"/>
          <w:color w:val="auto"/>
          <w:sz w:val="32"/>
          <w:szCs w:val="36"/>
          <w:lang w:val="en-US" w:eastAsia="zh-CN"/>
        </w:rPr>
        <w:t>区域（目标）</w:t>
      </w:r>
      <w:r>
        <w:rPr>
          <w:rFonts w:hint="default" w:ascii="Times New Roman" w:hAnsi="Times New Roman" w:eastAsia="仿宋_GB2312" w:cs="Times New Roman"/>
          <w:b w:val="0"/>
          <w:bCs w:val="0"/>
          <w:color w:val="auto"/>
          <w:sz w:val="32"/>
          <w:szCs w:val="36"/>
          <w:lang w:val="en-US" w:eastAsia="zh-CN"/>
        </w:rPr>
        <w:t>绩效目标自评表（2023年中央农业防灾减灾和水利救灾资金预算（防灾救灾第</w:t>
      </w:r>
      <w:r>
        <w:rPr>
          <w:rFonts w:hint="default" w:ascii="Times New Roman" w:hAnsi="Times New Roman" w:cs="Times New Roman"/>
          <w:b w:val="0"/>
          <w:bCs w:val="0"/>
          <w:color w:val="auto"/>
          <w:sz w:val="32"/>
          <w:szCs w:val="36"/>
          <w:lang w:val="en-US" w:eastAsia="zh-CN"/>
        </w:rPr>
        <w:t>四</w:t>
      </w:r>
      <w:r>
        <w:rPr>
          <w:rFonts w:hint="default" w:ascii="Times New Roman" w:hAnsi="Times New Roman" w:eastAsia="仿宋_GB2312" w:cs="Times New Roman"/>
          <w:b w:val="0"/>
          <w:bCs w:val="0"/>
          <w:color w:val="auto"/>
          <w:sz w:val="32"/>
          <w:szCs w:val="36"/>
          <w:lang w:val="en-US" w:eastAsia="zh-CN"/>
        </w:rPr>
        <w:t>批）</w:t>
      </w:r>
      <w:r>
        <w:rPr>
          <w:rFonts w:hint="eastAsia" w:ascii="Times New Roman" w:hAnsi="Times New Roman" w:cs="Times New Roman"/>
          <w:b w:val="0"/>
          <w:bCs w:val="0"/>
          <w:color w:val="auto"/>
          <w:sz w:val="32"/>
          <w:szCs w:val="36"/>
          <w:lang w:val="en-US" w:eastAsia="zh-CN"/>
        </w:rPr>
        <w:t>）</w:t>
      </w:r>
    </w:p>
    <w:p>
      <w:pPr>
        <w:spacing w:line="600" w:lineRule="exact"/>
        <w:ind w:firstLine="640" w:firstLineChars="200"/>
        <w:rPr>
          <w:rFonts w:hint="eastAsia" w:ascii="Times New Roman" w:hAnsi="Times New Roman" w:cs="Times New Roman"/>
          <w:b w:val="0"/>
          <w:bCs w:val="0"/>
          <w:color w:val="auto"/>
          <w:sz w:val="32"/>
          <w:szCs w:val="36"/>
          <w:lang w:val="en-US" w:eastAsia="zh-CN"/>
        </w:rPr>
      </w:pPr>
      <w:r>
        <w:rPr>
          <w:rFonts w:hint="default" w:ascii="Times New Roman" w:hAnsi="Times New Roman" w:eastAsia="仿宋_GB2312" w:cs="Times New Roman"/>
          <w:kern w:val="0"/>
          <w:sz w:val="32"/>
          <w:szCs w:val="32"/>
          <w:lang w:bidi="ar"/>
        </w:rPr>
        <w:t>附件</w:t>
      </w:r>
      <w:r>
        <w:rPr>
          <w:rFonts w:hint="default" w:ascii="Times New Roman" w:hAnsi="Times New Roman" w:cs="Times New Roman"/>
          <w:kern w:val="0"/>
          <w:sz w:val="32"/>
          <w:szCs w:val="32"/>
          <w:lang w:val="en-US" w:eastAsia="zh-CN" w:bidi="ar"/>
        </w:rPr>
        <w:t>3</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b w:val="0"/>
          <w:bCs w:val="0"/>
          <w:color w:val="auto"/>
          <w:sz w:val="32"/>
          <w:szCs w:val="36"/>
          <w:lang w:val="en-US" w:eastAsia="zh-CN"/>
        </w:rPr>
        <w:t>农业防灾减灾资金转移支付</w:t>
      </w:r>
      <w:r>
        <w:rPr>
          <w:rFonts w:hint="default" w:ascii="Times New Roman" w:hAnsi="Times New Roman" w:cs="Times New Roman"/>
          <w:b w:val="0"/>
          <w:bCs w:val="0"/>
          <w:color w:val="auto"/>
          <w:sz w:val="32"/>
          <w:szCs w:val="36"/>
          <w:lang w:val="en-US" w:eastAsia="zh-CN"/>
        </w:rPr>
        <w:t>区域（目标）</w:t>
      </w:r>
      <w:r>
        <w:rPr>
          <w:rFonts w:hint="default" w:ascii="Times New Roman" w:hAnsi="Times New Roman" w:eastAsia="仿宋_GB2312" w:cs="Times New Roman"/>
          <w:b w:val="0"/>
          <w:bCs w:val="0"/>
          <w:color w:val="auto"/>
          <w:sz w:val="32"/>
          <w:szCs w:val="36"/>
          <w:lang w:val="en-US" w:eastAsia="zh-CN"/>
        </w:rPr>
        <w:t>绩效目标自评表（2023年中央农业防灾减灾和水利救灾资金预算（防灾救灾第</w:t>
      </w:r>
      <w:r>
        <w:rPr>
          <w:rFonts w:hint="default" w:ascii="Times New Roman" w:hAnsi="Times New Roman" w:cs="Times New Roman"/>
          <w:b w:val="0"/>
          <w:bCs w:val="0"/>
          <w:color w:val="auto"/>
          <w:sz w:val="32"/>
          <w:szCs w:val="36"/>
          <w:lang w:val="en-US" w:eastAsia="zh-CN"/>
        </w:rPr>
        <w:t>十一</w:t>
      </w:r>
      <w:r>
        <w:rPr>
          <w:rFonts w:hint="default" w:ascii="Times New Roman" w:hAnsi="Times New Roman" w:eastAsia="仿宋_GB2312" w:cs="Times New Roman"/>
          <w:b w:val="0"/>
          <w:bCs w:val="0"/>
          <w:color w:val="auto"/>
          <w:sz w:val="32"/>
          <w:szCs w:val="36"/>
          <w:lang w:val="en-US" w:eastAsia="zh-CN"/>
        </w:rPr>
        <w:t>批）</w:t>
      </w:r>
      <w:r>
        <w:rPr>
          <w:rFonts w:hint="eastAsia" w:ascii="Times New Roman" w:hAnsi="Times New Roman" w:cs="Times New Roman"/>
          <w:b w:val="0"/>
          <w:bCs w:val="0"/>
          <w:color w:val="auto"/>
          <w:sz w:val="32"/>
          <w:szCs w:val="36"/>
          <w:lang w:val="en-US" w:eastAsia="zh-CN"/>
        </w:rPr>
        <w:t>）</w:t>
      </w:r>
    </w:p>
    <w:p>
      <w:pPr>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kern w:val="0"/>
          <w:sz w:val="32"/>
          <w:szCs w:val="32"/>
          <w:lang w:bidi="ar"/>
        </w:rPr>
        <w:t>附件</w:t>
      </w:r>
      <w:r>
        <w:rPr>
          <w:rFonts w:hint="eastAsia" w:ascii="Times New Roman" w:hAnsi="Times New Roman" w:cs="Times New Roman"/>
          <w:kern w:val="0"/>
          <w:sz w:val="32"/>
          <w:szCs w:val="32"/>
          <w:lang w:val="en-US" w:eastAsia="zh-CN" w:bidi="ar"/>
        </w:rPr>
        <w:t>4</w:t>
      </w:r>
      <w:r>
        <w:rPr>
          <w:rFonts w:hint="default" w:ascii="Times New Roman" w:hAnsi="Times New Roman" w:eastAsia="仿宋_GB2312" w:cs="Times New Roman"/>
          <w:kern w:val="0"/>
          <w:sz w:val="32"/>
          <w:szCs w:val="32"/>
          <w:lang w:bidi="ar"/>
        </w:rPr>
        <w:t>：</w:t>
      </w:r>
      <w:r>
        <w:rPr>
          <w:rFonts w:hint="default" w:ascii="Times New Roman" w:hAnsi="Times New Roman" w:eastAsia="仿宋_GB2312" w:cs="Times New Roman"/>
          <w:b w:val="0"/>
          <w:bCs w:val="0"/>
          <w:color w:val="auto"/>
          <w:sz w:val="32"/>
          <w:szCs w:val="36"/>
          <w:lang w:val="en-US" w:eastAsia="zh-CN"/>
        </w:rPr>
        <w:t>农业防灾减灾资金转移支付</w:t>
      </w:r>
      <w:r>
        <w:rPr>
          <w:rFonts w:hint="default" w:ascii="Times New Roman" w:hAnsi="Times New Roman" w:cs="Times New Roman"/>
          <w:b w:val="0"/>
          <w:bCs w:val="0"/>
          <w:color w:val="auto"/>
          <w:sz w:val="32"/>
          <w:szCs w:val="36"/>
          <w:lang w:val="en-US" w:eastAsia="zh-CN"/>
        </w:rPr>
        <w:t>区域（目标）</w:t>
      </w:r>
      <w:r>
        <w:rPr>
          <w:rFonts w:hint="default" w:ascii="Times New Roman" w:hAnsi="Times New Roman" w:eastAsia="仿宋_GB2312" w:cs="Times New Roman"/>
          <w:b w:val="0"/>
          <w:bCs w:val="0"/>
          <w:color w:val="auto"/>
          <w:sz w:val="32"/>
          <w:szCs w:val="36"/>
          <w:lang w:val="en-US" w:eastAsia="zh-CN"/>
        </w:rPr>
        <w:t>绩效目标自评表（2023年中央农业防灾减灾和水利救灾资金预算（</w:t>
      </w:r>
      <w:r>
        <w:rPr>
          <w:rFonts w:hint="eastAsia" w:ascii="Times New Roman" w:hAnsi="Times New Roman" w:cs="Times New Roman"/>
          <w:b w:val="0"/>
          <w:bCs w:val="0"/>
          <w:color w:val="auto"/>
          <w:sz w:val="32"/>
          <w:szCs w:val="36"/>
          <w:lang w:val="en-US" w:eastAsia="zh-CN"/>
        </w:rPr>
        <w:t>动物防疫补助</w:t>
      </w:r>
      <w:r>
        <w:rPr>
          <w:rFonts w:hint="default" w:ascii="Times New Roman" w:hAnsi="Times New Roman" w:eastAsia="仿宋_GB2312" w:cs="Times New Roman"/>
          <w:b w:val="0"/>
          <w:bCs w:val="0"/>
          <w:color w:val="auto"/>
          <w:sz w:val="32"/>
          <w:szCs w:val="36"/>
          <w:lang w:val="en-US" w:eastAsia="zh-CN"/>
        </w:rPr>
        <w:t>）</w:t>
      </w:r>
      <w:r>
        <w:rPr>
          <w:rFonts w:hint="eastAsia" w:ascii="Times New Roman" w:hAnsi="Times New Roman" w:cs="Times New Roman"/>
          <w:b w:val="0"/>
          <w:bCs w:val="0"/>
          <w:color w:val="auto"/>
          <w:sz w:val="32"/>
          <w:szCs w:val="36"/>
          <w:lang w:val="en-US" w:eastAsia="zh-CN"/>
        </w:rPr>
        <w:t>）</w:t>
      </w:r>
    </w:p>
    <w:p>
      <w:pPr>
        <w:pStyle w:val="2"/>
        <w:rPr>
          <w:rFonts w:hint="default"/>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val="0"/>
          <w:color w:val="auto"/>
          <w:sz w:val="32"/>
          <w:szCs w:val="36"/>
          <w:lang w:val="en-US"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6"/>
          <w:lang w:val="en-US" w:eastAsia="zh-CN"/>
        </w:rPr>
        <w:sectPr>
          <w:pgSz w:w="11906" w:h="16838"/>
          <w:pgMar w:top="1440" w:right="1800" w:bottom="1440" w:left="1800" w:header="851" w:footer="992" w:gutter="0"/>
          <w:pgNumType w:fmt="decimal"/>
          <w:cols w:space="425" w:num="1"/>
          <w:docGrid w:type="lines" w:linePitch="312" w:charSpace="0"/>
        </w:sectPr>
      </w:pPr>
    </w:p>
    <w:p>
      <w:pPr>
        <w:pageBreakBefore/>
        <w:widowControl/>
        <w:jc w:val="left"/>
        <w:textAlignment w:val="center"/>
        <w:rPr>
          <w:rFonts w:hint="default" w:ascii="Times New Roman" w:hAnsi="Times New Roman" w:eastAsia="黑体" w:cs="Times New Roman"/>
          <w:kern w:val="0"/>
          <w:sz w:val="32"/>
          <w:szCs w:val="32"/>
          <w:lang w:val="en-US" w:eastAsia="zh-CN" w:bidi="ar"/>
        </w:rPr>
      </w:pPr>
      <w:r>
        <w:rPr>
          <w:rFonts w:hint="default" w:ascii="Times New Roman" w:hAnsi="Times New Roman" w:eastAsia="黑体" w:cs="Times New Roman"/>
          <w:kern w:val="0"/>
          <w:sz w:val="32"/>
          <w:szCs w:val="32"/>
          <w:lang w:val="en-US" w:eastAsia="zh-CN" w:bidi="ar"/>
        </w:rPr>
        <w:t>附件1:</w:t>
      </w:r>
    </w:p>
    <w:p>
      <w:pPr>
        <w:pStyle w:val="10"/>
        <w:spacing w:line="600" w:lineRule="exact"/>
        <w:ind w:firstLine="720" w:firstLineChars="200"/>
        <w:jc w:val="center"/>
        <w:rPr>
          <w:rFonts w:hint="default" w:ascii="Times New Roman" w:hAnsi="Times New Roman" w:eastAsia="方正小标宋_GBK" w:cs="Times New Roman"/>
          <w:b w:val="0"/>
          <w:bCs w:val="0"/>
          <w:color w:val="auto"/>
          <w:kern w:val="0"/>
          <w:sz w:val="36"/>
          <w:szCs w:val="36"/>
          <w:lang w:val="en-US"/>
        </w:rPr>
      </w:pPr>
      <w:r>
        <w:rPr>
          <w:rFonts w:hint="default" w:ascii="Times New Roman" w:hAnsi="Times New Roman" w:eastAsia="方正小标宋_GBK" w:cs="Times New Roman"/>
          <w:b w:val="0"/>
          <w:bCs w:val="0"/>
          <w:color w:val="auto"/>
          <w:kern w:val="0"/>
          <w:sz w:val="36"/>
          <w:szCs w:val="36"/>
          <w:lang w:val="en-US" w:eastAsia="zh-CN"/>
        </w:rPr>
        <w:t>农业防灾减灾资金转移支付区域（目标）绩效目标自评表</w:t>
      </w:r>
    </w:p>
    <w:tbl>
      <w:tblPr>
        <w:tblStyle w:val="12"/>
        <w:tblW w:w="531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
        <w:gridCol w:w="1251"/>
        <w:gridCol w:w="1649"/>
        <w:gridCol w:w="1550"/>
        <w:gridCol w:w="1882"/>
        <w:gridCol w:w="563"/>
        <w:gridCol w:w="1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1062"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转移支付（项目）名称</w:t>
            </w:r>
          </w:p>
        </w:tc>
        <w:tc>
          <w:tcPr>
            <w:tcW w:w="3937" w:type="pct"/>
            <w:gridSpan w:val="5"/>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2023年中央农业防灾减灾和水利救灾资金预算（防灾救灾第一批）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3937" w:type="pct"/>
            <w:gridSpan w:val="5"/>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中央主管部门</w:t>
            </w:r>
          </w:p>
        </w:tc>
        <w:tc>
          <w:tcPr>
            <w:tcW w:w="3937"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财政部、农业农村部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地方主管部门</w:t>
            </w:r>
          </w:p>
        </w:tc>
        <w:tc>
          <w:tcPr>
            <w:tcW w:w="176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自治区财政厅、农业农村厅</w:t>
            </w:r>
          </w:p>
        </w:tc>
        <w:tc>
          <w:tcPr>
            <w:tcW w:w="10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资金使用单位</w:t>
            </w: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县市农业农村局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资金投入情况</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（万元）</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全年预算数（A</w:t>
            </w:r>
            <w:r>
              <w:rPr>
                <w:rFonts w:hint="eastAsia" w:ascii="Times New Roman" w:hAnsi="Times New Roman" w:eastAsia="宋体" w:cs="Times New Roman"/>
                <w:i w:val="0"/>
                <w:iCs w:val="0"/>
                <w:color w:val="auto"/>
                <w:kern w:val="0"/>
                <w:sz w:val="16"/>
                <w:szCs w:val="16"/>
                <w:u w:val="none"/>
                <w:lang w:val="en-US" w:eastAsia="zh-CN" w:bidi="ar"/>
              </w:rPr>
              <w:t>）</w:t>
            </w:r>
          </w:p>
        </w:tc>
        <w:tc>
          <w:tcPr>
            <w:tcW w:w="10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全年执行数（B)</w:t>
            </w:r>
          </w:p>
        </w:tc>
        <w:tc>
          <w:tcPr>
            <w:tcW w:w="113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预算执行率</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年度资金总额：</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1330</w:t>
            </w:r>
          </w:p>
        </w:tc>
        <w:tc>
          <w:tcPr>
            <w:tcW w:w="10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1329.3</w:t>
            </w: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99.95%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其中：中央财政资金</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1330</w:t>
            </w:r>
          </w:p>
        </w:tc>
        <w:tc>
          <w:tcPr>
            <w:tcW w:w="10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1329.3</w:t>
            </w: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99.95%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地方资金</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p>
        </w:tc>
        <w:tc>
          <w:tcPr>
            <w:tcW w:w="10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rPr>
            </w:pP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其他资金</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c>
          <w:tcPr>
            <w:tcW w:w="10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2" w:hRule="atLeast"/>
          <w:jc w:val="center"/>
        </w:trPr>
        <w:tc>
          <w:tcPr>
            <w:tcW w:w="1062"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资金管理情况</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c>
          <w:tcPr>
            <w:tcW w:w="189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情况说明</w:t>
            </w: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分配科学性</w:t>
            </w:r>
          </w:p>
        </w:tc>
        <w:tc>
          <w:tcPr>
            <w:tcW w:w="18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根据全国对新疆小麦、玉米重大农作物病虫害以及农区蝗虫监测防控工作任务安排，结合“虫口夺粮”保丰收目标任务和新疆生产实际，研究制定“2023年农业防灾减灾资金（防灾救灾第一批）建议分配方案、实施方案”，统筹全区病虫害防控工作重点，结合粮食产能任务，测算资金分配额度，将各项任务分解到各地（州、市）。</w:t>
            </w: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下达及时性</w:t>
            </w:r>
          </w:p>
        </w:tc>
        <w:tc>
          <w:tcPr>
            <w:tcW w:w="18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2023年4月，《财政部关于下达2023年农业防灾减灾和水利救灾资金预算（防灾救灾第一批）的通知》（财农〔2023〕21号）。2023年5月，印发《关于下达2023年中央农业防灾减灾和水利救灾资金预算（防灾救灾第一批）的通知》（新财农〔2023〕39号）。资金分解下达及时。</w:t>
            </w: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拨付合规性</w:t>
            </w:r>
          </w:p>
        </w:tc>
        <w:tc>
          <w:tcPr>
            <w:tcW w:w="18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根据财政部 农业农村部 水利部关于印发《农业生产和水利救灾资金管理办法》的通知（财农〔2022〕79号，为确保资金发挥使用效益，根据各地农作物受灾情况和设施大棚损毁情况，予以拨付资金，资金拨付合规。</w:t>
            </w: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使用规范性</w:t>
            </w:r>
          </w:p>
        </w:tc>
        <w:tc>
          <w:tcPr>
            <w:tcW w:w="18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根据财政部 农业农村部 水利部关于印发《农业生产和水利救灾资金管理办法》的通知（财农〔2022〕79号），资金主要用于：农业生物灾害防治和恢复农业生产所需的物资材料及服务补助，包括购买药剂、药械、燃油、肥料、种子</w:t>
            </w:r>
            <w:r>
              <w:rPr>
                <w:rFonts w:hint="eastAsia"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zh-CN" w:bidi="ar"/>
              </w:rPr>
              <w:t>植物种苗、水产种苗</w:t>
            </w:r>
            <w:r>
              <w:rPr>
                <w:rFonts w:hint="eastAsia"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zh-CN" w:bidi="ar"/>
              </w:rPr>
              <w:t>，应用生物防治、综合防治、生态控制技术，修复诱虫灯等监控设施器械及调运、检疫处理、技术指导培训等费用。</w:t>
            </w: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执行准确性</w:t>
            </w:r>
          </w:p>
        </w:tc>
        <w:tc>
          <w:tcPr>
            <w:tcW w:w="18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依据农业农村部小麦和玉米重大病虫害、农区蝗虫防治资金、防治面积测算内容。小麦重大病虫害防治资金505万元，按照15元/亩补助，补助面积33.7万亩；玉米重大病虫害防治资金575万元，按照15元/亩补助，补助面积38.3万亩；农区蝗虫防治资金250万元，按照10元/亩补助，补助面积25万亩。</w:t>
            </w: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预算绩效管理情况</w:t>
            </w:r>
          </w:p>
        </w:tc>
        <w:tc>
          <w:tcPr>
            <w:tcW w:w="18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按照《中共中央国务院关于全面实施预算绩效管理的意见》、《关于印发&lt;自治区本级部门预算绩效目标管理办法&gt;的通知》（新财预〔2017〕21号</w:t>
            </w:r>
            <w:r>
              <w:rPr>
                <w:rFonts w:hint="eastAsia"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zh-CN" w:bidi="ar"/>
              </w:rPr>
              <w:t>、《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资金安全规范使用，如期实现年度绩效目标。</w:t>
            </w: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106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支出责任履行情况</w:t>
            </w:r>
          </w:p>
        </w:tc>
        <w:tc>
          <w:tcPr>
            <w:tcW w:w="189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对共同财政事权转移支付，按照财政事权和支出责任划分有关规定，足额安排资金履行本级支出责任，支出责任履行情况良好。</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Hans" w:bidi="ar"/>
              </w:rPr>
              <w:t>项目实施乡镇人民政府为直接责任人，地州市县农业农村局为项目主管部门对项目资金使用、监督和验收负主体责任；单位主要领导为项目监督和实施第一责任人</w:t>
            </w:r>
            <w:r>
              <w:rPr>
                <w:rFonts w:hint="default"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zh-Hans" w:bidi="ar"/>
              </w:rPr>
              <w:t>主动与财政部门做好项目资金对接落实工作，确保资金及时到位，安全使用；</w:t>
            </w:r>
            <w:r>
              <w:rPr>
                <w:rFonts w:hint="default" w:ascii="Times New Roman" w:hAnsi="Times New Roman" w:eastAsia="宋体" w:cs="Times New Roman"/>
                <w:i w:val="0"/>
                <w:iCs w:val="0"/>
                <w:color w:val="auto"/>
                <w:kern w:val="0"/>
                <w:sz w:val="16"/>
                <w:szCs w:val="16"/>
                <w:u w:val="none"/>
                <w:lang w:val="en-US" w:eastAsia="zh-CN" w:bidi="ar"/>
              </w:rPr>
              <w:t>自治区农业农村厅</w:t>
            </w:r>
            <w:r>
              <w:rPr>
                <w:rFonts w:hint="default" w:ascii="Times New Roman" w:hAnsi="Times New Roman" w:eastAsia="宋体" w:cs="Times New Roman"/>
                <w:i w:val="0"/>
                <w:iCs w:val="0"/>
                <w:color w:val="auto"/>
                <w:kern w:val="0"/>
                <w:sz w:val="16"/>
                <w:szCs w:val="16"/>
                <w:u w:val="none"/>
                <w:lang w:val="en-US" w:eastAsia="zh-Hans" w:bidi="ar"/>
              </w:rPr>
              <w:t>建立项目执行定期调度督导机制，及时掌握项目执行和资金使用情况，</w:t>
            </w:r>
            <w:r>
              <w:rPr>
                <w:rFonts w:hint="default" w:ascii="Times New Roman" w:hAnsi="Times New Roman" w:eastAsia="宋体" w:cs="Times New Roman"/>
                <w:i w:val="0"/>
                <w:iCs w:val="0"/>
                <w:color w:val="auto"/>
                <w:kern w:val="0"/>
                <w:sz w:val="16"/>
                <w:szCs w:val="16"/>
                <w:u w:val="none"/>
                <w:lang w:val="en-US" w:eastAsia="zh-CN" w:bidi="ar"/>
              </w:rPr>
              <w:t>不断总结经验和问题，</w:t>
            </w:r>
            <w:r>
              <w:rPr>
                <w:rFonts w:hint="default" w:ascii="Times New Roman" w:hAnsi="Times New Roman" w:eastAsia="宋体" w:cs="Times New Roman"/>
                <w:i w:val="0"/>
                <w:iCs w:val="0"/>
                <w:color w:val="auto"/>
                <w:kern w:val="0"/>
                <w:sz w:val="16"/>
                <w:szCs w:val="16"/>
                <w:u w:val="none"/>
                <w:lang w:val="en-US" w:eastAsia="zh-Hans" w:bidi="ar"/>
              </w:rPr>
              <w:t>项目执行到位、资金使用规范。</w:t>
            </w:r>
          </w:p>
        </w:tc>
        <w:tc>
          <w:tcPr>
            <w:tcW w:w="113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3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总体目标完成情况</w:t>
            </w:r>
          </w:p>
        </w:tc>
        <w:tc>
          <w:tcPr>
            <w:tcW w:w="245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总体目标</w:t>
            </w:r>
          </w:p>
        </w:tc>
        <w:tc>
          <w:tcPr>
            <w:tcW w:w="2172"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454"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支持小麦、玉米重大病虫害以及农区蝗虫等农作物重大病虫疫情防控，重发区域病虫疫情得到有效控制，新发突发重大农业植物疫情有效处置，不出现大面积绝收成灾，有力保障粮食安全和农业生产安全</w:t>
            </w:r>
          </w:p>
        </w:tc>
        <w:tc>
          <w:tcPr>
            <w:tcW w:w="2172"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highlight w:val="none"/>
                <w:u w:val="none"/>
                <w:lang w:val="en-US" w:eastAsia="zh-CN" w:bidi="ar"/>
              </w:rPr>
              <w:t>项目完成97万亩</w:t>
            </w:r>
            <w:r>
              <w:rPr>
                <w:rFonts w:hint="default" w:ascii="Times New Roman" w:hAnsi="Times New Roman" w:eastAsia="宋体" w:cs="Times New Roman"/>
                <w:i w:val="0"/>
                <w:iCs w:val="0"/>
                <w:color w:val="auto"/>
                <w:sz w:val="16"/>
                <w:szCs w:val="16"/>
                <w:highlight w:val="none"/>
                <w:u w:val="none"/>
              </w:rPr>
              <w:t>重大病虫疫情防控面积</w:t>
            </w:r>
            <w:r>
              <w:rPr>
                <w:rFonts w:hint="default" w:ascii="Times New Roman" w:hAnsi="Times New Roman" w:eastAsia="宋体" w:cs="Times New Roman"/>
                <w:i w:val="0"/>
                <w:iCs w:val="0"/>
                <w:color w:val="auto"/>
                <w:sz w:val="16"/>
                <w:szCs w:val="16"/>
                <w:highlight w:val="none"/>
                <w:u w:val="none"/>
                <w:lang w:eastAsia="zh-CN"/>
              </w:rPr>
              <w:t>，</w:t>
            </w:r>
            <w:r>
              <w:rPr>
                <w:rFonts w:hint="default" w:ascii="Times New Roman" w:hAnsi="Times New Roman" w:eastAsia="宋体" w:cs="Times New Roman"/>
                <w:i w:val="0"/>
                <w:iCs w:val="0"/>
                <w:color w:val="auto"/>
                <w:sz w:val="16"/>
                <w:szCs w:val="16"/>
                <w:highlight w:val="none"/>
                <w:u w:val="none"/>
              </w:rPr>
              <w:t>项目实施区统防统治覆盖率</w:t>
            </w:r>
            <w:r>
              <w:rPr>
                <w:rFonts w:hint="default" w:ascii="Times New Roman" w:hAnsi="Times New Roman" w:eastAsia="宋体" w:cs="Times New Roman"/>
                <w:i w:val="0"/>
                <w:iCs w:val="0"/>
                <w:color w:val="auto"/>
                <w:sz w:val="16"/>
                <w:szCs w:val="16"/>
                <w:highlight w:val="none"/>
                <w:u w:val="none"/>
                <w:lang w:val="en-US" w:eastAsia="zh-CN"/>
              </w:rPr>
              <w:t>45%，</w:t>
            </w:r>
            <w:r>
              <w:rPr>
                <w:rFonts w:hint="default" w:ascii="Times New Roman" w:hAnsi="Times New Roman" w:eastAsia="宋体" w:cs="Times New Roman"/>
                <w:i w:val="0"/>
                <w:iCs w:val="0"/>
                <w:color w:val="auto"/>
                <w:kern w:val="0"/>
                <w:sz w:val="16"/>
                <w:szCs w:val="16"/>
                <w:highlight w:val="none"/>
                <w:u w:val="none"/>
                <w:lang w:val="en-US" w:eastAsia="zh-CN" w:bidi="ar"/>
              </w:rPr>
              <w:t>对小麦、玉米重大病虫害以及农区蝗虫等农作物重大病虫疫情防控提供了防治资金的支持，使重发区域病虫疫情得到有效控制，新发突发重大农业植物疫情有效处置，没有出现大面积绝收成灾，有力保障粮食安全和农业生产安全</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454"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c>
          <w:tcPr>
            <w:tcW w:w="217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454"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c>
          <w:tcPr>
            <w:tcW w:w="217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3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绩</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效</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指</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标</w:t>
            </w:r>
          </w:p>
        </w:tc>
        <w:tc>
          <w:tcPr>
            <w:tcW w:w="6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一级指标</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二级指标</w:t>
            </w:r>
          </w:p>
        </w:tc>
        <w:tc>
          <w:tcPr>
            <w:tcW w:w="8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三级指标</w:t>
            </w:r>
          </w:p>
        </w:tc>
        <w:tc>
          <w:tcPr>
            <w:tcW w:w="10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指标值</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全年实际完成值</w:t>
            </w:r>
          </w:p>
        </w:tc>
        <w:tc>
          <w:tcPr>
            <w:tcW w:w="8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68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产出指标</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数量指标</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重大病虫疫情防控面积</w:t>
            </w:r>
          </w:p>
        </w:tc>
        <w:tc>
          <w:tcPr>
            <w:tcW w:w="10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≥97万亩</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97万亩</w:t>
            </w:r>
          </w:p>
        </w:tc>
        <w:tc>
          <w:tcPr>
            <w:tcW w:w="8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质量指标</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防控效果</w:t>
            </w:r>
          </w:p>
        </w:tc>
        <w:tc>
          <w:tcPr>
            <w:tcW w:w="10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有效遏制暴发流行成灾</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eastAsia="zh-CN"/>
              </w:rPr>
            </w:pPr>
            <w:r>
              <w:rPr>
                <w:rFonts w:hint="default" w:ascii="Times New Roman" w:hAnsi="Times New Roman" w:eastAsia="宋体" w:cs="Times New Roman"/>
                <w:i w:val="0"/>
                <w:iCs w:val="0"/>
                <w:color w:val="auto"/>
                <w:sz w:val="16"/>
                <w:szCs w:val="16"/>
                <w:u w:val="none"/>
                <w:lang w:val="en-US" w:eastAsia="zh-CN"/>
              </w:rPr>
              <w:t>100%</w:t>
            </w:r>
          </w:p>
        </w:tc>
        <w:tc>
          <w:tcPr>
            <w:tcW w:w="8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项目实施区统防统治覆盖率</w:t>
            </w:r>
          </w:p>
        </w:tc>
        <w:tc>
          <w:tcPr>
            <w:tcW w:w="10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&gt;43%</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eastAsia="zh-CN"/>
              </w:rPr>
            </w:pPr>
            <w:r>
              <w:rPr>
                <w:rFonts w:hint="default" w:ascii="Times New Roman" w:hAnsi="Times New Roman" w:eastAsia="宋体" w:cs="Times New Roman"/>
                <w:i w:val="0"/>
                <w:iCs w:val="0"/>
                <w:color w:val="auto"/>
                <w:sz w:val="16"/>
                <w:szCs w:val="16"/>
                <w:u w:val="none"/>
                <w:lang w:val="en-US" w:eastAsia="zh-CN"/>
              </w:rPr>
              <w:t>45%</w:t>
            </w:r>
          </w:p>
        </w:tc>
        <w:tc>
          <w:tcPr>
            <w:tcW w:w="8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时效指标</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农作物病虫害防治组织实施时效</w:t>
            </w:r>
          </w:p>
        </w:tc>
        <w:tc>
          <w:tcPr>
            <w:tcW w:w="10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在农作物病虫害防控期及时组织实施</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100%</w:t>
            </w:r>
          </w:p>
        </w:tc>
        <w:tc>
          <w:tcPr>
            <w:tcW w:w="8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成本指标</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采购物资或服务价格</w:t>
            </w:r>
          </w:p>
        </w:tc>
        <w:tc>
          <w:tcPr>
            <w:tcW w:w="10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不超过市场价格</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100%</w:t>
            </w:r>
          </w:p>
        </w:tc>
        <w:tc>
          <w:tcPr>
            <w:tcW w:w="8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68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效益指标</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社会效益指标</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防灾措施保障粮食安全和农业生产安全效果</w:t>
            </w:r>
          </w:p>
        </w:tc>
        <w:tc>
          <w:tcPr>
            <w:tcW w:w="10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重发区域病虫害得到有效控制，农作物不出现大范围成灾绝收</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100%</w:t>
            </w:r>
          </w:p>
        </w:tc>
        <w:tc>
          <w:tcPr>
            <w:tcW w:w="8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689"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可持续影响指标</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有效保持重大病虫疫情灾情监测预警能力　</w:t>
            </w:r>
          </w:p>
        </w:tc>
        <w:tc>
          <w:tcPr>
            <w:tcW w:w="10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病虫害防控期内</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100%</w:t>
            </w:r>
          </w:p>
        </w:tc>
        <w:tc>
          <w:tcPr>
            <w:tcW w:w="8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6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rPr>
            </w:pPr>
            <w:r>
              <w:rPr>
                <w:rFonts w:hint="default" w:ascii="Times New Roman" w:hAnsi="Times New Roman" w:eastAsia="宋体" w:cs="Times New Roman"/>
                <w:i w:val="0"/>
                <w:iCs w:val="0"/>
                <w:color w:val="auto"/>
                <w:kern w:val="0"/>
                <w:sz w:val="16"/>
                <w:szCs w:val="16"/>
                <w:u w:val="none"/>
                <w:lang w:val="en-US" w:eastAsia="zh-CN" w:bidi="ar"/>
              </w:rPr>
              <w:t>满意度指标</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服务对象满意度指标</w:t>
            </w:r>
          </w:p>
        </w:tc>
        <w:tc>
          <w:tcPr>
            <w:tcW w:w="8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受灾农民或防治服务组织满意度</w:t>
            </w:r>
          </w:p>
        </w:tc>
        <w:tc>
          <w:tcPr>
            <w:tcW w:w="10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rPr>
              <w:t>≥85%</w:t>
            </w:r>
          </w:p>
        </w:tc>
        <w:tc>
          <w:tcPr>
            <w:tcW w:w="3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eastAsia="zh-CN"/>
              </w:rPr>
            </w:pPr>
            <w:r>
              <w:rPr>
                <w:rFonts w:hint="eastAsia" w:eastAsia="宋体" w:cs="Times New Roman"/>
                <w:i w:val="0"/>
                <w:iCs w:val="0"/>
                <w:color w:val="auto"/>
                <w:sz w:val="16"/>
                <w:szCs w:val="16"/>
                <w:u w:val="none"/>
                <w:lang w:val="en-US" w:eastAsia="zh-CN"/>
              </w:rPr>
              <w:t>90</w:t>
            </w:r>
            <w:r>
              <w:rPr>
                <w:rFonts w:hint="default" w:ascii="Times New Roman" w:hAnsi="Times New Roman" w:eastAsia="宋体" w:cs="Times New Roman"/>
                <w:i w:val="0"/>
                <w:iCs w:val="0"/>
                <w:color w:val="auto"/>
                <w:sz w:val="16"/>
                <w:szCs w:val="16"/>
                <w:u w:val="none"/>
                <w:lang w:val="en-US" w:eastAsia="zh-CN"/>
              </w:rPr>
              <w:t>%</w:t>
            </w:r>
          </w:p>
        </w:tc>
        <w:tc>
          <w:tcPr>
            <w:tcW w:w="8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8" w:hRule="atLeast"/>
          <w:jc w:val="center"/>
        </w:trPr>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说明</w:t>
            </w:r>
          </w:p>
        </w:tc>
        <w:tc>
          <w:tcPr>
            <w:tcW w:w="4627"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无</w:t>
            </w:r>
          </w:p>
        </w:tc>
      </w:tr>
    </w:tbl>
    <w:p>
      <w:pPr>
        <w:rPr>
          <w:rFonts w:hint="default" w:ascii="Times New Roman" w:hAnsi="Times New Roman" w:cs="Times New Roman"/>
          <w:color w:val="auto"/>
        </w:rPr>
      </w:pPr>
    </w:p>
    <w:p>
      <w:pPr>
        <w:pageBreakBefore/>
        <w:widowControl/>
        <w:jc w:val="left"/>
        <w:textAlignment w:val="center"/>
        <w:rPr>
          <w:rFonts w:hint="default" w:ascii="Times New Roman" w:hAnsi="Times New Roman" w:cs="Times New Roman"/>
        </w:rPr>
      </w:pPr>
      <w:r>
        <w:rPr>
          <w:rFonts w:hint="default" w:ascii="Times New Roman" w:hAnsi="Times New Roman" w:eastAsia="黑体" w:cs="Times New Roman"/>
          <w:kern w:val="0"/>
          <w:sz w:val="32"/>
          <w:szCs w:val="32"/>
          <w:lang w:val="en-US" w:eastAsia="zh-CN" w:bidi="ar"/>
        </w:rPr>
        <w:t>附件2:</w:t>
      </w:r>
    </w:p>
    <w:p>
      <w:pPr>
        <w:pStyle w:val="10"/>
        <w:spacing w:line="600" w:lineRule="exact"/>
        <w:ind w:firstLine="720" w:firstLineChars="200"/>
        <w:jc w:val="center"/>
        <w:rPr>
          <w:rFonts w:hint="default" w:ascii="Times New Roman" w:hAnsi="Times New Roman" w:cs="Times New Roman"/>
          <w:b/>
          <w:bCs/>
          <w:color w:val="auto"/>
          <w:kern w:val="0"/>
          <w:sz w:val="36"/>
          <w:szCs w:val="36"/>
          <w:lang w:val="en-US"/>
        </w:rPr>
      </w:pPr>
      <w:r>
        <w:rPr>
          <w:rFonts w:hint="default" w:ascii="Times New Roman" w:hAnsi="Times New Roman" w:eastAsia="方正小标宋_GBK" w:cs="Times New Roman"/>
          <w:b w:val="0"/>
          <w:bCs w:val="0"/>
          <w:color w:val="auto"/>
          <w:kern w:val="0"/>
          <w:sz w:val="36"/>
          <w:szCs w:val="36"/>
          <w:lang w:val="en-US" w:eastAsia="zh-CN"/>
        </w:rPr>
        <w:t>农业防灾减灾资金转移支付区域（目标）绩效目标自评表</w:t>
      </w:r>
    </w:p>
    <w:tbl>
      <w:tblPr>
        <w:tblStyle w:val="12"/>
        <w:tblW w:w="531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
        <w:gridCol w:w="1380"/>
        <w:gridCol w:w="1520"/>
        <w:gridCol w:w="1460"/>
        <w:gridCol w:w="1841"/>
        <w:gridCol w:w="724"/>
        <w:gridCol w:w="1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33"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转移支付（项目）名称</w:t>
            </w:r>
          </w:p>
        </w:tc>
        <w:tc>
          <w:tcPr>
            <w:tcW w:w="3866" w:type="pct"/>
            <w:gridSpan w:val="5"/>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2023年中央农业防灾减灾和水利救灾资金预算（防灾救灾第四批）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3866" w:type="pct"/>
            <w:gridSpan w:val="5"/>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3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中央主管部门</w:t>
            </w:r>
          </w:p>
        </w:tc>
        <w:tc>
          <w:tcPr>
            <w:tcW w:w="3866"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财政部、农业农村部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3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地方主管部门</w:t>
            </w:r>
          </w:p>
        </w:tc>
        <w:tc>
          <w:tcPr>
            <w:tcW w:w="164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自治区财政厅、农业农村厅</w:t>
            </w:r>
          </w:p>
        </w:tc>
        <w:tc>
          <w:tcPr>
            <w:tcW w:w="10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资金使用单位</w:t>
            </w: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县市农业农村局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133"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资金投入情况</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（万元）</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c>
          <w:tcPr>
            <w:tcW w:w="8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全年预算数（A)</w:t>
            </w:r>
          </w:p>
        </w:tc>
        <w:tc>
          <w:tcPr>
            <w:tcW w:w="10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全年执行数（B)</w:t>
            </w:r>
          </w:p>
        </w:tc>
        <w:tc>
          <w:tcPr>
            <w:tcW w:w="120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预算执行率</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年度资金总额：</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2140</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2076.49</w:t>
            </w: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97.03%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其中：中央财政资金</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2140</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2076.49</w:t>
            </w: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97.03%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地方资金</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rPr>
            </w:pP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其他资金</w:t>
            </w:r>
          </w:p>
        </w:tc>
        <w:tc>
          <w:tcPr>
            <w:tcW w:w="8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c>
          <w:tcPr>
            <w:tcW w:w="10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1133"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资金管理情况</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c>
          <w:tcPr>
            <w:tcW w:w="182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情况说明</w:t>
            </w: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6"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分配科学性</w:t>
            </w:r>
          </w:p>
        </w:tc>
        <w:tc>
          <w:tcPr>
            <w:tcW w:w="1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根据《财政部关于下达2023年农业防灾减灾和水利救灾资金预算（防灾减灾第四批）的通知》（财农〔2023〕47号），拨付我区农业生产救灾资金2140万元，主要用于支持新疆开展大风、低温救灾等相关工作。根据各地农作物受灾情况和设施大棚损毁情况，予以分配资金。</w:t>
            </w: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下达及时性</w:t>
            </w:r>
          </w:p>
        </w:tc>
        <w:tc>
          <w:tcPr>
            <w:tcW w:w="1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自治区农业农村厅、财政厅通力协作，多次沟通研讨，制定《2023年中央农业防灾减灾和水利救灾资金（防灾减灾第四批）分配方案》，并及时将资金下拨至各地州，确保资金及时到位。</w:t>
            </w: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拨付合规性</w:t>
            </w:r>
          </w:p>
        </w:tc>
        <w:tc>
          <w:tcPr>
            <w:tcW w:w="1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根据财政部 农业农村部 水利部关于印发《农业生产和水利救灾资金管理办法》的通知（财农〔2022〕79号，为确保资金发挥使用效益，根据各地农作物受灾情况和设施大棚损毁情况，予以拨付资金，资金拨付合规。</w:t>
            </w: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使用规范性</w:t>
            </w:r>
          </w:p>
        </w:tc>
        <w:tc>
          <w:tcPr>
            <w:tcW w:w="1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根据财政部 农业农村部 水利部关于印发《农业生产和水利救灾资金管理办法》的通知（财农〔2022〕79号），资金主要用于：农业生物灾害防治和恢复农业生产所需的物资材料及服务补助，包括购买药剂、药械、燃油、肥料、种子</w:t>
            </w:r>
            <w:r>
              <w:rPr>
                <w:rFonts w:hint="eastAsia"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zh-CN" w:bidi="ar"/>
              </w:rPr>
              <w:t>植物种苗、水产种苗</w:t>
            </w:r>
            <w:r>
              <w:rPr>
                <w:rFonts w:hint="eastAsia"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zh-CN" w:bidi="ar"/>
              </w:rPr>
              <w:t>，应用生物防治、综合防治、生态控制技术，修复诱虫灯等监控设施器械及调运、检疫处理、技术指导培训等费用。</w:t>
            </w: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执行准确性</w:t>
            </w:r>
          </w:p>
        </w:tc>
        <w:tc>
          <w:tcPr>
            <w:tcW w:w="1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印发《2023年中央农业防灾减灾和水利救灾资金（防灾减灾第四批）实施方案》，明确项目实施内容、补助方式及资金使用范围，提高</w:t>
            </w:r>
            <w:r>
              <w:rPr>
                <w:rFonts w:hint="eastAsia" w:eastAsia="宋体" w:cs="Times New Roman"/>
                <w:i w:val="0"/>
                <w:iCs w:val="0"/>
                <w:color w:val="auto"/>
                <w:kern w:val="0"/>
                <w:sz w:val="16"/>
                <w:szCs w:val="16"/>
                <w:u w:val="none"/>
                <w:lang w:val="en-US" w:eastAsia="zh-CN" w:bidi="ar"/>
              </w:rPr>
              <w:t>了</w:t>
            </w:r>
            <w:r>
              <w:rPr>
                <w:rFonts w:hint="default" w:ascii="Times New Roman" w:hAnsi="Times New Roman" w:eastAsia="宋体" w:cs="Times New Roman"/>
                <w:i w:val="0"/>
                <w:iCs w:val="0"/>
                <w:color w:val="auto"/>
                <w:kern w:val="0"/>
                <w:sz w:val="16"/>
                <w:szCs w:val="16"/>
                <w:u w:val="none"/>
                <w:lang w:val="en-US" w:eastAsia="zh-CN" w:bidi="ar"/>
              </w:rPr>
              <w:t>项目实施准确性。</w:t>
            </w: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预算绩效管理情况</w:t>
            </w:r>
          </w:p>
        </w:tc>
        <w:tc>
          <w:tcPr>
            <w:tcW w:w="1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按照《中共中央国务院关于全面实施预算绩效管理的意见》、《关于印发&lt;自治区本级部门预算绩效目标管理办法&gt;的通知》（新财预〔2017〕21号</w:t>
            </w:r>
            <w:r>
              <w:rPr>
                <w:rFonts w:hint="eastAsia"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zh-CN" w:bidi="ar"/>
              </w:rPr>
              <w:t>、《关于印发&lt;新疆维吾尔自治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资金安全规范使用，如期实现年度绩效目标。</w:t>
            </w: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1133"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支出责任履行情况</w:t>
            </w:r>
          </w:p>
        </w:tc>
        <w:tc>
          <w:tcPr>
            <w:tcW w:w="1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对共同财政事权转移支付，按照财政事权和支出责任划分有关规定，足额安排资金履行本级支出责任，支出责任履行情况良好。</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Hans" w:bidi="ar"/>
              </w:rPr>
              <w:t>项目实施乡镇人民政府为直接责任人，地州市县农业农村局为项目主管部门对项目资金使用、监督和验收负主体责任；单位主要领导为项目监督和实施第一责任人</w:t>
            </w:r>
            <w:r>
              <w:rPr>
                <w:rFonts w:hint="default"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zh-Hans" w:bidi="ar"/>
              </w:rPr>
              <w:t>主动与财政部门做好项目资金对接落实工作，确保资金及时到位，安全使用；</w:t>
            </w:r>
            <w:r>
              <w:rPr>
                <w:rFonts w:hint="default" w:ascii="Times New Roman" w:hAnsi="Times New Roman" w:eastAsia="宋体" w:cs="Times New Roman"/>
                <w:i w:val="0"/>
                <w:iCs w:val="0"/>
                <w:color w:val="auto"/>
                <w:kern w:val="0"/>
                <w:sz w:val="16"/>
                <w:szCs w:val="16"/>
                <w:u w:val="none"/>
                <w:lang w:val="en-US" w:eastAsia="zh-CN" w:bidi="ar"/>
              </w:rPr>
              <w:t>自治区农业农村厅</w:t>
            </w:r>
            <w:r>
              <w:rPr>
                <w:rFonts w:hint="default" w:ascii="Times New Roman" w:hAnsi="Times New Roman" w:eastAsia="宋体" w:cs="Times New Roman"/>
                <w:i w:val="0"/>
                <w:iCs w:val="0"/>
                <w:color w:val="auto"/>
                <w:kern w:val="0"/>
                <w:sz w:val="16"/>
                <w:szCs w:val="16"/>
                <w:u w:val="none"/>
                <w:lang w:val="en-US" w:eastAsia="zh-Hans" w:bidi="ar"/>
              </w:rPr>
              <w:t>建立项目执行定期调度督导机制，及时掌握项目执行和资金使用情况，</w:t>
            </w:r>
            <w:r>
              <w:rPr>
                <w:rFonts w:hint="default" w:ascii="Times New Roman" w:hAnsi="Times New Roman" w:eastAsia="宋体" w:cs="Times New Roman"/>
                <w:i w:val="0"/>
                <w:iCs w:val="0"/>
                <w:color w:val="auto"/>
                <w:kern w:val="0"/>
                <w:sz w:val="16"/>
                <w:szCs w:val="16"/>
                <w:u w:val="none"/>
                <w:lang w:val="en-US" w:eastAsia="zh-CN" w:bidi="ar"/>
              </w:rPr>
              <w:t>不断总结经验和问题，</w:t>
            </w:r>
            <w:r>
              <w:rPr>
                <w:rFonts w:hint="default" w:ascii="Times New Roman" w:hAnsi="Times New Roman" w:eastAsia="宋体" w:cs="Times New Roman"/>
                <w:i w:val="0"/>
                <w:iCs w:val="0"/>
                <w:color w:val="auto"/>
                <w:kern w:val="0"/>
                <w:sz w:val="16"/>
                <w:szCs w:val="16"/>
                <w:u w:val="none"/>
                <w:lang w:val="en-US" w:eastAsia="zh-Hans" w:bidi="ar"/>
              </w:rPr>
              <w:t>项目执行到位、资金使用规范。</w:t>
            </w:r>
          </w:p>
        </w:tc>
        <w:tc>
          <w:tcPr>
            <w:tcW w:w="12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5"/>
                <w:szCs w:val="15"/>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3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总体目标完成情况</w:t>
            </w:r>
          </w:p>
        </w:tc>
        <w:tc>
          <w:tcPr>
            <w:tcW w:w="240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总体目标</w:t>
            </w:r>
          </w:p>
        </w:tc>
        <w:tc>
          <w:tcPr>
            <w:tcW w:w="2222"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404"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通过使用救灾资金，支持受灾地区恢复农业生产，保障全年农业生产稳定。</w:t>
            </w:r>
          </w:p>
        </w:tc>
        <w:tc>
          <w:tcPr>
            <w:tcW w:w="2222"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highlight w:val="none"/>
                <w:u w:val="none"/>
                <w:lang w:val="en-US" w:eastAsia="zh-CN" w:bidi="ar"/>
              </w:rPr>
              <w:t>2023年项目支持</w:t>
            </w:r>
            <w:r>
              <w:rPr>
                <w:rFonts w:hint="default" w:ascii="Times New Roman" w:hAnsi="Times New Roman" w:eastAsia="宋体" w:cs="Times New Roman"/>
                <w:i w:val="0"/>
                <w:iCs w:val="0"/>
                <w:color w:val="auto"/>
                <w:kern w:val="0"/>
                <w:sz w:val="16"/>
                <w:szCs w:val="16"/>
                <w:u w:val="none"/>
                <w:lang w:val="en-US" w:eastAsia="zh-CN" w:bidi="ar"/>
              </w:rPr>
              <w:t>农作物防灾减灾和灾后恢复生产</w:t>
            </w:r>
            <w:r>
              <w:rPr>
                <w:rFonts w:hint="default" w:ascii="Times New Roman" w:hAnsi="Times New Roman" w:eastAsia="宋体" w:cs="Times New Roman"/>
                <w:i w:val="0"/>
                <w:iCs w:val="0"/>
                <w:color w:val="auto"/>
                <w:kern w:val="0"/>
                <w:sz w:val="16"/>
                <w:szCs w:val="16"/>
                <w:highlight w:val="none"/>
                <w:u w:val="none"/>
                <w:lang w:val="en-US" w:eastAsia="zh-CN" w:bidi="ar"/>
              </w:rPr>
              <w:t>73.59万亩。资金全部用于农业生产救灾，根据各地遭受暴雨、大风、冰雹、干旱等自然灾害发生情况，主要开展极端天气应对防范、灾后救助等相关工作，推进各地因地因时抓好田管措施，做好农业自然灾害应对防范，保障我区农业生产安全，保障了秋粮稳产丰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404"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c>
          <w:tcPr>
            <w:tcW w:w="222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404"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c>
          <w:tcPr>
            <w:tcW w:w="222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jc w:val="center"/>
        </w:trPr>
        <w:tc>
          <w:tcPr>
            <w:tcW w:w="3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绩</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效</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指</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标</w:t>
            </w:r>
          </w:p>
        </w:tc>
        <w:tc>
          <w:tcPr>
            <w:tcW w:w="7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一级指标</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二级指标</w:t>
            </w:r>
          </w:p>
        </w:tc>
        <w:tc>
          <w:tcPr>
            <w:tcW w:w="8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三级指标</w:t>
            </w:r>
          </w:p>
        </w:tc>
        <w:tc>
          <w:tcPr>
            <w:tcW w:w="10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指标值</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全年实际完成值</w:t>
            </w:r>
          </w:p>
        </w:tc>
        <w:tc>
          <w:tcPr>
            <w:tcW w:w="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6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产出指标</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数量指标</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支持农作物防灾减灾和灾后恢复生产</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≥71.34万亩</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73.59万亩</w:t>
            </w:r>
          </w:p>
        </w:tc>
        <w:tc>
          <w:tcPr>
            <w:tcW w:w="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6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质量指标</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用于农业生产救灾相关支出的比例</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100%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100%</w:t>
            </w:r>
          </w:p>
        </w:tc>
        <w:tc>
          <w:tcPr>
            <w:tcW w:w="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6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时效指标</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灾后生产恢复时效性</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及时恢复正常生产</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100%</w:t>
            </w:r>
          </w:p>
        </w:tc>
        <w:tc>
          <w:tcPr>
            <w:tcW w:w="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6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资金下达到地（市）级6个月内预算执行率</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≥80%</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80%</w:t>
            </w:r>
          </w:p>
        </w:tc>
        <w:tc>
          <w:tcPr>
            <w:tcW w:w="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6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成本指标</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采购物资或服务价格</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不超过市场价格</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100%</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6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效益指标</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经济效益指标</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受灾地区主要农作物单产减幅</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≤5%</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5%</w:t>
            </w:r>
          </w:p>
        </w:tc>
        <w:tc>
          <w:tcPr>
            <w:tcW w:w="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61"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社会效益指标</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灾区农业生产秩序恢复</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基本恢复</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100%</w:t>
            </w:r>
          </w:p>
        </w:tc>
        <w:tc>
          <w:tcPr>
            <w:tcW w:w="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61"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生态效益指标</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灾区生产能力恢复</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基本恢复</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100%</w:t>
            </w:r>
          </w:p>
        </w:tc>
        <w:tc>
          <w:tcPr>
            <w:tcW w:w="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61"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838"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可持续影响指标</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稳定受灾农作物播种面积</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保持稳定</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100%</w:t>
            </w:r>
          </w:p>
        </w:tc>
        <w:tc>
          <w:tcPr>
            <w:tcW w:w="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61"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38"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稳定农民生产积极性　</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保持稳定</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100%</w:t>
            </w:r>
          </w:p>
        </w:tc>
        <w:tc>
          <w:tcPr>
            <w:tcW w:w="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rPr>
            </w:pPr>
            <w:r>
              <w:rPr>
                <w:rFonts w:hint="default" w:ascii="Times New Roman" w:hAnsi="Times New Roman" w:eastAsia="宋体" w:cs="Times New Roman"/>
                <w:i w:val="0"/>
                <w:iCs w:val="0"/>
                <w:color w:val="auto"/>
                <w:kern w:val="0"/>
                <w:sz w:val="16"/>
                <w:szCs w:val="16"/>
                <w:u w:val="none"/>
                <w:lang w:val="en-US" w:eastAsia="zh-CN" w:bidi="ar"/>
              </w:rPr>
              <w:t>满意度指标</w:t>
            </w:r>
          </w:p>
        </w:tc>
        <w:tc>
          <w:tcPr>
            <w:tcW w:w="8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服务对象满意度指标</w:t>
            </w:r>
          </w:p>
        </w:tc>
        <w:tc>
          <w:tcPr>
            <w:tcW w:w="8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指导服务对象满意度</w:t>
            </w:r>
          </w:p>
        </w:tc>
        <w:tc>
          <w:tcPr>
            <w:tcW w:w="10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≥85%</w:t>
            </w:r>
          </w:p>
        </w:tc>
        <w:tc>
          <w:tcPr>
            <w:tcW w:w="3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eastAsia" w:eastAsia="宋体" w:cs="Times New Roman"/>
                <w:i w:val="0"/>
                <w:iCs w:val="0"/>
                <w:color w:val="auto"/>
                <w:kern w:val="0"/>
                <w:sz w:val="16"/>
                <w:szCs w:val="16"/>
                <w:u w:val="none"/>
                <w:lang w:val="en-US" w:eastAsia="zh-CN" w:bidi="ar"/>
              </w:rPr>
              <w:t>90</w:t>
            </w:r>
            <w:r>
              <w:rPr>
                <w:rFonts w:hint="default" w:ascii="Times New Roman" w:hAnsi="Times New Roman" w:eastAsia="宋体" w:cs="Times New Roman"/>
                <w:i w:val="0"/>
                <w:iCs w:val="0"/>
                <w:color w:val="auto"/>
                <w:kern w:val="0"/>
                <w:sz w:val="16"/>
                <w:szCs w:val="16"/>
                <w:u w:val="none"/>
                <w:lang w:val="en-US" w:eastAsia="zh-CN" w:bidi="ar"/>
              </w:rPr>
              <w:t>%</w:t>
            </w:r>
          </w:p>
        </w:tc>
        <w:tc>
          <w:tcPr>
            <w:tcW w:w="8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说明</w:t>
            </w:r>
          </w:p>
        </w:tc>
        <w:tc>
          <w:tcPr>
            <w:tcW w:w="4627"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无</w:t>
            </w:r>
          </w:p>
        </w:tc>
      </w:tr>
    </w:tbl>
    <w:p>
      <w:pPr>
        <w:pageBreakBefore/>
        <w:widowControl/>
        <w:jc w:val="left"/>
        <w:textAlignment w:val="center"/>
        <w:rPr>
          <w:rFonts w:hint="default" w:ascii="Times New Roman" w:hAnsi="Times New Roman" w:cs="Times New Roman"/>
          <w:b/>
          <w:bCs/>
          <w:color w:val="auto"/>
          <w:kern w:val="0"/>
          <w:sz w:val="36"/>
          <w:szCs w:val="36"/>
          <w:lang w:val="en-US"/>
        </w:rPr>
      </w:pPr>
      <w:r>
        <w:rPr>
          <w:rFonts w:hint="default" w:ascii="Times New Roman" w:hAnsi="Times New Roman" w:eastAsia="黑体" w:cs="Times New Roman"/>
          <w:kern w:val="0"/>
          <w:sz w:val="32"/>
          <w:szCs w:val="32"/>
          <w:lang w:val="en-US" w:eastAsia="zh-CN" w:bidi="ar"/>
        </w:rPr>
        <w:t>附件3:</w:t>
      </w:r>
    </w:p>
    <w:p>
      <w:pPr>
        <w:pStyle w:val="10"/>
        <w:spacing w:line="600" w:lineRule="exact"/>
        <w:ind w:left="0" w:leftChars="0" w:firstLine="0" w:firstLineChars="0"/>
        <w:jc w:val="center"/>
        <w:rPr>
          <w:rFonts w:hint="default" w:ascii="Times New Roman" w:hAnsi="Times New Roman" w:eastAsia="方正小标宋_GBK" w:cs="Times New Roman"/>
          <w:b w:val="0"/>
          <w:bCs w:val="0"/>
          <w:color w:val="auto"/>
          <w:kern w:val="0"/>
          <w:sz w:val="36"/>
          <w:szCs w:val="36"/>
          <w:lang w:val="en-US" w:eastAsia="zh-CN"/>
        </w:rPr>
      </w:pPr>
      <w:r>
        <w:rPr>
          <w:rFonts w:hint="default" w:ascii="Times New Roman" w:hAnsi="Times New Roman" w:eastAsia="方正小标宋_GBK" w:cs="Times New Roman"/>
          <w:b w:val="0"/>
          <w:bCs w:val="0"/>
          <w:color w:val="auto"/>
          <w:kern w:val="0"/>
          <w:sz w:val="36"/>
          <w:szCs w:val="36"/>
          <w:lang w:val="en-US" w:eastAsia="zh-CN"/>
        </w:rPr>
        <w:t>农业防灾减灾资金转移支付区域（目标）绩效</w:t>
      </w:r>
    </w:p>
    <w:p>
      <w:pPr>
        <w:pStyle w:val="10"/>
        <w:spacing w:line="600" w:lineRule="exact"/>
        <w:ind w:left="0" w:leftChars="0" w:firstLine="0" w:firstLineChars="0"/>
        <w:jc w:val="center"/>
        <w:rPr>
          <w:rFonts w:hint="default" w:ascii="Times New Roman" w:hAnsi="Times New Roman" w:cs="Times New Roman"/>
          <w:b/>
          <w:bCs/>
          <w:color w:val="auto"/>
          <w:kern w:val="0"/>
          <w:sz w:val="36"/>
          <w:szCs w:val="36"/>
          <w:lang w:val="en-US"/>
        </w:rPr>
      </w:pPr>
      <w:r>
        <w:rPr>
          <w:rFonts w:hint="default" w:ascii="Times New Roman" w:hAnsi="Times New Roman" w:eastAsia="方正小标宋_GBK" w:cs="Times New Roman"/>
          <w:b w:val="0"/>
          <w:bCs w:val="0"/>
          <w:color w:val="auto"/>
          <w:kern w:val="0"/>
          <w:sz w:val="36"/>
          <w:szCs w:val="36"/>
          <w:lang w:val="en-US" w:eastAsia="zh-CN"/>
        </w:rPr>
        <w:t>目标自评</w:t>
      </w:r>
      <w:r>
        <w:rPr>
          <w:rFonts w:hint="default" w:ascii="Times New Roman" w:hAnsi="Times New Roman" w:eastAsia="方正小标宋_GBK" w:cs="Times New Roman"/>
          <w:b w:val="0"/>
          <w:bCs w:val="0"/>
          <w:color w:val="auto"/>
          <w:kern w:val="0"/>
          <w:sz w:val="36"/>
          <w:szCs w:val="36"/>
          <w:lang w:val="en-US"/>
        </w:rPr>
        <w:t>表</w:t>
      </w:r>
    </w:p>
    <w:tbl>
      <w:tblPr>
        <w:tblStyle w:val="12"/>
        <w:tblW w:w="53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028"/>
        <w:gridCol w:w="72"/>
        <w:gridCol w:w="1557"/>
        <w:gridCol w:w="1293"/>
        <w:gridCol w:w="919"/>
        <w:gridCol w:w="881"/>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979" w:type="pct"/>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转移支付（项目）名称</w:t>
            </w:r>
          </w:p>
        </w:tc>
        <w:tc>
          <w:tcPr>
            <w:tcW w:w="4020" w:type="pct"/>
            <w:gridSpan w:val="5"/>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2023年中央农业防灾减灾和水利救灾资金预算（防灾救灾第十一批）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979"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4020" w:type="pct"/>
            <w:gridSpan w:val="5"/>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中央主管部门</w:t>
            </w:r>
          </w:p>
        </w:tc>
        <w:tc>
          <w:tcPr>
            <w:tcW w:w="4020" w:type="pct"/>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财政部、农业农村部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地方主管部门</w:t>
            </w:r>
          </w:p>
        </w:tc>
        <w:tc>
          <w:tcPr>
            <w:tcW w:w="1571"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自治区财政厅、农业农村厅</w:t>
            </w:r>
          </w:p>
        </w:tc>
        <w:tc>
          <w:tcPr>
            <w:tcW w:w="5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资金使用单位</w:t>
            </w:r>
          </w:p>
        </w:tc>
        <w:tc>
          <w:tcPr>
            <w:tcW w:w="1941"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县市农业农村局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资金投入情况</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（万元）</w:t>
            </w:r>
          </w:p>
        </w:tc>
        <w:tc>
          <w:tcPr>
            <w:tcW w:w="858"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c>
          <w:tcPr>
            <w:tcW w:w="713"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全年预算数（A)</w:t>
            </w:r>
          </w:p>
        </w:tc>
        <w:tc>
          <w:tcPr>
            <w:tcW w:w="5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全年执行数（B)</w:t>
            </w:r>
          </w:p>
        </w:tc>
        <w:tc>
          <w:tcPr>
            <w:tcW w:w="1941"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预算执行率</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5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年度资金总额：</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snapToGrid w:val="0"/>
                <w:color w:val="auto"/>
                <w:spacing w:val="-2"/>
                <w:kern w:val="0"/>
                <w:sz w:val="15"/>
                <w:szCs w:val="15"/>
                <w:lang w:val="en-US" w:eastAsia="en-US" w:bidi="ar-SA"/>
              </w:rPr>
              <w:t>9620</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0</w:t>
            </w:r>
          </w:p>
        </w:tc>
        <w:tc>
          <w:tcPr>
            <w:tcW w:w="1941"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5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其中：中央财政资金</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ascii="Times New Roman" w:hAnsi="Times New Roman" w:eastAsia="宋体" w:cs="Times New Roman"/>
                <w:snapToGrid w:val="0"/>
                <w:color w:val="auto"/>
                <w:spacing w:val="-2"/>
                <w:kern w:val="0"/>
                <w:sz w:val="15"/>
                <w:szCs w:val="15"/>
                <w:lang w:val="en-US" w:eastAsia="en-US" w:bidi="ar-SA"/>
              </w:rPr>
              <w:t>9620</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0</w:t>
            </w:r>
          </w:p>
        </w:tc>
        <w:tc>
          <w:tcPr>
            <w:tcW w:w="1941"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5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地方资金</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rPr>
            </w:pPr>
          </w:p>
        </w:tc>
        <w:tc>
          <w:tcPr>
            <w:tcW w:w="1941"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5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其他资金</w:t>
            </w:r>
          </w:p>
        </w:tc>
        <w:tc>
          <w:tcPr>
            <w:tcW w:w="713"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c>
          <w:tcPr>
            <w:tcW w:w="506" w:type="pct"/>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c>
          <w:tcPr>
            <w:tcW w:w="1941"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资金管理情况</w:t>
            </w:r>
          </w:p>
        </w:tc>
        <w:tc>
          <w:tcPr>
            <w:tcW w:w="858" w:type="pct"/>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c>
          <w:tcPr>
            <w:tcW w:w="1219"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情况说明</w:t>
            </w:r>
          </w:p>
        </w:tc>
        <w:tc>
          <w:tcPr>
            <w:tcW w:w="1941"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存在问题和改进措施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5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分配科学性</w:t>
            </w:r>
          </w:p>
        </w:tc>
        <w:tc>
          <w:tcPr>
            <w:tcW w:w="121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eastAsia="zh-CN"/>
              </w:rPr>
            </w:pPr>
            <w:r>
              <w:rPr>
                <w:rFonts w:hint="default" w:ascii="Times New Roman" w:hAnsi="Times New Roman" w:eastAsia="宋体" w:cs="Times New Roman"/>
                <w:i w:val="0"/>
                <w:iCs w:val="0"/>
                <w:color w:val="auto"/>
                <w:sz w:val="16"/>
                <w:szCs w:val="16"/>
                <w:u w:val="none"/>
                <w:lang w:val="en-US" w:eastAsia="zh-CN"/>
              </w:rPr>
              <w:t>无</w:t>
            </w:r>
          </w:p>
        </w:tc>
        <w:tc>
          <w:tcPr>
            <w:tcW w:w="1941"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5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下达及时性</w:t>
            </w:r>
          </w:p>
        </w:tc>
        <w:tc>
          <w:tcPr>
            <w:tcW w:w="121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无</w:t>
            </w:r>
          </w:p>
        </w:tc>
        <w:tc>
          <w:tcPr>
            <w:tcW w:w="1941"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5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拨付合规性</w:t>
            </w:r>
          </w:p>
        </w:tc>
        <w:tc>
          <w:tcPr>
            <w:tcW w:w="121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无</w:t>
            </w:r>
          </w:p>
        </w:tc>
        <w:tc>
          <w:tcPr>
            <w:tcW w:w="1941"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5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使用规范性</w:t>
            </w:r>
          </w:p>
        </w:tc>
        <w:tc>
          <w:tcPr>
            <w:tcW w:w="121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无</w:t>
            </w:r>
          </w:p>
        </w:tc>
        <w:tc>
          <w:tcPr>
            <w:tcW w:w="1941"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5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执行准确性</w:t>
            </w:r>
          </w:p>
        </w:tc>
        <w:tc>
          <w:tcPr>
            <w:tcW w:w="121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无</w:t>
            </w:r>
          </w:p>
        </w:tc>
        <w:tc>
          <w:tcPr>
            <w:tcW w:w="1941"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5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预算绩效管理情况</w:t>
            </w:r>
          </w:p>
        </w:tc>
        <w:tc>
          <w:tcPr>
            <w:tcW w:w="121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无</w:t>
            </w:r>
          </w:p>
        </w:tc>
        <w:tc>
          <w:tcPr>
            <w:tcW w:w="1941"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979" w:type="pct"/>
            <w:gridSpan w:val="3"/>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58"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支出责任履行情况</w:t>
            </w:r>
          </w:p>
        </w:tc>
        <w:tc>
          <w:tcPr>
            <w:tcW w:w="1219" w:type="pct"/>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eastAsia="zh-CN"/>
              </w:rPr>
            </w:pPr>
            <w:r>
              <w:rPr>
                <w:rFonts w:hint="default" w:ascii="Times New Roman" w:hAnsi="Times New Roman" w:eastAsia="宋体" w:cs="Times New Roman"/>
                <w:i w:val="0"/>
                <w:iCs w:val="0"/>
                <w:color w:val="auto"/>
                <w:sz w:val="16"/>
                <w:szCs w:val="16"/>
                <w:u w:val="none"/>
                <w:lang w:val="en-US" w:eastAsia="zh-CN"/>
              </w:rPr>
              <w:t>无</w:t>
            </w:r>
          </w:p>
        </w:tc>
        <w:tc>
          <w:tcPr>
            <w:tcW w:w="1941" w:type="pct"/>
            <w:gridSpan w:val="2"/>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372"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总体目标完成情况</w:t>
            </w:r>
          </w:p>
        </w:tc>
        <w:tc>
          <w:tcPr>
            <w:tcW w:w="2178" w:type="pct"/>
            <w:gridSpan w:val="4"/>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总体目标</w:t>
            </w:r>
          </w:p>
        </w:tc>
        <w:tc>
          <w:tcPr>
            <w:tcW w:w="2448" w:type="pct"/>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178" w:type="pct"/>
            <w:gridSpan w:val="4"/>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en-US" w:bidi="ar"/>
              </w:rPr>
              <w:t>通过使用救灾资金，调运和储备饲草料，减少灾害损失，确保全年畜牧业生产稳定。</w:t>
            </w:r>
          </w:p>
        </w:tc>
        <w:tc>
          <w:tcPr>
            <w:tcW w:w="2448" w:type="pct"/>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eastAsia" w:ascii="Times New Roman" w:hAnsi="Times New Roman" w:eastAsia="宋体" w:cs="Times New Roman"/>
                <w:i w:val="0"/>
                <w:iCs w:val="0"/>
                <w:color w:val="auto"/>
                <w:kern w:val="0"/>
                <w:sz w:val="16"/>
                <w:szCs w:val="16"/>
                <w:u w:val="none"/>
                <w:lang w:val="en-US" w:eastAsia="zh-CN" w:bidi="ar"/>
              </w:rPr>
              <w:t>2023年12月15日财政部下达</w:t>
            </w:r>
            <w:r>
              <w:rPr>
                <w:rFonts w:hint="default" w:ascii="Times New Roman" w:hAnsi="Times New Roman" w:eastAsia="宋体" w:cs="Times New Roman"/>
                <w:i w:val="0"/>
                <w:iCs w:val="0"/>
                <w:color w:val="auto"/>
                <w:kern w:val="0"/>
                <w:sz w:val="16"/>
                <w:szCs w:val="16"/>
                <w:u w:val="none"/>
                <w:lang w:val="en-US" w:eastAsia="zh-CN" w:bidi="ar"/>
              </w:rPr>
              <w:t>农业防灾减灾和水利救灾资金（防灾救灾第十一批）</w:t>
            </w:r>
            <w:r>
              <w:rPr>
                <w:rFonts w:hint="eastAsia" w:ascii="Times New Roman" w:hAnsi="Times New Roman" w:eastAsia="宋体" w:cs="Times New Roman"/>
                <w:i w:val="0"/>
                <w:iCs w:val="0"/>
                <w:color w:val="auto"/>
                <w:kern w:val="0"/>
                <w:sz w:val="16"/>
                <w:szCs w:val="16"/>
                <w:u w:val="none"/>
                <w:lang w:val="en-US" w:eastAsia="zh-CN" w:bidi="ar"/>
              </w:rPr>
              <w:t>9620万元，</w:t>
            </w:r>
            <w:r>
              <w:rPr>
                <w:rFonts w:hint="default" w:ascii="Times New Roman" w:hAnsi="Times New Roman" w:eastAsia="宋体" w:cs="Times New Roman"/>
                <w:i w:val="0"/>
                <w:iCs w:val="0"/>
                <w:color w:val="auto"/>
                <w:kern w:val="0"/>
                <w:sz w:val="16"/>
                <w:szCs w:val="16"/>
                <w:u w:val="none"/>
                <w:lang w:val="en-US" w:eastAsia="zh-CN" w:bidi="ar"/>
              </w:rPr>
              <w:t>2023年12月29日，</w:t>
            </w:r>
            <w:r>
              <w:rPr>
                <w:rFonts w:hint="eastAsia" w:ascii="Times New Roman" w:hAnsi="Times New Roman" w:eastAsia="宋体" w:cs="Times New Roman"/>
                <w:i w:val="0"/>
                <w:iCs w:val="0"/>
                <w:color w:val="auto"/>
                <w:kern w:val="0"/>
                <w:sz w:val="16"/>
                <w:szCs w:val="16"/>
                <w:u w:val="none"/>
                <w:lang w:val="en-US" w:eastAsia="zh-CN" w:bidi="ar"/>
              </w:rPr>
              <w:t>我区将资金分解下达至</w:t>
            </w:r>
            <w:r>
              <w:rPr>
                <w:rFonts w:hint="default" w:ascii="Times New Roman" w:hAnsi="Times New Roman" w:eastAsia="宋体" w:cs="Times New Roman"/>
                <w:i w:val="0"/>
                <w:iCs w:val="0"/>
                <w:color w:val="auto"/>
                <w:kern w:val="0"/>
                <w:sz w:val="16"/>
                <w:szCs w:val="16"/>
                <w:u w:val="none"/>
                <w:lang w:val="en-US" w:eastAsia="zh-CN" w:bidi="ar"/>
              </w:rPr>
              <w:t>各项目执行县，</w:t>
            </w:r>
            <w:r>
              <w:rPr>
                <w:rFonts w:hint="eastAsia" w:ascii="Times New Roman" w:hAnsi="Times New Roman" w:eastAsia="宋体" w:cs="Times New Roman"/>
                <w:i w:val="0"/>
                <w:iCs w:val="0"/>
                <w:color w:val="auto"/>
                <w:kern w:val="0"/>
                <w:sz w:val="16"/>
                <w:szCs w:val="16"/>
                <w:u w:val="none"/>
                <w:lang w:val="en-US" w:eastAsia="zh-CN" w:bidi="ar"/>
              </w:rPr>
              <w:t>截止2023年底，各地仅开展项目前期工作，资金暂未执行</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178" w:type="pct"/>
            <w:gridSpan w:val="4"/>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c>
          <w:tcPr>
            <w:tcW w:w="2448"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178" w:type="pct"/>
            <w:gridSpan w:val="4"/>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c>
          <w:tcPr>
            <w:tcW w:w="2448" w:type="pct"/>
            <w:gridSpan w:val="3"/>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2"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绩</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效</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指</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标</w:t>
            </w:r>
          </w:p>
        </w:tc>
        <w:tc>
          <w:tcPr>
            <w:tcW w:w="5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一级指标</w:t>
            </w:r>
          </w:p>
        </w:tc>
        <w:tc>
          <w:tcPr>
            <w:tcW w:w="898"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二级指标</w:t>
            </w:r>
          </w:p>
        </w:tc>
        <w:tc>
          <w:tcPr>
            <w:tcW w:w="713"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三级指标</w:t>
            </w:r>
          </w:p>
        </w:tc>
        <w:tc>
          <w:tcPr>
            <w:tcW w:w="50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指标值</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全年实际完成值</w:t>
            </w:r>
          </w:p>
        </w:tc>
        <w:tc>
          <w:tcPr>
            <w:tcW w:w="145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566"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产出指标</w:t>
            </w:r>
          </w:p>
        </w:tc>
        <w:tc>
          <w:tcPr>
            <w:tcW w:w="898"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数量指标</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en-US" w:bidi="ar"/>
              </w:rPr>
              <w:t>调运和储备饲草料</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en-US" w:bidi="ar"/>
              </w:rPr>
              <w:t>54万吨</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eastAsia="zh-CN"/>
              </w:rPr>
            </w:pPr>
            <w:r>
              <w:rPr>
                <w:rFonts w:hint="default" w:ascii="Times New Roman" w:hAnsi="Times New Roman" w:eastAsia="宋体" w:cs="Times New Roman"/>
                <w:i w:val="0"/>
                <w:iCs w:val="0"/>
                <w:color w:val="auto"/>
                <w:sz w:val="16"/>
                <w:szCs w:val="16"/>
                <w:u w:val="none"/>
                <w:lang w:val="en-US" w:eastAsia="zh-CN"/>
              </w:rPr>
              <w:t>0</w:t>
            </w:r>
          </w:p>
        </w:tc>
        <w:tc>
          <w:tcPr>
            <w:tcW w:w="145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sz w:val="16"/>
                <w:szCs w:val="16"/>
                <w:u w:val="none"/>
                <w:lang w:val="en-US" w:eastAsia="zh-CN"/>
              </w:rPr>
            </w:pPr>
            <w:r>
              <w:rPr>
                <w:rFonts w:hint="eastAsia" w:ascii="Times New Roman" w:hAnsi="Times New Roman" w:eastAsia="宋体" w:cs="Times New Roman"/>
                <w:i w:val="0"/>
                <w:iCs w:val="0"/>
                <w:color w:val="auto"/>
                <w:kern w:val="0"/>
                <w:sz w:val="16"/>
                <w:szCs w:val="16"/>
                <w:u w:val="none"/>
                <w:lang w:val="en-US" w:eastAsia="zh-CN" w:bidi="ar"/>
              </w:rPr>
              <w:t>2023年12月15日财政部下达</w:t>
            </w:r>
            <w:r>
              <w:rPr>
                <w:rFonts w:hint="default" w:ascii="Times New Roman" w:hAnsi="Times New Roman" w:eastAsia="宋体" w:cs="Times New Roman"/>
                <w:i w:val="0"/>
                <w:iCs w:val="0"/>
                <w:color w:val="auto"/>
                <w:kern w:val="0"/>
                <w:sz w:val="16"/>
                <w:szCs w:val="16"/>
                <w:u w:val="none"/>
                <w:lang w:val="en-US" w:eastAsia="zh-CN" w:bidi="ar"/>
              </w:rPr>
              <w:t>农业防灾减灾和水利救灾资金（防灾救灾第十一批）</w:t>
            </w:r>
            <w:r>
              <w:rPr>
                <w:rFonts w:hint="eastAsia" w:ascii="Times New Roman" w:hAnsi="Times New Roman" w:eastAsia="宋体" w:cs="Times New Roman"/>
                <w:i w:val="0"/>
                <w:iCs w:val="0"/>
                <w:color w:val="auto"/>
                <w:kern w:val="0"/>
                <w:sz w:val="16"/>
                <w:szCs w:val="16"/>
                <w:u w:val="none"/>
                <w:lang w:val="en-US" w:eastAsia="zh-CN" w:bidi="ar"/>
              </w:rPr>
              <w:t>9620万元，</w:t>
            </w:r>
            <w:r>
              <w:rPr>
                <w:rFonts w:hint="default" w:ascii="Times New Roman" w:hAnsi="Times New Roman" w:eastAsia="宋体" w:cs="Times New Roman"/>
                <w:i w:val="0"/>
                <w:iCs w:val="0"/>
                <w:color w:val="auto"/>
                <w:kern w:val="0"/>
                <w:sz w:val="16"/>
                <w:szCs w:val="16"/>
                <w:u w:val="none"/>
                <w:lang w:val="en-US" w:eastAsia="zh-CN" w:bidi="ar"/>
              </w:rPr>
              <w:t>2023年12月29日，</w:t>
            </w:r>
            <w:r>
              <w:rPr>
                <w:rFonts w:hint="eastAsia" w:ascii="Times New Roman" w:hAnsi="Times New Roman" w:eastAsia="宋体" w:cs="Times New Roman"/>
                <w:i w:val="0"/>
                <w:iCs w:val="0"/>
                <w:color w:val="auto"/>
                <w:kern w:val="0"/>
                <w:sz w:val="16"/>
                <w:szCs w:val="16"/>
                <w:u w:val="none"/>
                <w:lang w:val="en-US" w:eastAsia="zh-CN" w:bidi="ar"/>
              </w:rPr>
              <w:t>我区将资金分解下达至</w:t>
            </w:r>
            <w:r>
              <w:rPr>
                <w:rFonts w:hint="default" w:ascii="Times New Roman" w:hAnsi="Times New Roman" w:eastAsia="宋体" w:cs="Times New Roman"/>
                <w:i w:val="0"/>
                <w:iCs w:val="0"/>
                <w:color w:val="auto"/>
                <w:kern w:val="0"/>
                <w:sz w:val="16"/>
                <w:szCs w:val="16"/>
                <w:u w:val="none"/>
                <w:lang w:val="en-US" w:eastAsia="zh-CN" w:bidi="ar"/>
              </w:rPr>
              <w:t>各项目执行县，</w:t>
            </w:r>
            <w:r>
              <w:rPr>
                <w:rFonts w:hint="eastAsia" w:ascii="Times New Roman" w:hAnsi="Times New Roman" w:eastAsia="宋体" w:cs="Times New Roman"/>
                <w:i w:val="0"/>
                <w:iCs w:val="0"/>
                <w:color w:val="auto"/>
                <w:kern w:val="0"/>
                <w:sz w:val="16"/>
                <w:szCs w:val="16"/>
                <w:u w:val="none"/>
                <w:lang w:val="en-US" w:eastAsia="zh-CN" w:bidi="ar"/>
              </w:rPr>
              <w:t>截止2023年底，各地仅开展项目前期工作，资金暂未执行</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566"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98"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质量指标</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en-US" w:bidi="ar"/>
              </w:rPr>
            </w:pPr>
            <w:r>
              <w:rPr>
                <w:rFonts w:hint="default" w:ascii="Times New Roman" w:hAnsi="Times New Roman" w:eastAsia="宋体" w:cs="Times New Roman"/>
                <w:i w:val="0"/>
                <w:iCs w:val="0"/>
                <w:color w:val="auto"/>
                <w:kern w:val="0"/>
                <w:sz w:val="16"/>
                <w:szCs w:val="16"/>
                <w:u w:val="none"/>
                <w:lang w:val="en-US" w:eastAsia="en-US" w:bidi="ar"/>
              </w:rPr>
              <w:t>用于农业生产救灾相关支出的比例</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en-US" w:bidi="ar"/>
              </w:rPr>
            </w:pPr>
            <w:r>
              <w:rPr>
                <w:rFonts w:hint="default" w:ascii="Times New Roman" w:hAnsi="Times New Roman" w:eastAsia="宋体" w:cs="Times New Roman"/>
                <w:i w:val="0"/>
                <w:iCs w:val="0"/>
                <w:color w:val="auto"/>
                <w:kern w:val="0"/>
                <w:sz w:val="16"/>
                <w:szCs w:val="16"/>
                <w:u w:val="none"/>
                <w:lang w:val="en-US" w:eastAsia="en-US" w:bidi="ar"/>
              </w:rPr>
              <w:t>100%</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0</w:t>
            </w:r>
          </w:p>
        </w:tc>
        <w:tc>
          <w:tcPr>
            <w:tcW w:w="145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sz w:val="16"/>
                <w:szCs w:val="16"/>
                <w:u w:val="none"/>
                <w:lang w:val="en-US" w:eastAsia="zh-CN"/>
              </w:rPr>
            </w:pPr>
            <w:r>
              <w:rPr>
                <w:rFonts w:hint="eastAsia" w:ascii="Times New Roman" w:hAnsi="Times New Roman" w:eastAsia="宋体" w:cs="Times New Roman"/>
                <w:i w:val="0"/>
                <w:iCs w:val="0"/>
                <w:color w:val="auto"/>
                <w:kern w:val="0"/>
                <w:sz w:val="16"/>
                <w:szCs w:val="16"/>
                <w:u w:val="none"/>
                <w:lang w:val="en-US" w:eastAsia="zh-CN" w:bidi="ar"/>
              </w:rPr>
              <w:t>2023年12月15日财政部下达</w:t>
            </w:r>
            <w:r>
              <w:rPr>
                <w:rFonts w:hint="default" w:ascii="Times New Roman" w:hAnsi="Times New Roman" w:eastAsia="宋体" w:cs="Times New Roman"/>
                <w:i w:val="0"/>
                <w:iCs w:val="0"/>
                <w:color w:val="auto"/>
                <w:kern w:val="0"/>
                <w:sz w:val="16"/>
                <w:szCs w:val="16"/>
                <w:u w:val="none"/>
                <w:lang w:val="en-US" w:eastAsia="zh-CN" w:bidi="ar"/>
              </w:rPr>
              <w:t>农业防灾减灾和水利救灾资金（防灾救灾第十一批）</w:t>
            </w:r>
            <w:r>
              <w:rPr>
                <w:rFonts w:hint="eastAsia" w:ascii="Times New Roman" w:hAnsi="Times New Roman" w:eastAsia="宋体" w:cs="Times New Roman"/>
                <w:i w:val="0"/>
                <w:iCs w:val="0"/>
                <w:color w:val="auto"/>
                <w:kern w:val="0"/>
                <w:sz w:val="16"/>
                <w:szCs w:val="16"/>
                <w:u w:val="none"/>
                <w:lang w:val="en-US" w:eastAsia="zh-CN" w:bidi="ar"/>
              </w:rPr>
              <w:t>9620万元，</w:t>
            </w:r>
            <w:r>
              <w:rPr>
                <w:rFonts w:hint="default" w:ascii="Times New Roman" w:hAnsi="Times New Roman" w:eastAsia="宋体" w:cs="Times New Roman"/>
                <w:i w:val="0"/>
                <w:iCs w:val="0"/>
                <w:color w:val="auto"/>
                <w:kern w:val="0"/>
                <w:sz w:val="16"/>
                <w:szCs w:val="16"/>
                <w:u w:val="none"/>
                <w:lang w:val="en-US" w:eastAsia="zh-CN" w:bidi="ar"/>
              </w:rPr>
              <w:t>2023年12月29日，</w:t>
            </w:r>
            <w:r>
              <w:rPr>
                <w:rFonts w:hint="eastAsia" w:ascii="Times New Roman" w:hAnsi="Times New Roman" w:eastAsia="宋体" w:cs="Times New Roman"/>
                <w:i w:val="0"/>
                <w:iCs w:val="0"/>
                <w:color w:val="auto"/>
                <w:kern w:val="0"/>
                <w:sz w:val="16"/>
                <w:szCs w:val="16"/>
                <w:u w:val="none"/>
                <w:lang w:val="en-US" w:eastAsia="zh-CN" w:bidi="ar"/>
              </w:rPr>
              <w:t>我区将资金分解下达至</w:t>
            </w:r>
            <w:r>
              <w:rPr>
                <w:rFonts w:hint="default" w:ascii="Times New Roman" w:hAnsi="Times New Roman" w:eastAsia="宋体" w:cs="Times New Roman"/>
                <w:i w:val="0"/>
                <w:iCs w:val="0"/>
                <w:color w:val="auto"/>
                <w:kern w:val="0"/>
                <w:sz w:val="16"/>
                <w:szCs w:val="16"/>
                <w:u w:val="none"/>
                <w:lang w:val="en-US" w:eastAsia="zh-CN" w:bidi="ar"/>
              </w:rPr>
              <w:t>各项目执行县，</w:t>
            </w:r>
            <w:r>
              <w:rPr>
                <w:rFonts w:hint="eastAsia" w:ascii="Times New Roman" w:hAnsi="Times New Roman" w:eastAsia="宋体" w:cs="Times New Roman"/>
                <w:i w:val="0"/>
                <w:iCs w:val="0"/>
                <w:color w:val="auto"/>
                <w:kern w:val="0"/>
                <w:sz w:val="16"/>
                <w:szCs w:val="16"/>
                <w:u w:val="none"/>
                <w:lang w:val="en-US" w:eastAsia="zh-CN" w:bidi="ar"/>
              </w:rPr>
              <w:t>截止2023年底，各地仅开展项目前期工作，资金暂未执行</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566"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98"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时效指标</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en-US" w:bidi="ar"/>
              </w:rPr>
              <w:t>救灾资金下达到自治区3个月内预算执行</w:t>
            </w:r>
            <w:r>
              <w:rPr>
                <w:rFonts w:hint="default" w:ascii="Times New Roman" w:hAnsi="Times New Roman" w:eastAsia="宋体" w:cs="Times New Roman"/>
                <w:i w:val="0"/>
                <w:iCs w:val="0"/>
                <w:color w:val="auto"/>
                <w:kern w:val="0"/>
                <w:sz w:val="16"/>
                <w:szCs w:val="16"/>
                <w:u w:val="none"/>
                <w:lang w:val="en-US" w:eastAsia="zh-CN" w:bidi="ar"/>
              </w:rPr>
              <w:t>率</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en-US" w:bidi="ar"/>
              </w:rPr>
            </w:pPr>
            <w:r>
              <w:rPr>
                <w:rFonts w:hint="default"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en-US" w:bidi="ar"/>
              </w:rPr>
              <w:t>80%</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0</w:t>
            </w:r>
          </w:p>
        </w:tc>
        <w:tc>
          <w:tcPr>
            <w:tcW w:w="145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sz w:val="16"/>
                <w:szCs w:val="16"/>
                <w:u w:val="none"/>
              </w:rPr>
            </w:pPr>
            <w:r>
              <w:rPr>
                <w:rFonts w:hint="eastAsia" w:ascii="Times New Roman" w:hAnsi="Times New Roman" w:eastAsia="宋体" w:cs="Times New Roman"/>
                <w:i w:val="0"/>
                <w:iCs w:val="0"/>
                <w:color w:val="auto"/>
                <w:kern w:val="0"/>
                <w:sz w:val="16"/>
                <w:szCs w:val="16"/>
                <w:u w:val="none"/>
                <w:lang w:val="en-US" w:eastAsia="zh-CN" w:bidi="ar"/>
              </w:rPr>
              <w:t>2023年12月15日财政部下达</w:t>
            </w:r>
            <w:r>
              <w:rPr>
                <w:rFonts w:hint="default" w:ascii="Times New Roman" w:hAnsi="Times New Roman" w:eastAsia="宋体" w:cs="Times New Roman"/>
                <w:i w:val="0"/>
                <w:iCs w:val="0"/>
                <w:color w:val="auto"/>
                <w:kern w:val="0"/>
                <w:sz w:val="16"/>
                <w:szCs w:val="16"/>
                <w:u w:val="none"/>
                <w:lang w:val="en-US" w:eastAsia="zh-CN" w:bidi="ar"/>
              </w:rPr>
              <w:t>农业防灾减灾和水利救灾资金（防灾救灾第十一批）</w:t>
            </w:r>
            <w:r>
              <w:rPr>
                <w:rFonts w:hint="eastAsia" w:ascii="Times New Roman" w:hAnsi="Times New Roman" w:eastAsia="宋体" w:cs="Times New Roman"/>
                <w:i w:val="0"/>
                <w:iCs w:val="0"/>
                <w:color w:val="auto"/>
                <w:kern w:val="0"/>
                <w:sz w:val="16"/>
                <w:szCs w:val="16"/>
                <w:u w:val="none"/>
                <w:lang w:val="en-US" w:eastAsia="zh-CN" w:bidi="ar"/>
              </w:rPr>
              <w:t>9620万元，</w:t>
            </w:r>
            <w:r>
              <w:rPr>
                <w:rFonts w:hint="default" w:ascii="Times New Roman" w:hAnsi="Times New Roman" w:eastAsia="宋体" w:cs="Times New Roman"/>
                <w:i w:val="0"/>
                <w:iCs w:val="0"/>
                <w:color w:val="auto"/>
                <w:kern w:val="0"/>
                <w:sz w:val="16"/>
                <w:szCs w:val="16"/>
                <w:u w:val="none"/>
                <w:lang w:val="en-US" w:eastAsia="zh-CN" w:bidi="ar"/>
              </w:rPr>
              <w:t>2023年12月29日，</w:t>
            </w:r>
            <w:r>
              <w:rPr>
                <w:rFonts w:hint="eastAsia" w:ascii="Times New Roman" w:hAnsi="Times New Roman" w:eastAsia="宋体" w:cs="Times New Roman"/>
                <w:i w:val="0"/>
                <w:iCs w:val="0"/>
                <w:color w:val="auto"/>
                <w:kern w:val="0"/>
                <w:sz w:val="16"/>
                <w:szCs w:val="16"/>
                <w:u w:val="none"/>
                <w:lang w:val="en-US" w:eastAsia="zh-CN" w:bidi="ar"/>
              </w:rPr>
              <w:t>我区将资金分解下达至</w:t>
            </w:r>
            <w:r>
              <w:rPr>
                <w:rFonts w:hint="default" w:ascii="Times New Roman" w:hAnsi="Times New Roman" w:eastAsia="宋体" w:cs="Times New Roman"/>
                <w:i w:val="0"/>
                <w:iCs w:val="0"/>
                <w:color w:val="auto"/>
                <w:kern w:val="0"/>
                <w:sz w:val="16"/>
                <w:szCs w:val="16"/>
                <w:u w:val="none"/>
                <w:lang w:val="en-US" w:eastAsia="zh-CN" w:bidi="ar"/>
              </w:rPr>
              <w:t>各项目执行县，</w:t>
            </w:r>
            <w:r>
              <w:rPr>
                <w:rFonts w:hint="eastAsia" w:ascii="Times New Roman" w:hAnsi="Times New Roman" w:eastAsia="宋体" w:cs="Times New Roman"/>
                <w:i w:val="0"/>
                <w:iCs w:val="0"/>
                <w:color w:val="auto"/>
                <w:kern w:val="0"/>
                <w:sz w:val="16"/>
                <w:szCs w:val="16"/>
                <w:u w:val="none"/>
                <w:lang w:val="en-US" w:eastAsia="zh-CN" w:bidi="ar"/>
              </w:rPr>
              <w:t>截止2023年底，各地仅开展项目前期工作，资金暂未执行</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566"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98"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成本指标</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en-US" w:bidi="ar"/>
              </w:rPr>
            </w:pPr>
            <w:r>
              <w:rPr>
                <w:rFonts w:hint="default" w:ascii="Times New Roman" w:hAnsi="Times New Roman" w:eastAsia="宋体" w:cs="Times New Roman"/>
                <w:i w:val="0"/>
                <w:iCs w:val="0"/>
                <w:color w:val="auto"/>
                <w:kern w:val="0"/>
                <w:sz w:val="16"/>
                <w:szCs w:val="16"/>
                <w:u w:val="none"/>
                <w:lang w:val="en-US" w:eastAsia="en-US" w:bidi="ar"/>
              </w:rPr>
              <w:t>采购物资或服务价格</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en-US" w:bidi="ar"/>
              </w:rPr>
            </w:pPr>
            <w:r>
              <w:rPr>
                <w:rFonts w:hint="default" w:ascii="Times New Roman" w:hAnsi="Times New Roman" w:eastAsia="宋体" w:cs="Times New Roman"/>
                <w:i w:val="0"/>
                <w:iCs w:val="0"/>
                <w:color w:val="auto"/>
                <w:kern w:val="0"/>
                <w:sz w:val="16"/>
                <w:szCs w:val="16"/>
                <w:u w:val="none"/>
                <w:lang w:val="en-US" w:eastAsia="en-US" w:bidi="ar"/>
              </w:rPr>
              <w:t>不超过市场价格</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0</w:t>
            </w:r>
          </w:p>
        </w:tc>
        <w:tc>
          <w:tcPr>
            <w:tcW w:w="145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sz w:val="16"/>
                <w:szCs w:val="16"/>
                <w:u w:val="none"/>
              </w:rPr>
            </w:pPr>
            <w:r>
              <w:rPr>
                <w:rFonts w:hint="eastAsia" w:ascii="Times New Roman" w:hAnsi="Times New Roman" w:eastAsia="宋体" w:cs="Times New Roman"/>
                <w:i w:val="0"/>
                <w:iCs w:val="0"/>
                <w:color w:val="auto"/>
                <w:kern w:val="0"/>
                <w:sz w:val="16"/>
                <w:szCs w:val="16"/>
                <w:u w:val="none"/>
                <w:lang w:val="en-US" w:eastAsia="zh-CN" w:bidi="ar"/>
              </w:rPr>
              <w:t>2023年12月15日财政部下达</w:t>
            </w:r>
            <w:r>
              <w:rPr>
                <w:rFonts w:hint="default" w:ascii="Times New Roman" w:hAnsi="Times New Roman" w:eastAsia="宋体" w:cs="Times New Roman"/>
                <w:i w:val="0"/>
                <w:iCs w:val="0"/>
                <w:color w:val="auto"/>
                <w:kern w:val="0"/>
                <w:sz w:val="16"/>
                <w:szCs w:val="16"/>
                <w:u w:val="none"/>
                <w:lang w:val="en-US" w:eastAsia="zh-CN" w:bidi="ar"/>
              </w:rPr>
              <w:t>农业防灾减灾和水利救灾资金（防灾救灾第十一批）</w:t>
            </w:r>
            <w:r>
              <w:rPr>
                <w:rFonts w:hint="eastAsia" w:ascii="Times New Roman" w:hAnsi="Times New Roman" w:eastAsia="宋体" w:cs="Times New Roman"/>
                <w:i w:val="0"/>
                <w:iCs w:val="0"/>
                <w:color w:val="auto"/>
                <w:kern w:val="0"/>
                <w:sz w:val="16"/>
                <w:szCs w:val="16"/>
                <w:u w:val="none"/>
                <w:lang w:val="en-US" w:eastAsia="zh-CN" w:bidi="ar"/>
              </w:rPr>
              <w:t>9620万元，</w:t>
            </w:r>
            <w:r>
              <w:rPr>
                <w:rFonts w:hint="default" w:ascii="Times New Roman" w:hAnsi="Times New Roman" w:eastAsia="宋体" w:cs="Times New Roman"/>
                <w:i w:val="0"/>
                <w:iCs w:val="0"/>
                <w:color w:val="auto"/>
                <w:kern w:val="0"/>
                <w:sz w:val="16"/>
                <w:szCs w:val="16"/>
                <w:u w:val="none"/>
                <w:lang w:val="en-US" w:eastAsia="zh-CN" w:bidi="ar"/>
              </w:rPr>
              <w:t>2023年12月29日，</w:t>
            </w:r>
            <w:r>
              <w:rPr>
                <w:rFonts w:hint="eastAsia" w:ascii="Times New Roman" w:hAnsi="Times New Roman" w:eastAsia="宋体" w:cs="Times New Roman"/>
                <w:i w:val="0"/>
                <w:iCs w:val="0"/>
                <w:color w:val="auto"/>
                <w:kern w:val="0"/>
                <w:sz w:val="16"/>
                <w:szCs w:val="16"/>
                <w:u w:val="none"/>
                <w:lang w:val="en-US" w:eastAsia="zh-CN" w:bidi="ar"/>
              </w:rPr>
              <w:t>我区将资金分解下达至</w:t>
            </w:r>
            <w:r>
              <w:rPr>
                <w:rFonts w:hint="default" w:ascii="Times New Roman" w:hAnsi="Times New Roman" w:eastAsia="宋体" w:cs="Times New Roman"/>
                <w:i w:val="0"/>
                <w:iCs w:val="0"/>
                <w:color w:val="auto"/>
                <w:kern w:val="0"/>
                <w:sz w:val="16"/>
                <w:szCs w:val="16"/>
                <w:u w:val="none"/>
                <w:lang w:val="en-US" w:eastAsia="zh-CN" w:bidi="ar"/>
              </w:rPr>
              <w:t>各项目执行县，</w:t>
            </w:r>
            <w:r>
              <w:rPr>
                <w:rFonts w:hint="eastAsia" w:ascii="Times New Roman" w:hAnsi="Times New Roman" w:eastAsia="宋体" w:cs="Times New Roman"/>
                <w:i w:val="0"/>
                <w:iCs w:val="0"/>
                <w:color w:val="auto"/>
                <w:kern w:val="0"/>
                <w:sz w:val="16"/>
                <w:szCs w:val="16"/>
                <w:u w:val="none"/>
                <w:lang w:val="en-US" w:eastAsia="zh-CN" w:bidi="ar"/>
              </w:rPr>
              <w:t>截止2023年底，各地仅开展项目前期工作，资金暂未执行</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566" w:type="pct"/>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效益指标</w:t>
            </w:r>
          </w:p>
        </w:tc>
        <w:tc>
          <w:tcPr>
            <w:tcW w:w="898"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经济效益指标</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en-US" w:bidi="ar"/>
              </w:rPr>
              <w:t>受灾地区主要牲畜存栏量减幅</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en-US" w:bidi="ar"/>
              </w:rPr>
            </w:pPr>
            <w:r>
              <w:rPr>
                <w:rFonts w:hint="default" w:ascii="Times New Roman" w:hAnsi="Times New Roman" w:eastAsia="宋体" w:cs="Times New Roman"/>
                <w:i w:val="0"/>
                <w:iCs w:val="0"/>
                <w:color w:val="auto"/>
                <w:kern w:val="0"/>
                <w:sz w:val="16"/>
                <w:szCs w:val="16"/>
                <w:u w:val="none"/>
                <w:lang w:val="en-US" w:eastAsia="en-US" w:bidi="ar"/>
              </w:rPr>
              <w:t>重灾区少减产,轻灾区不减产</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0</w:t>
            </w:r>
          </w:p>
        </w:tc>
        <w:tc>
          <w:tcPr>
            <w:tcW w:w="145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sz w:val="16"/>
                <w:szCs w:val="16"/>
                <w:u w:val="none"/>
              </w:rPr>
            </w:pPr>
            <w:r>
              <w:rPr>
                <w:rFonts w:hint="eastAsia" w:ascii="Times New Roman" w:hAnsi="Times New Roman" w:eastAsia="宋体" w:cs="Times New Roman"/>
                <w:i w:val="0"/>
                <w:iCs w:val="0"/>
                <w:color w:val="auto"/>
                <w:kern w:val="0"/>
                <w:sz w:val="16"/>
                <w:szCs w:val="16"/>
                <w:u w:val="none"/>
                <w:lang w:val="en-US" w:eastAsia="zh-CN" w:bidi="ar"/>
              </w:rPr>
              <w:t>2023年12月15日财政部下达</w:t>
            </w:r>
            <w:r>
              <w:rPr>
                <w:rFonts w:hint="default" w:ascii="Times New Roman" w:hAnsi="Times New Roman" w:eastAsia="宋体" w:cs="Times New Roman"/>
                <w:i w:val="0"/>
                <w:iCs w:val="0"/>
                <w:color w:val="auto"/>
                <w:kern w:val="0"/>
                <w:sz w:val="16"/>
                <w:szCs w:val="16"/>
                <w:u w:val="none"/>
                <w:lang w:val="en-US" w:eastAsia="zh-CN" w:bidi="ar"/>
              </w:rPr>
              <w:t>农业防灾减灾和水利救灾资金（防灾救灾第十一批）</w:t>
            </w:r>
            <w:r>
              <w:rPr>
                <w:rFonts w:hint="eastAsia" w:ascii="Times New Roman" w:hAnsi="Times New Roman" w:eastAsia="宋体" w:cs="Times New Roman"/>
                <w:i w:val="0"/>
                <w:iCs w:val="0"/>
                <w:color w:val="auto"/>
                <w:kern w:val="0"/>
                <w:sz w:val="16"/>
                <w:szCs w:val="16"/>
                <w:u w:val="none"/>
                <w:lang w:val="en-US" w:eastAsia="zh-CN" w:bidi="ar"/>
              </w:rPr>
              <w:t>9620万元，</w:t>
            </w:r>
            <w:r>
              <w:rPr>
                <w:rFonts w:hint="default" w:ascii="Times New Roman" w:hAnsi="Times New Roman" w:eastAsia="宋体" w:cs="Times New Roman"/>
                <w:i w:val="0"/>
                <w:iCs w:val="0"/>
                <w:color w:val="auto"/>
                <w:kern w:val="0"/>
                <w:sz w:val="16"/>
                <w:szCs w:val="16"/>
                <w:u w:val="none"/>
                <w:lang w:val="en-US" w:eastAsia="zh-CN" w:bidi="ar"/>
              </w:rPr>
              <w:t>2023年12月29日，</w:t>
            </w:r>
            <w:r>
              <w:rPr>
                <w:rFonts w:hint="eastAsia" w:ascii="Times New Roman" w:hAnsi="Times New Roman" w:eastAsia="宋体" w:cs="Times New Roman"/>
                <w:i w:val="0"/>
                <w:iCs w:val="0"/>
                <w:color w:val="auto"/>
                <w:kern w:val="0"/>
                <w:sz w:val="16"/>
                <w:szCs w:val="16"/>
                <w:u w:val="none"/>
                <w:lang w:val="en-US" w:eastAsia="zh-CN" w:bidi="ar"/>
              </w:rPr>
              <w:t>我区将资金分解下达至</w:t>
            </w:r>
            <w:r>
              <w:rPr>
                <w:rFonts w:hint="default" w:ascii="Times New Roman" w:hAnsi="Times New Roman" w:eastAsia="宋体" w:cs="Times New Roman"/>
                <w:i w:val="0"/>
                <w:iCs w:val="0"/>
                <w:color w:val="auto"/>
                <w:kern w:val="0"/>
                <w:sz w:val="16"/>
                <w:szCs w:val="16"/>
                <w:u w:val="none"/>
                <w:lang w:val="en-US" w:eastAsia="zh-CN" w:bidi="ar"/>
              </w:rPr>
              <w:t>各项目执行县，</w:t>
            </w:r>
            <w:r>
              <w:rPr>
                <w:rFonts w:hint="eastAsia" w:ascii="Times New Roman" w:hAnsi="Times New Roman" w:eastAsia="宋体" w:cs="Times New Roman"/>
                <w:i w:val="0"/>
                <w:iCs w:val="0"/>
                <w:color w:val="auto"/>
                <w:kern w:val="0"/>
                <w:sz w:val="16"/>
                <w:szCs w:val="16"/>
                <w:u w:val="none"/>
                <w:lang w:val="en-US" w:eastAsia="zh-CN" w:bidi="ar"/>
              </w:rPr>
              <w:t>截止2023年底，各地仅开展项目前期工作，资金暂未执行</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566"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98"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社会效益指标</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en-US" w:bidi="ar"/>
              </w:rPr>
              <w:t>灾区畜牧业生产秩序恢复</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en-US" w:bidi="ar"/>
              </w:rPr>
            </w:pPr>
            <w:r>
              <w:rPr>
                <w:rFonts w:hint="default" w:ascii="Times New Roman" w:hAnsi="Times New Roman" w:eastAsia="宋体" w:cs="Times New Roman"/>
                <w:i w:val="0"/>
                <w:iCs w:val="0"/>
                <w:color w:val="auto"/>
                <w:kern w:val="0"/>
                <w:sz w:val="16"/>
                <w:szCs w:val="16"/>
                <w:u w:val="none"/>
                <w:lang w:val="en-US" w:eastAsia="en-US" w:bidi="ar"/>
              </w:rPr>
              <w:t>基本恢复</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0</w:t>
            </w:r>
          </w:p>
        </w:tc>
        <w:tc>
          <w:tcPr>
            <w:tcW w:w="145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sz w:val="16"/>
                <w:szCs w:val="16"/>
                <w:u w:val="none"/>
                <w:lang w:val="en-US" w:eastAsia="zh-CN"/>
              </w:rPr>
            </w:pPr>
            <w:r>
              <w:rPr>
                <w:rFonts w:hint="eastAsia" w:ascii="Times New Roman" w:hAnsi="Times New Roman" w:eastAsia="宋体" w:cs="Times New Roman"/>
                <w:i w:val="0"/>
                <w:iCs w:val="0"/>
                <w:color w:val="auto"/>
                <w:kern w:val="0"/>
                <w:sz w:val="16"/>
                <w:szCs w:val="16"/>
                <w:u w:val="none"/>
                <w:lang w:val="en-US" w:eastAsia="zh-CN" w:bidi="ar"/>
              </w:rPr>
              <w:t>2023年12月15日财政部下达</w:t>
            </w:r>
            <w:r>
              <w:rPr>
                <w:rFonts w:hint="default" w:ascii="Times New Roman" w:hAnsi="Times New Roman" w:eastAsia="宋体" w:cs="Times New Roman"/>
                <w:i w:val="0"/>
                <w:iCs w:val="0"/>
                <w:color w:val="auto"/>
                <w:kern w:val="0"/>
                <w:sz w:val="16"/>
                <w:szCs w:val="16"/>
                <w:u w:val="none"/>
                <w:lang w:val="en-US" w:eastAsia="zh-CN" w:bidi="ar"/>
              </w:rPr>
              <w:t>农业防灾减灾和水利救灾资金（防灾救灾第十一批）</w:t>
            </w:r>
            <w:r>
              <w:rPr>
                <w:rFonts w:hint="eastAsia" w:ascii="Times New Roman" w:hAnsi="Times New Roman" w:eastAsia="宋体" w:cs="Times New Roman"/>
                <w:i w:val="0"/>
                <w:iCs w:val="0"/>
                <w:color w:val="auto"/>
                <w:kern w:val="0"/>
                <w:sz w:val="16"/>
                <w:szCs w:val="16"/>
                <w:u w:val="none"/>
                <w:lang w:val="en-US" w:eastAsia="zh-CN" w:bidi="ar"/>
              </w:rPr>
              <w:t>9620万元，</w:t>
            </w:r>
            <w:r>
              <w:rPr>
                <w:rFonts w:hint="default" w:ascii="Times New Roman" w:hAnsi="Times New Roman" w:eastAsia="宋体" w:cs="Times New Roman"/>
                <w:i w:val="0"/>
                <w:iCs w:val="0"/>
                <w:color w:val="auto"/>
                <w:kern w:val="0"/>
                <w:sz w:val="16"/>
                <w:szCs w:val="16"/>
                <w:u w:val="none"/>
                <w:lang w:val="en-US" w:eastAsia="zh-CN" w:bidi="ar"/>
              </w:rPr>
              <w:t>2023年12月29日，</w:t>
            </w:r>
            <w:r>
              <w:rPr>
                <w:rFonts w:hint="eastAsia" w:ascii="Times New Roman" w:hAnsi="Times New Roman" w:eastAsia="宋体" w:cs="Times New Roman"/>
                <w:i w:val="0"/>
                <w:iCs w:val="0"/>
                <w:color w:val="auto"/>
                <w:kern w:val="0"/>
                <w:sz w:val="16"/>
                <w:szCs w:val="16"/>
                <w:u w:val="none"/>
                <w:lang w:val="en-US" w:eastAsia="zh-CN" w:bidi="ar"/>
              </w:rPr>
              <w:t>我区将资金分解下达至</w:t>
            </w:r>
            <w:r>
              <w:rPr>
                <w:rFonts w:hint="default" w:ascii="Times New Roman" w:hAnsi="Times New Roman" w:eastAsia="宋体" w:cs="Times New Roman"/>
                <w:i w:val="0"/>
                <w:iCs w:val="0"/>
                <w:color w:val="auto"/>
                <w:kern w:val="0"/>
                <w:sz w:val="16"/>
                <w:szCs w:val="16"/>
                <w:u w:val="none"/>
                <w:lang w:val="en-US" w:eastAsia="zh-CN" w:bidi="ar"/>
              </w:rPr>
              <w:t>各项目执行县，</w:t>
            </w:r>
            <w:r>
              <w:rPr>
                <w:rFonts w:hint="eastAsia" w:ascii="Times New Roman" w:hAnsi="Times New Roman" w:eastAsia="宋体" w:cs="Times New Roman"/>
                <w:i w:val="0"/>
                <w:iCs w:val="0"/>
                <w:color w:val="auto"/>
                <w:kern w:val="0"/>
                <w:sz w:val="16"/>
                <w:szCs w:val="16"/>
                <w:u w:val="none"/>
                <w:lang w:val="en-US" w:eastAsia="zh-CN" w:bidi="ar"/>
              </w:rPr>
              <w:t>截止2023年底，各地仅开展项目前期工作，资金暂未执行</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566"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98"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eastAsia="zh-CN"/>
              </w:rPr>
            </w:pPr>
            <w:r>
              <w:rPr>
                <w:rFonts w:hint="default" w:ascii="Times New Roman" w:hAnsi="Times New Roman" w:eastAsia="宋体" w:cs="Times New Roman"/>
                <w:i w:val="0"/>
                <w:iCs w:val="0"/>
                <w:color w:val="auto"/>
                <w:sz w:val="16"/>
                <w:szCs w:val="16"/>
                <w:u w:val="none"/>
                <w:lang w:val="en-US" w:eastAsia="zh-CN"/>
              </w:rPr>
              <w:t>生态效益指标</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en-US" w:bidi="ar"/>
              </w:rPr>
              <w:t>灾区畜牧业生产能力恢复</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en-US" w:bidi="ar"/>
              </w:rPr>
            </w:pPr>
            <w:r>
              <w:rPr>
                <w:rFonts w:hint="default" w:ascii="Times New Roman" w:hAnsi="Times New Roman" w:eastAsia="宋体" w:cs="Times New Roman"/>
                <w:i w:val="0"/>
                <w:iCs w:val="0"/>
                <w:color w:val="auto"/>
                <w:kern w:val="0"/>
                <w:sz w:val="16"/>
                <w:szCs w:val="16"/>
                <w:u w:val="none"/>
                <w:lang w:val="en-US" w:eastAsia="en-US" w:bidi="ar"/>
              </w:rPr>
              <w:t>基本恢复</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0</w:t>
            </w:r>
          </w:p>
        </w:tc>
        <w:tc>
          <w:tcPr>
            <w:tcW w:w="145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sz w:val="16"/>
                <w:szCs w:val="16"/>
                <w:u w:val="none"/>
              </w:rPr>
            </w:pPr>
            <w:r>
              <w:rPr>
                <w:rFonts w:hint="eastAsia" w:ascii="Times New Roman" w:hAnsi="Times New Roman" w:eastAsia="宋体" w:cs="Times New Roman"/>
                <w:i w:val="0"/>
                <w:iCs w:val="0"/>
                <w:color w:val="auto"/>
                <w:kern w:val="0"/>
                <w:sz w:val="16"/>
                <w:szCs w:val="16"/>
                <w:u w:val="none"/>
                <w:lang w:val="en-US" w:eastAsia="zh-CN" w:bidi="ar"/>
              </w:rPr>
              <w:t>2023年12月15日财政部下达</w:t>
            </w:r>
            <w:r>
              <w:rPr>
                <w:rFonts w:hint="default" w:ascii="Times New Roman" w:hAnsi="Times New Roman" w:eastAsia="宋体" w:cs="Times New Roman"/>
                <w:i w:val="0"/>
                <w:iCs w:val="0"/>
                <w:color w:val="auto"/>
                <w:kern w:val="0"/>
                <w:sz w:val="16"/>
                <w:szCs w:val="16"/>
                <w:u w:val="none"/>
                <w:lang w:val="en-US" w:eastAsia="zh-CN" w:bidi="ar"/>
              </w:rPr>
              <w:t>农业防灾减灾和水利救灾资金（防灾救灾第十一批）</w:t>
            </w:r>
            <w:r>
              <w:rPr>
                <w:rFonts w:hint="eastAsia" w:ascii="Times New Roman" w:hAnsi="Times New Roman" w:eastAsia="宋体" w:cs="Times New Roman"/>
                <w:i w:val="0"/>
                <w:iCs w:val="0"/>
                <w:color w:val="auto"/>
                <w:kern w:val="0"/>
                <w:sz w:val="16"/>
                <w:szCs w:val="16"/>
                <w:u w:val="none"/>
                <w:lang w:val="en-US" w:eastAsia="zh-CN" w:bidi="ar"/>
              </w:rPr>
              <w:t>9620万元，</w:t>
            </w:r>
            <w:r>
              <w:rPr>
                <w:rFonts w:hint="default" w:ascii="Times New Roman" w:hAnsi="Times New Roman" w:eastAsia="宋体" w:cs="Times New Roman"/>
                <w:i w:val="0"/>
                <w:iCs w:val="0"/>
                <w:color w:val="auto"/>
                <w:kern w:val="0"/>
                <w:sz w:val="16"/>
                <w:szCs w:val="16"/>
                <w:u w:val="none"/>
                <w:lang w:val="en-US" w:eastAsia="zh-CN" w:bidi="ar"/>
              </w:rPr>
              <w:t>2023年12月29日，</w:t>
            </w:r>
            <w:r>
              <w:rPr>
                <w:rFonts w:hint="eastAsia" w:ascii="Times New Roman" w:hAnsi="Times New Roman" w:eastAsia="宋体" w:cs="Times New Roman"/>
                <w:i w:val="0"/>
                <w:iCs w:val="0"/>
                <w:color w:val="auto"/>
                <w:kern w:val="0"/>
                <w:sz w:val="16"/>
                <w:szCs w:val="16"/>
                <w:u w:val="none"/>
                <w:lang w:val="en-US" w:eastAsia="zh-CN" w:bidi="ar"/>
              </w:rPr>
              <w:t>我区将资金分解下达至</w:t>
            </w:r>
            <w:r>
              <w:rPr>
                <w:rFonts w:hint="default" w:ascii="Times New Roman" w:hAnsi="Times New Roman" w:eastAsia="宋体" w:cs="Times New Roman"/>
                <w:i w:val="0"/>
                <w:iCs w:val="0"/>
                <w:color w:val="auto"/>
                <w:kern w:val="0"/>
                <w:sz w:val="16"/>
                <w:szCs w:val="16"/>
                <w:u w:val="none"/>
                <w:lang w:val="en-US" w:eastAsia="zh-CN" w:bidi="ar"/>
              </w:rPr>
              <w:t>各项目执行县，</w:t>
            </w:r>
            <w:r>
              <w:rPr>
                <w:rFonts w:hint="eastAsia" w:ascii="Times New Roman" w:hAnsi="Times New Roman" w:eastAsia="宋体" w:cs="Times New Roman"/>
                <w:i w:val="0"/>
                <w:iCs w:val="0"/>
                <w:color w:val="auto"/>
                <w:kern w:val="0"/>
                <w:sz w:val="16"/>
                <w:szCs w:val="16"/>
                <w:u w:val="none"/>
                <w:lang w:val="en-US" w:eastAsia="zh-CN" w:bidi="ar"/>
              </w:rPr>
              <w:t>截止2023年底，各地仅开展项目前期工作，资金暂未执行</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566"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98" w:type="pct"/>
            <w:gridSpan w:val="2"/>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可持续影响指标</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en-US" w:bidi="ar"/>
              </w:rPr>
              <w:t>稳定农</w:t>
            </w:r>
            <w:r>
              <w:rPr>
                <w:rFonts w:hint="eastAsia"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en-US" w:bidi="ar"/>
              </w:rPr>
              <w:t>牧</w:t>
            </w:r>
            <w:r>
              <w:rPr>
                <w:rFonts w:hint="eastAsia"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en-US" w:bidi="ar"/>
              </w:rPr>
              <w:t>民生产积极性</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en-US" w:bidi="ar"/>
              </w:rPr>
            </w:pPr>
            <w:r>
              <w:rPr>
                <w:rFonts w:hint="default" w:ascii="Times New Roman" w:hAnsi="Times New Roman" w:eastAsia="宋体" w:cs="Times New Roman"/>
                <w:i w:val="0"/>
                <w:iCs w:val="0"/>
                <w:color w:val="auto"/>
                <w:kern w:val="0"/>
                <w:sz w:val="16"/>
                <w:szCs w:val="16"/>
                <w:u w:val="none"/>
                <w:lang w:val="en-US" w:eastAsia="en-US" w:bidi="ar"/>
              </w:rPr>
              <w:t>保持稳定</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0</w:t>
            </w:r>
          </w:p>
        </w:tc>
        <w:tc>
          <w:tcPr>
            <w:tcW w:w="145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sz w:val="16"/>
                <w:szCs w:val="16"/>
                <w:u w:val="none"/>
              </w:rPr>
            </w:pPr>
            <w:r>
              <w:rPr>
                <w:rFonts w:hint="eastAsia" w:ascii="Times New Roman" w:hAnsi="Times New Roman" w:eastAsia="宋体" w:cs="Times New Roman"/>
                <w:i w:val="0"/>
                <w:iCs w:val="0"/>
                <w:color w:val="auto"/>
                <w:kern w:val="0"/>
                <w:sz w:val="16"/>
                <w:szCs w:val="16"/>
                <w:u w:val="none"/>
                <w:lang w:val="en-US" w:eastAsia="zh-CN" w:bidi="ar"/>
              </w:rPr>
              <w:t>2023年12月15日财政部下达</w:t>
            </w:r>
            <w:r>
              <w:rPr>
                <w:rFonts w:hint="default" w:ascii="Times New Roman" w:hAnsi="Times New Roman" w:eastAsia="宋体" w:cs="Times New Roman"/>
                <w:i w:val="0"/>
                <w:iCs w:val="0"/>
                <w:color w:val="auto"/>
                <w:kern w:val="0"/>
                <w:sz w:val="16"/>
                <w:szCs w:val="16"/>
                <w:u w:val="none"/>
                <w:lang w:val="en-US" w:eastAsia="zh-CN" w:bidi="ar"/>
              </w:rPr>
              <w:t>农业防灾减灾和水利救灾资金（防灾救灾第十一批）</w:t>
            </w:r>
            <w:r>
              <w:rPr>
                <w:rFonts w:hint="eastAsia" w:ascii="Times New Roman" w:hAnsi="Times New Roman" w:eastAsia="宋体" w:cs="Times New Roman"/>
                <w:i w:val="0"/>
                <w:iCs w:val="0"/>
                <w:color w:val="auto"/>
                <w:kern w:val="0"/>
                <w:sz w:val="16"/>
                <w:szCs w:val="16"/>
                <w:u w:val="none"/>
                <w:lang w:val="en-US" w:eastAsia="zh-CN" w:bidi="ar"/>
              </w:rPr>
              <w:t>9620万元，</w:t>
            </w:r>
            <w:r>
              <w:rPr>
                <w:rFonts w:hint="default" w:ascii="Times New Roman" w:hAnsi="Times New Roman" w:eastAsia="宋体" w:cs="Times New Roman"/>
                <w:i w:val="0"/>
                <w:iCs w:val="0"/>
                <w:color w:val="auto"/>
                <w:kern w:val="0"/>
                <w:sz w:val="16"/>
                <w:szCs w:val="16"/>
                <w:u w:val="none"/>
                <w:lang w:val="en-US" w:eastAsia="zh-CN" w:bidi="ar"/>
              </w:rPr>
              <w:t>2023年12月29日，</w:t>
            </w:r>
            <w:r>
              <w:rPr>
                <w:rFonts w:hint="eastAsia" w:ascii="Times New Roman" w:hAnsi="Times New Roman" w:eastAsia="宋体" w:cs="Times New Roman"/>
                <w:i w:val="0"/>
                <w:iCs w:val="0"/>
                <w:color w:val="auto"/>
                <w:kern w:val="0"/>
                <w:sz w:val="16"/>
                <w:szCs w:val="16"/>
                <w:u w:val="none"/>
                <w:lang w:val="en-US" w:eastAsia="zh-CN" w:bidi="ar"/>
              </w:rPr>
              <w:t>我区将资金分解下达至</w:t>
            </w:r>
            <w:r>
              <w:rPr>
                <w:rFonts w:hint="default" w:ascii="Times New Roman" w:hAnsi="Times New Roman" w:eastAsia="宋体" w:cs="Times New Roman"/>
                <w:i w:val="0"/>
                <w:iCs w:val="0"/>
                <w:color w:val="auto"/>
                <w:kern w:val="0"/>
                <w:sz w:val="16"/>
                <w:szCs w:val="16"/>
                <w:u w:val="none"/>
                <w:lang w:val="en-US" w:eastAsia="zh-CN" w:bidi="ar"/>
              </w:rPr>
              <w:t>各项目执行县，</w:t>
            </w:r>
            <w:r>
              <w:rPr>
                <w:rFonts w:hint="eastAsia" w:ascii="Times New Roman" w:hAnsi="Times New Roman" w:eastAsia="宋体" w:cs="Times New Roman"/>
                <w:i w:val="0"/>
                <w:iCs w:val="0"/>
                <w:color w:val="auto"/>
                <w:kern w:val="0"/>
                <w:sz w:val="16"/>
                <w:szCs w:val="16"/>
                <w:u w:val="none"/>
                <w:lang w:val="en-US" w:eastAsia="zh-CN" w:bidi="ar"/>
              </w:rPr>
              <w:t>截止2023年底，各地仅开展项目前期工作，资金暂未执行</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566" w:type="pct"/>
            <w:vMerge w:val="continue"/>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898" w:type="pct"/>
            <w:gridSpan w:val="2"/>
            <w:vMerge w:val="continue"/>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en-US" w:bidi="ar"/>
              </w:rPr>
              <w:t>保证主要</w:t>
            </w:r>
            <w:r>
              <w:rPr>
                <w:rFonts w:hint="default" w:ascii="Times New Roman" w:hAnsi="Times New Roman" w:eastAsia="宋体" w:cs="Times New Roman"/>
                <w:i w:val="0"/>
                <w:iCs w:val="0"/>
                <w:color w:val="auto"/>
                <w:kern w:val="0"/>
                <w:sz w:val="16"/>
                <w:szCs w:val="16"/>
                <w:u w:val="none"/>
                <w:lang w:val="en-US" w:eastAsia="zh-CN" w:bidi="ar"/>
              </w:rPr>
              <w:t>畜</w:t>
            </w:r>
            <w:r>
              <w:rPr>
                <w:rFonts w:hint="default" w:ascii="Times New Roman" w:hAnsi="Times New Roman" w:eastAsia="宋体" w:cs="Times New Roman"/>
                <w:i w:val="0"/>
                <w:iCs w:val="0"/>
                <w:color w:val="auto"/>
                <w:kern w:val="0"/>
                <w:sz w:val="16"/>
                <w:szCs w:val="16"/>
                <w:u w:val="none"/>
                <w:lang w:val="en-US" w:eastAsia="en-US" w:bidi="ar"/>
              </w:rPr>
              <w:t>禽存栏量稳定</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en-US" w:bidi="ar"/>
              </w:rPr>
            </w:pPr>
            <w:r>
              <w:rPr>
                <w:rFonts w:hint="default" w:ascii="Times New Roman" w:hAnsi="Times New Roman" w:eastAsia="宋体" w:cs="Times New Roman"/>
                <w:i w:val="0"/>
                <w:iCs w:val="0"/>
                <w:color w:val="auto"/>
                <w:kern w:val="0"/>
                <w:sz w:val="16"/>
                <w:szCs w:val="16"/>
                <w:u w:val="none"/>
                <w:lang w:val="en-US" w:eastAsia="en-US" w:bidi="ar"/>
              </w:rPr>
              <w:t>保持稳定</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0</w:t>
            </w:r>
          </w:p>
        </w:tc>
        <w:tc>
          <w:tcPr>
            <w:tcW w:w="145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sz w:val="16"/>
                <w:szCs w:val="16"/>
                <w:u w:val="none"/>
              </w:rPr>
            </w:pPr>
            <w:r>
              <w:rPr>
                <w:rFonts w:hint="eastAsia" w:ascii="Times New Roman" w:hAnsi="Times New Roman" w:eastAsia="宋体" w:cs="Times New Roman"/>
                <w:i w:val="0"/>
                <w:iCs w:val="0"/>
                <w:color w:val="auto"/>
                <w:kern w:val="0"/>
                <w:sz w:val="16"/>
                <w:szCs w:val="16"/>
                <w:u w:val="none"/>
                <w:lang w:val="en-US" w:eastAsia="zh-CN" w:bidi="ar"/>
              </w:rPr>
              <w:t>2023年12月15日财政部下达</w:t>
            </w:r>
            <w:r>
              <w:rPr>
                <w:rFonts w:hint="default" w:ascii="Times New Roman" w:hAnsi="Times New Roman" w:eastAsia="宋体" w:cs="Times New Roman"/>
                <w:i w:val="0"/>
                <w:iCs w:val="0"/>
                <w:color w:val="auto"/>
                <w:kern w:val="0"/>
                <w:sz w:val="16"/>
                <w:szCs w:val="16"/>
                <w:u w:val="none"/>
                <w:lang w:val="en-US" w:eastAsia="zh-CN" w:bidi="ar"/>
              </w:rPr>
              <w:t>农业防灾减灾和水利救灾资金（防灾救灾第十一批）</w:t>
            </w:r>
            <w:r>
              <w:rPr>
                <w:rFonts w:hint="eastAsia" w:ascii="Times New Roman" w:hAnsi="Times New Roman" w:eastAsia="宋体" w:cs="Times New Roman"/>
                <w:i w:val="0"/>
                <w:iCs w:val="0"/>
                <w:color w:val="auto"/>
                <w:kern w:val="0"/>
                <w:sz w:val="16"/>
                <w:szCs w:val="16"/>
                <w:u w:val="none"/>
                <w:lang w:val="en-US" w:eastAsia="zh-CN" w:bidi="ar"/>
              </w:rPr>
              <w:t>9620万元，</w:t>
            </w:r>
            <w:r>
              <w:rPr>
                <w:rFonts w:hint="default" w:ascii="Times New Roman" w:hAnsi="Times New Roman" w:eastAsia="宋体" w:cs="Times New Roman"/>
                <w:i w:val="0"/>
                <w:iCs w:val="0"/>
                <w:color w:val="auto"/>
                <w:kern w:val="0"/>
                <w:sz w:val="16"/>
                <w:szCs w:val="16"/>
                <w:u w:val="none"/>
                <w:lang w:val="en-US" w:eastAsia="zh-CN" w:bidi="ar"/>
              </w:rPr>
              <w:t>2023年12月29日，</w:t>
            </w:r>
            <w:r>
              <w:rPr>
                <w:rFonts w:hint="eastAsia" w:ascii="Times New Roman" w:hAnsi="Times New Roman" w:eastAsia="宋体" w:cs="Times New Roman"/>
                <w:i w:val="0"/>
                <w:iCs w:val="0"/>
                <w:color w:val="auto"/>
                <w:kern w:val="0"/>
                <w:sz w:val="16"/>
                <w:szCs w:val="16"/>
                <w:u w:val="none"/>
                <w:lang w:val="en-US" w:eastAsia="zh-CN" w:bidi="ar"/>
              </w:rPr>
              <w:t>我区将资金分解下达至</w:t>
            </w:r>
            <w:r>
              <w:rPr>
                <w:rFonts w:hint="default" w:ascii="Times New Roman" w:hAnsi="Times New Roman" w:eastAsia="宋体" w:cs="Times New Roman"/>
                <w:i w:val="0"/>
                <w:iCs w:val="0"/>
                <w:color w:val="auto"/>
                <w:kern w:val="0"/>
                <w:sz w:val="16"/>
                <w:szCs w:val="16"/>
                <w:u w:val="none"/>
                <w:lang w:val="en-US" w:eastAsia="zh-CN" w:bidi="ar"/>
              </w:rPr>
              <w:t>各项目执行县，</w:t>
            </w:r>
            <w:r>
              <w:rPr>
                <w:rFonts w:hint="eastAsia" w:ascii="Times New Roman" w:hAnsi="Times New Roman" w:eastAsia="宋体" w:cs="Times New Roman"/>
                <w:i w:val="0"/>
                <w:iCs w:val="0"/>
                <w:color w:val="auto"/>
                <w:kern w:val="0"/>
                <w:sz w:val="16"/>
                <w:szCs w:val="16"/>
                <w:u w:val="none"/>
                <w:lang w:val="en-US" w:eastAsia="zh-CN" w:bidi="ar"/>
              </w:rPr>
              <w:t>截止2023年底，各地仅开展项目前期工作，资金暂未执行</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372" w:type="pct"/>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5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rPr>
            </w:pPr>
            <w:r>
              <w:rPr>
                <w:rFonts w:hint="default" w:ascii="Times New Roman" w:hAnsi="Times New Roman" w:eastAsia="宋体" w:cs="Times New Roman"/>
                <w:i w:val="0"/>
                <w:iCs w:val="0"/>
                <w:color w:val="auto"/>
                <w:kern w:val="0"/>
                <w:sz w:val="16"/>
                <w:szCs w:val="16"/>
                <w:u w:val="none"/>
                <w:lang w:val="en-US" w:eastAsia="zh-CN" w:bidi="ar"/>
              </w:rPr>
              <w:t>满意度指标</w:t>
            </w:r>
          </w:p>
        </w:tc>
        <w:tc>
          <w:tcPr>
            <w:tcW w:w="898" w:type="pct"/>
            <w:gridSpan w:val="2"/>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服务对象满意度指标</w:t>
            </w:r>
          </w:p>
        </w:tc>
        <w:tc>
          <w:tcPr>
            <w:tcW w:w="7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en-US" w:bidi="ar"/>
              </w:rPr>
              <w:t>指导服务对象满意度</w:t>
            </w:r>
          </w:p>
        </w:tc>
        <w:tc>
          <w:tcPr>
            <w:tcW w:w="50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en-US" w:bidi="ar"/>
              </w:rPr>
            </w:pPr>
            <w:r>
              <w:rPr>
                <w:rFonts w:hint="default" w:ascii="Times New Roman" w:hAnsi="Times New Roman" w:eastAsia="宋体" w:cs="Times New Roman"/>
                <w:i w:val="0"/>
                <w:iCs w:val="0"/>
                <w:color w:val="auto"/>
                <w:kern w:val="0"/>
                <w:sz w:val="16"/>
                <w:szCs w:val="16"/>
                <w:u w:val="none"/>
                <w:lang w:val="en-US" w:eastAsia="zh-CN" w:bidi="ar"/>
              </w:rPr>
              <w:t>＞</w:t>
            </w:r>
            <w:r>
              <w:rPr>
                <w:rFonts w:hint="default" w:ascii="Times New Roman" w:hAnsi="Times New Roman" w:eastAsia="宋体" w:cs="Times New Roman"/>
                <w:i w:val="0"/>
                <w:iCs w:val="0"/>
                <w:color w:val="auto"/>
                <w:kern w:val="0"/>
                <w:sz w:val="16"/>
                <w:szCs w:val="16"/>
                <w:u w:val="none"/>
                <w:lang w:val="en-US" w:eastAsia="en-US" w:bidi="ar"/>
              </w:rPr>
              <w:t>8</w:t>
            </w:r>
            <w:r>
              <w:rPr>
                <w:rFonts w:hint="default" w:ascii="Times New Roman" w:hAnsi="Times New Roman" w:eastAsia="宋体" w:cs="Times New Roman"/>
                <w:i w:val="0"/>
                <w:iCs w:val="0"/>
                <w:color w:val="auto"/>
                <w:kern w:val="0"/>
                <w:sz w:val="16"/>
                <w:szCs w:val="16"/>
                <w:u w:val="none"/>
                <w:lang w:val="en-US" w:eastAsia="zh-CN" w:bidi="ar"/>
              </w:rPr>
              <w:t>5</w:t>
            </w:r>
            <w:r>
              <w:rPr>
                <w:rFonts w:hint="default" w:ascii="Times New Roman" w:hAnsi="Times New Roman" w:eastAsia="宋体" w:cs="Times New Roman"/>
                <w:i w:val="0"/>
                <w:iCs w:val="0"/>
                <w:color w:val="auto"/>
                <w:kern w:val="0"/>
                <w:sz w:val="16"/>
                <w:szCs w:val="16"/>
                <w:u w:val="none"/>
                <w:lang w:val="en-US" w:eastAsia="en-US" w:bidi="ar"/>
              </w:rPr>
              <w:t>%</w:t>
            </w:r>
          </w:p>
        </w:tc>
        <w:tc>
          <w:tcPr>
            <w:tcW w:w="48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u w:val="none"/>
                <w:lang w:val="en-US" w:eastAsia="zh-CN"/>
              </w:rPr>
              <w:t>0</w:t>
            </w:r>
          </w:p>
        </w:tc>
        <w:tc>
          <w:tcPr>
            <w:tcW w:w="1455"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sz w:val="16"/>
                <w:szCs w:val="16"/>
                <w:u w:val="none"/>
              </w:rPr>
            </w:pPr>
            <w:r>
              <w:rPr>
                <w:rFonts w:hint="eastAsia" w:ascii="Times New Roman" w:hAnsi="Times New Roman" w:eastAsia="宋体" w:cs="Times New Roman"/>
                <w:i w:val="0"/>
                <w:iCs w:val="0"/>
                <w:color w:val="auto"/>
                <w:kern w:val="0"/>
                <w:sz w:val="16"/>
                <w:szCs w:val="16"/>
                <w:u w:val="none"/>
                <w:lang w:val="en-US" w:eastAsia="zh-CN" w:bidi="ar"/>
              </w:rPr>
              <w:t>2023年12月15日财政部下达</w:t>
            </w:r>
            <w:r>
              <w:rPr>
                <w:rFonts w:hint="default" w:ascii="Times New Roman" w:hAnsi="Times New Roman" w:eastAsia="宋体" w:cs="Times New Roman"/>
                <w:i w:val="0"/>
                <w:iCs w:val="0"/>
                <w:color w:val="auto"/>
                <w:kern w:val="0"/>
                <w:sz w:val="16"/>
                <w:szCs w:val="16"/>
                <w:u w:val="none"/>
                <w:lang w:val="en-US" w:eastAsia="zh-CN" w:bidi="ar"/>
              </w:rPr>
              <w:t>农业防灾减灾和水利救灾资金（防灾救灾第十一批）</w:t>
            </w:r>
            <w:r>
              <w:rPr>
                <w:rFonts w:hint="eastAsia" w:ascii="Times New Roman" w:hAnsi="Times New Roman" w:eastAsia="宋体" w:cs="Times New Roman"/>
                <w:i w:val="0"/>
                <w:iCs w:val="0"/>
                <w:color w:val="auto"/>
                <w:kern w:val="0"/>
                <w:sz w:val="16"/>
                <w:szCs w:val="16"/>
                <w:u w:val="none"/>
                <w:lang w:val="en-US" w:eastAsia="zh-CN" w:bidi="ar"/>
              </w:rPr>
              <w:t>9620万元，</w:t>
            </w:r>
            <w:r>
              <w:rPr>
                <w:rFonts w:hint="default" w:ascii="Times New Roman" w:hAnsi="Times New Roman" w:eastAsia="宋体" w:cs="Times New Roman"/>
                <w:i w:val="0"/>
                <w:iCs w:val="0"/>
                <w:color w:val="auto"/>
                <w:kern w:val="0"/>
                <w:sz w:val="16"/>
                <w:szCs w:val="16"/>
                <w:u w:val="none"/>
                <w:lang w:val="en-US" w:eastAsia="zh-CN" w:bidi="ar"/>
              </w:rPr>
              <w:t>2023年12月29日，</w:t>
            </w:r>
            <w:r>
              <w:rPr>
                <w:rFonts w:hint="eastAsia" w:ascii="Times New Roman" w:hAnsi="Times New Roman" w:eastAsia="宋体" w:cs="Times New Roman"/>
                <w:i w:val="0"/>
                <w:iCs w:val="0"/>
                <w:color w:val="auto"/>
                <w:kern w:val="0"/>
                <w:sz w:val="16"/>
                <w:szCs w:val="16"/>
                <w:u w:val="none"/>
                <w:lang w:val="en-US" w:eastAsia="zh-CN" w:bidi="ar"/>
              </w:rPr>
              <w:t>我区将资金分解下达至</w:t>
            </w:r>
            <w:r>
              <w:rPr>
                <w:rFonts w:hint="default" w:ascii="Times New Roman" w:hAnsi="Times New Roman" w:eastAsia="宋体" w:cs="Times New Roman"/>
                <w:i w:val="0"/>
                <w:iCs w:val="0"/>
                <w:color w:val="auto"/>
                <w:kern w:val="0"/>
                <w:sz w:val="16"/>
                <w:szCs w:val="16"/>
                <w:u w:val="none"/>
                <w:lang w:val="en-US" w:eastAsia="zh-CN" w:bidi="ar"/>
              </w:rPr>
              <w:t>各项目执行县，</w:t>
            </w:r>
            <w:r>
              <w:rPr>
                <w:rFonts w:hint="eastAsia" w:ascii="Times New Roman" w:hAnsi="Times New Roman" w:eastAsia="宋体" w:cs="Times New Roman"/>
                <w:i w:val="0"/>
                <w:iCs w:val="0"/>
                <w:color w:val="auto"/>
                <w:kern w:val="0"/>
                <w:sz w:val="16"/>
                <w:szCs w:val="16"/>
                <w:u w:val="none"/>
                <w:lang w:val="en-US" w:eastAsia="zh-CN" w:bidi="ar"/>
              </w:rPr>
              <w:t>截止2023年底，各地仅开展项目前期工作，资金暂未执行</w:t>
            </w:r>
            <w:r>
              <w:rPr>
                <w:rFonts w:hint="default" w:ascii="Times New Roman" w:hAnsi="Times New Roman" w:eastAsia="宋体" w:cs="Times New Roman"/>
                <w:i w:val="0"/>
                <w:iCs w:val="0"/>
                <w:color w:val="auto"/>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372"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说明</w:t>
            </w:r>
          </w:p>
        </w:tc>
        <w:tc>
          <w:tcPr>
            <w:tcW w:w="4627" w:type="pct"/>
            <w:gridSpan w:val="7"/>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无</w:t>
            </w:r>
          </w:p>
        </w:tc>
      </w:tr>
    </w:tbl>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b w:val="0"/>
          <w:bCs w:val="0"/>
          <w:color w:val="auto"/>
          <w:sz w:val="32"/>
          <w:szCs w:val="36"/>
          <w:lang w:val="en-US" w:eastAsia="zh-CN"/>
        </w:rPr>
        <w:sectPr>
          <w:pgSz w:w="11906" w:h="16838"/>
          <w:pgMar w:top="1440" w:right="1800" w:bottom="1440" w:left="1800" w:header="851" w:footer="992" w:gutter="0"/>
          <w:pgNumType w:fmt="decimal"/>
          <w:cols w:space="425" w:num="1"/>
          <w:docGrid w:type="lines" w:linePitch="312" w:charSpace="0"/>
        </w:sectPr>
      </w:pPr>
    </w:p>
    <w:p>
      <w:pPr>
        <w:pageBreakBefore/>
        <w:widowControl/>
        <w:jc w:val="left"/>
        <w:textAlignment w:val="center"/>
        <w:rPr>
          <w:rFonts w:hint="default" w:ascii="Times New Roman" w:hAnsi="Times New Roman" w:cs="Times New Roman"/>
          <w:b/>
          <w:bCs/>
          <w:color w:val="auto"/>
          <w:kern w:val="0"/>
          <w:sz w:val="36"/>
          <w:szCs w:val="36"/>
          <w:lang w:val="en-US"/>
        </w:rPr>
      </w:pPr>
      <w:r>
        <w:rPr>
          <w:rFonts w:hint="default" w:ascii="Times New Roman" w:hAnsi="Times New Roman" w:eastAsia="黑体" w:cs="Times New Roman"/>
          <w:kern w:val="0"/>
          <w:sz w:val="32"/>
          <w:szCs w:val="32"/>
          <w:lang w:val="en-US" w:eastAsia="zh-CN" w:bidi="ar"/>
        </w:rPr>
        <w:t>附件</w:t>
      </w:r>
      <w:r>
        <w:rPr>
          <w:rFonts w:hint="eastAsia" w:ascii="Times New Roman" w:hAnsi="Times New Roman" w:eastAsia="黑体" w:cs="Times New Roman"/>
          <w:kern w:val="0"/>
          <w:sz w:val="32"/>
          <w:szCs w:val="32"/>
          <w:lang w:val="en-US" w:eastAsia="zh-CN" w:bidi="ar"/>
        </w:rPr>
        <w:t>4</w:t>
      </w:r>
      <w:r>
        <w:rPr>
          <w:rFonts w:hint="default" w:ascii="Times New Roman" w:hAnsi="Times New Roman" w:eastAsia="黑体" w:cs="Times New Roman"/>
          <w:kern w:val="0"/>
          <w:sz w:val="32"/>
          <w:szCs w:val="32"/>
          <w:lang w:val="en-US" w:eastAsia="zh-CN" w:bidi="ar"/>
        </w:rPr>
        <w:t>:</w:t>
      </w:r>
    </w:p>
    <w:p>
      <w:pPr>
        <w:pStyle w:val="10"/>
        <w:spacing w:line="600" w:lineRule="exact"/>
        <w:ind w:left="0" w:leftChars="0" w:firstLine="0" w:firstLineChars="0"/>
        <w:jc w:val="center"/>
        <w:rPr>
          <w:rFonts w:hint="default" w:ascii="Times New Roman" w:hAnsi="Times New Roman" w:eastAsia="方正小标宋_GBK" w:cs="Times New Roman"/>
          <w:b w:val="0"/>
          <w:bCs w:val="0"/>
          <w:color w:val="auto"/>
          <w:kern w:val="0"/>
          <w:sz w:val="36"/>
          <w:szCs w:val="36"/>
          <w:lang w:val="en-US" w:eastAsia="zh-CN"/>
        </w:rPr>
      </w:pPr>
      <w:r>
        <w:rPr>
          <w:rFonts w:hint="default" w:ascii="Times New Roman" w:hAnsi="Times New Roman" w:eastAsia="方正小标宋_GBK" w:cs="Times New Roman"/>
          <w:b w:val="0"/>
          <w:bCs w:val="0"/>
          <w:color w:val="auto"/>
          <w:kern w:val="0"/>
          <w:sz w:val="36"/>
          <w:szCs w:val="36"/>
          <w:lang w:val="en-US" w:eastAsia="zh-CN"/>
        </w:rPr>
        <w:t>农业防灾减灾资金转移支付区域（目标）绩效</w:t>
      </w:r>
    </w:p>
    <w:p>
      <w:pPr>
        <w:pStyle w:val="10"/>
        <w:spacing w:line="600" w:lineRule="exact"/>
        <w:ind w:left="0" w:leftChars="0" w:firstLine="0" w:firstLineChars="0"/>
        <w:jc w:val="center"/>
        <w:rPr>
          <w:rFonts w:hint="default" w:ascii="Times New Roman" w:hAnsi="Times New Roman" w:cs="Times New Roman"/>
          <w:b/>
          <w:bCs/>
          <w:color w:val="auto"/>
          <w:kern w:val="0"/>
          <w:sz w:val="36"/>
          <w:szCs w:val="36"/>
          <w:lang w:val="en-US"/>
        </w:rPr>
      </w:pPr>
      <w:r>
        <w:rPr>
          <w:rFonts w:hint="default" w:ascii="Times New Roman" w:hAnsi="Times New Roman" w:eastAsia="方正小标宋_GBK" w:cs="Times New Roman"/>
          <w:b w:val="0"/>
          <w:bCs w:val="0"/>
          <w:color w:val="auto"/>
          <w:kern w:val="0"/>
          <w:sz w:val="36"/>
          <w:szCs w:val="36"/>
          <w:lang w:val="en-US" w:eastAsia="zh-CN"/>
        </w:rPr>
        <w:t>目标自评</w:t>
      </w:r>
      <w:r>
        <w:rPr>
          <w:rFonts w:hint="default" w:ascii="Times New Roman" w:hAnsi="Times New Roman" w:eastAsia="方正小标宋_GBK" w:cs="Times New Roman"/>
          <w:b w:val="0"/>
          <w:bCs w:val="0"/>
          <w:color w:val="auto"/>
          <w:kern w:val="0"/>
          <w:sz w:val="36"/>
          <w:szCs w:val="36"/>
          <w:lang w:val="en-US"/>
        </w:rPr>
        <w:t>表</w:t>
      </w:r>
    </w:p>
    <w:tbl>
      <w:tblPr>
        <w:tblStyle w:val="12"/>
        <w:tblW w:w="574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
        <w:gridCol w:w="1380"/>
        <w:gridCol w:w="1520"/>
        <w:gridCol w:w="1736"/>
        <w:gridCol w:w="956"/>
        <w:gridCol w:w="1333"/>
        <w:gridCol w:w="2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049"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转移支付（项目）名称</w:t>
            </w:r>
          </w:p>
        </w:tc>
        <w:tc>
          <w:tcPr>
            <w:tcW w:w="3950" w:type="pct"/>
            <w:gridSpan w:val="5"/>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农业防灾减灾和水利救灾资金（动物防疫补助）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3950" w:type="pct"/>
            <w:gridSpan w:val="5"/>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0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中央主管部门</w:t>
            </w:r>
          </w:p>
        </w:tc>
        <w:tc>
          <w:tcPr>
            <w:tcW w:w="395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财政部、农业农村部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0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地方主管部门</w:t>
            </w:r>
          </w:p>
        </w:tc>
        <w:tc>
          <w:tcPr>
            <w:tcW w:w="166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自治区财政厅、自治区畜牧兽医局</w:t>
            </w:r>
          </w:p>
        </w:tc>
        <w:tc>
          <w:tcPr>
            <w:tcW w:w="4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资金使用单位</w:t>
            </w: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各地（州、市）财政局、农业农村局、畜牧兽医局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049"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资金投入情况</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（万元）</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c>
          <w:tcPr>
            <w:tcW w:w="8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全年预算数（A)</w:t>
            </w:r>
          </w:p>
        </w:tc>
        <w:tc>
          <w:tcPr>
            <w:tcW w:w="4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全年执行数（B)</w:t>
            </w:r>
          </w:p>
        </w:tc>
        <w:tc>
          <w:tcPr>
            <w:tcW w:w="180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预算执行率</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年度资金总额：</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29972</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29397.99</w:t>
            </w: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98.08%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其中：中央财政资金</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29972</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29397.99</w:t>
            </w: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98.08%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地方资金</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rPr>
            </w:pP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其他资金</w:t>
            </w:r>
          </w:p>
        </w:tc>
        <w:tc>
          <w:tcPr>
            <w:tcW w:w="8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c>
          <w:tcPr>
            <w:tcW w:w="4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1049"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资金管理情况</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c>
          <w:tcPr>
            <w:tcW w:w="137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情况说明</w:t>
            </w: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8"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分配科学性</w:t>
            </w:r>
          </w:p>
        </w:tc>
        <w:tc>
          <w:tcPr>
            <w:tcW w:w="13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依照国家下达任务清单，结合新疆实际，综合考虑各地（州、市）畜禽饲养量、防疫工作任务量、上年度资金执行率等绩效完成情况等因素科学合理分配资金。</w:t>
            </w: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下达及时性</w:t>
            </w:r>
          </w:p>
        </w:tc>
        <w:tc>
          <w:tcPr>
            <w:tcW w:w="13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严格按照（财农〔2022〕82号）、（财农〔2023〕23号）要求，在通知规定的时限内将资金下达至县级以上财政部门，做到了及时下达。</w:t>
            </w: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拨付合规性</w:t>
            </w:r>
          </w:p>
        </w:tc>
        <w:tc>
          <w:tcPr>
            <w:tcW w:w="13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严格按照《中华人民共和国预算法》、《中央财政预算执行动态监控管理办法》（财库〔2020〕3号）等法律法规的要求，拨付资金。</w:t>
            </w: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使用规范性</w:t>
            </w:r>
          </w:p>
        </w:tc>
        <w:tc>
          <w:tcPr>
            <w:tcW w:w="13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严格按照《农业防灾减灾和水利救灾资金管理办法》（财农〔2023〕13号）和《新疆维吾尔自治区动物防疫等补助经费管理办法》等规章制度，规范使用补助资金。</w:t>
            </w: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执行准确性</w:t>
            </w:r>
          </w:p>
        </w:tc>
        <w:tc>
          <w:tcPr>
            <w:tcW w:w="13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按照上级下达和本级预算安排的金额和任务清单所涉及的项目类型执行，不存在执行数偏离预算数较多的问题。</w:t>
            </w: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预算绩效管理情况</w:t>
            </w:r>
          </w:p>
        </w:tc>
        <w:tc>
          <w:tcPr>
            <w:tcW w:w="13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在细化下达预算时同步下达绩效目标，将有关资金纳入本级预算或对下转移支付绩效管理，开展绩效监控和绩效评价。</w:t>
            </w: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104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支出责任履行情况</w:t>
            </w:r>
          </w:p>
        </w:tc>
        <w:tc>
          <w:tcPr>
            <w:tcW w:w="13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对共同财政事权转移支付，按照财政事权和支出责任划分有关规定，足额安排资金履行本级支出责任。</w:t>
            </w:r>
          </w:p>
        </w:tc>
        <w:tc>
          <w:tcPr>
            <w:tcW w:w="180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总体目标完成情况</w:t>
            </w:r>
          </w:p>
        </w:tc>
        <w:tc>
          <w:tcPr>
            <w:tcW w:w="2365"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总体目标</w:t>
            </w:r>
          </w:p>
        </w:tc>
        <w:tc>
          <w:tcPr>
            <w:tcW w:w="2289"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365"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根据相关规划或实施方案，结合地方实际开展强制免疫、强制扑杀和销毁以及养殖环节无害化处理等方面工作。</w:t>
            </w:r>
          </w:p>
        </w:tc>
        <w:tc>
          <w:tcPr>
            <w:tcW w:w="2289"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sz w:val="16"/>
                <w:szCs w:val="16"/>
                <w:u w:val="none"/>
              </w:rPr>
            </w:pPr>
            <w:r>
              <w:rPr>
                <w:rFonts w:hint="default" w:ascii="Times New Roman" w:hAnsi="Times New Roman" w:cs="Times New Roman" w:eastAsiaTheme="minorEastAsia"/>
                <w:i w:val="0"/>
                <w:color w:val="000000"/>
                <w:kern w:val="0"/>
                <w:sz w:val="16"/>
                <w:szCs w:val="16"/>
                <w:u w:val="none"/>
                <w:lang w:val="en-US" w:eastAsia="zh-CN" w:bidi="ar"/>
              </w:rPr>
              <w:t>强制免疫、强制扑杀和养殖环节病死猪无害化处理均按国家要求较好完成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365"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c>
          <w:tcPr>
            <w:tcW w:w="2289"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2365"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c>
          <w:tcPr>
            <w:tcW w:w="2289"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lef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3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绩</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效</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指</w:t>
            </w:r>
            <w:r>
              <w:rPr>
                <w:rFonts w:hint="default" w:ascii="Times New Roman" w:hAnsi="Times New Roman" w:eastAsia="宋体" w:cs="Times New Roman"/>
                <w:i w:val="0"/>
                <w:iCs w:val="0"/>
                <w:color w:val="auto"/>
                <w:kern w:val="0"/>
                <w:sz w:val="16"/>
                <w:szCs w:val="16"/>
                <w:u w:val="none"/>
                <w:lang w:val="en-US" w:eastAsia="zh-CN" w:bidi="ar"/>
              </w:rPr>
              <w:br w:type="textWrapping"/>
            </w:r>
            <w:r>
              <w:rPr>
                <w:rFonts w:hint="default" w:ascii="Times New Roman" w:hAnsi="Times New Roman" w:eastAsia="宋体" w:cs="Times New Roman"/>
                <w:i w:val="0"/>
                <w:iCs w:val="0"/>
                <w:color w:val="auto"/>
                <w:kern w:val="0"/>
                <w:sz w:val="16"/>
                <w:szCs w:val="16"/>
                <w:u w:val="none"/>
                <w:lang w:val="en-US" w:eastAsia="zh-CN" w:bidi="ar"/>
              </w:rPr>
              <w:t>标</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一级指标</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二级指标</w:t>
            </w:r>
          </w:p>
        </w:tc>
        <w:tc>
          <w:tcPr>
            <w:tcW w:w="8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三级指标</w:t>
            </w:r>
          </w:p>
        </w:tc>
        <w:tc>
          <w:tcPr>
            <w:tcW w:w="4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指标值</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全年实际完成值</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0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产出指标</w:t>
            </w:r>
          </w:p>
        </w:tc>
        <w:tc>
          <w:tcPr>
            <w:tcW w:w="775"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数量指标</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强制免疫病种应免畜禽的免疫密度</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≥90%</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90%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0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775"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强制扑杀补助数量（头、只）</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14104</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14104</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0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775"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养殖环节病死</w:t>
            </w:r>
            <w:bookmarkStart w:id="0" w:name="_GoBack"/>
            <w:bookmarkEnd w:id="0"/>
            <w:r>
              <w:rPr>
                <w:rFonts w:hint="default" w:ascii="Times New Roman" w:hAnsi="Times New Roman" w:cs="Times New Roman" w:eastAsiaTheme="minorEastAsia"/>
                <w:i w:val="0"/>
                <w:color w:val="000000"/>
                <w:kern w:val="0"/>
                <w:sz w:val="16"/>
                <w:szCs w:val="16"/>
                <w:u w:val="none"/>
                <w:lang w:val="en-US" w:eastAsia="zh-CN" w:bidi="ar"/>
              </w:rPr>
              <w:t>猪无害化处理补助头数（头）</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180048</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163939</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r>
              <w:rPr>
                <w:rFonts w:hint="default" w:ascii="Times New Roman" w:hAnsi="Times New Roman" w:cs="Times New Roman" w:eastAsiaTheme="minorEastAsia"/>
                <w:b/>
                <w:i w:val="0"/>
                <w:color w:val="000000"/>
                <w:kern w:val="0"/>
                <w:sz w:val="16"/>
                <w:szCs w:val="16"/>
                <w:u w:val="none"/>
                <w:lang w:val="en-US" w:eastAsia="zh-CN" w:bidi="ar"/>
              </w:rPr>
              <w:t>主要原因：</w:t>
            </w:r>
            <w:r>
              <w:rPr>
                <w:rFonts w:hint="default" w:ascii="Times New Roman" w:hAnsi="Times New Roman" w:cs="Times New Roman" w:eastAsiaTheme="minorEastAsia"/>
                <w:i w:val="0"/>
                <w:color w:val="000000"/>
                <w:kern w:val="0"/>
                <w:sz w:val="16"/>
                <w:szCs w:val="16"/>
                <w:u w:val="none"/>
                <w:lang w:val="en-US" w:eastAsia="zh-CN" w:bidi="ar"/>
              </w:rPr>
              <w:t>一是昌吉州指标值为17514头，实际完成值为12507头，完成率71%，主要是呼图壁县、奇台县财政一直未支付；二是喀什地区指标值为10594头，实际完成值为8591头，完成率81%，主要是莎车县财政一直未支付；三是博州指标值为16950头，实际完成值为5424头，完成率32%，主要是由于生猪存栏量受市场价格等因素影响波动较大，下达的病死生猪处理任务头数（来年的估值）与实际病死生猪处理头数出入较大，致使资金实际使用率较低；四是吐鲁番市财政未完全支付。</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sz w:val="16"/>
                <w:szCs w:val="16"/>
              </w:rPr>
            </w:pPr>
            <w:r>
              <w:rPr>
                <w:rFonts w:hint="default" w:ascii="Times New Roman" w:hAnsi="Times New Roman" w:cs="Times New Roman" w:eastAsiaTheme="minorEastAsia"/>
                <w:b/>
                <w:bCs/>
                <w:i w:val="0"/>
                <w:color w:val="000000"/>
                <w:kern w:val="0"/>
                <w:sz w:val="16"/>
                <w:szCs w:val="16"/>
                <w:u w:val="none"/>
                <w:lang w:val="en-US" w:eastAsia="zh-CN" w:bidi="ar"/>
              </w:rPr>
              <w:t>整改措施：</w:t>
            </w:r>
            <w:r>
              <w:rPr>
                <w:rFonts w:hint="default" w:ascii="Times New Roman" w:hAnsi="Times New Roman" w:cs="Times New Roman" w:eastAsiaTheme="minorEastAsia"/>
                <w:i w:val="0"/>
                <w:color w:val="000000"/>
                <w:kern w:val="0"/>
                <w:sz w:val="16"/>
                <w:szCs w:val="16"/>
                <w:u w:val="none"/>
                <w:lang w:val="en-US" w:eastAsia="zh-CN" w:bidi="ar"/>
              </w:rPr>
              <w:t>（一）加强组织领导，压实整改责任。（二）加快项目资金支付进度。（三）进一步强化养殖场（户）病死畜禽无害化处理主体责任意识。（四）加强项目资金调度。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0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775"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完成包虫病疫区犬的驱虫数量（万只）</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51.36万只</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cs="Times New Roman" w:eastAsiaTheme="minorEastAsia"/>
                <w:i w:val="0"/>
                <w:color w:val="000000"/>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51.36万只</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Times New Roman" w:eastAsiaTheme="minorEastAsia"/>
                <w:b/>
                <w:bCs/>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04"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质量指标</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依法对重大动物疫情处置率</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100%</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100%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04"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免疫质量和免疫效果（除布病外其他病种的平均免疫抗体合格率）</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≥70%</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70%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04"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75" w:type="pc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时效指标</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重大动物疫情及时报告率</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100%</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100%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0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775"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社会效益指标</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口蹄疫、高致病性禽流感、布病、包虫病等优先防治病种防治工作</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疫情保持平稳</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100%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0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775"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资金使用重大违规违纪问题</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无</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100%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04" w:type="pct"/>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生态效益指标</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大规模随意抛弃病死猪事件发生率</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0</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4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iCs w:val="0"/>
                <w:color w:val="auto"/>
                <w:sz w:val="16"/>
                <w:szCs w:val="16"/>
                <w:u w:val="none"/>
              </w:rPr>
            </w:pP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lang w:val="en-US"/>
              </w:rPr>
            </w:pPr>
            <w:r>
              <w:rPr>
                <w:rFonts w:hint="default" w:ascii="Times New Roman" w:hAnsi="Times New Roman" w:eastAsia="宋体" w:cs="Times New Roman"/>
                <w:i w:val="0"/>
                <w:iCs w:val="0"/>
                <w:color w:val="auto"/>
                <w:kern w:val="0"/>
                <w:sz w:val="16"/>
                <w:szCs w:val="16"/>
                <w:u w:val="none"/>
                <w:lang w:val="en-US" w:eastAsia="zh-CN" w:bidi="ar"/>
              </w:rPr>
              <w:t>满意度指标</w:t>
            </w:r>
          </w:p>
        </w:tc>
        <w:tc>
          <w:tcPr>
            <w:tcW w:w="7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eastAsia="宋体" w:cs="Times New Roman"/>
                <w:i w:val="0"/>
                <w:iCs w:val="0"/>
                <w:color w:val="auto"/>
                <w:kern w:val="0"/>
                <w:sz w:val="16"/>
                <w:szCs w:val="16"/>
                <w:u w:val="none"/>
                <w:lang w:val="en-US" w:eastAsia="zh-CN" w:bidi="ar"/>
              </w:rPr>
              <w:t>服务对象满意度指标</w:t>
            </w:r>
          </w:p>
        </w:tc>
        <w:tc>
          <w:tcPr>
            <w:tcW w:w="8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补助对象对政策实施满意率</w:t>
            </w:r>
          </w:p>
        </w:tc>
        <w:tc>
          <w:tcPr>
            <w:tcW w:w="4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≥90%</w:t>
            </w:r>
          </w:p>
        </w:tc>
        <w:tc>
          <w:tcPr>
            <w:tcW w:w="6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iCs w:val="0"/>
                <w:color w:val="auto"/>
                <w:kern w:val="0"/>
                <w:sz w:val="16"/>
                <w:szCs w:val="16"/>
                <w:u w:val="none"/>
                <w:lang w:val="en-US" w:eastAsia="zh-CN" w:bidi="ar"/>
              </w:rPr>
            </w:pPr>
            <w:r>
              <w:rPr>
                <w:rFonts w:hint="default" w:ascii="Times New Roman" w:hAnsi="Times New Roman" w:cs="Times New Roman" w:eastAsiaTheme="minorEastAsia"/>
                <w:i w:val="0"/>
                <w:color w:val="000000"/>
                <w:kern w:val="0"/>
                <w:sz w:val="16"/>
                <w:szCs w:val="16"/>
                <w:u w:val="none"/>
                <w:lang w:val="en-US" w:eastAsia="zh-CN" w:bidi="ar"/>
              </w:rPr>
              <w:t>90%</w:t>
            </w:r>
          </w:p>
        </w:tc>
        <w:tc>
          <w:tcPr>
            <w:tcW w:w="11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0" w:lineRule="atLeast"/>
              <w:rPr>
                <w:rFonts w:hint="default" w:ascii="Times New Roman" w:hAnsi="Times New Roman" w:eastAsia="宋体" w:cs="Times New Roman"/>
                <w:i w:val="0"/>
                <w:iCs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3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说明</w:t>
            </w:r>
          </w:p>
        </w:tc>
        <w:tc>
          <w:tcPr>
            <w:tcW w:w="4655" w:type="pct"/>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无</w:t>
            </w:r>
          </w:p>
        </w:tc>
      </w:tr>
    </w:tbl>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b w:val="0"/>
          <w:bCs w:val="0"/>
          <w:color w:val="auto"/>
          <w:sz w:val="32"/>
          <w:szCs w:val="36"/>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2A1173"/>
    <w:multiLevelType w:val="singleLevel"/>
    <w:tmpl w:val="352A1173"/>
    <w:lvl w:ilvl="0" w:tentative="0">
      <w:start w:val="6"/>
      <w:numFmt w:val="chineseCounting"/>
      <w:suff w:val="nothing"/>
      <w:lvlText w:val="%1、"/>
      <w:lvlJc w:val="left"/>
      <w:rPr>
        <w:rFonts w:hint="eastAsia"/>
      </w:rPr>
    </w:lvl>
  </w:abstractNum>
  <w:abstractNum w:abstractNumId="1">
    <w:nsid w:val="4F8A60BA"/>
    <w:multiLevelType w:val="singleLevel"/>
    <w:tmpl w:val="4F8A60BA"/>
    <w:lvl w:ilvl="0" w:tentative="0">
      <w:start w:val="3"/>
      <w:numFmt w:val="chineseCounting"/>
      <w:suff w:val="nothing"/>
      <w:lvlText w:val="%1、"/>
      <w:lvlJc w:val="left"/>
      <w:rPr>
        <w:rFonts w:hint="eastAsia" w:ascii="黑体" w:hAnsi="黑体" w:eastAsia="黑体" w:cs="黑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false"/>
  <w:bordersDoNotSurroundFooter w:val="false"/>
  <w:gutterAtTop/>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MjVhOTUwNjA2YjRjN2JmYTliZTZmN2M2ZmQ5NjgifQ=="/>
  </w:docVars>
  <w:rsids>
    <w:rsidRoot w:val="00655363"/>
    <w:rsid w:val="003E5C2A"/>
    <w:rsid w:val="00655363"/>
    <w:rsid w:val="00886850"/>
    <w:rsid w:val="01A85D51"/>
    <w:rsid w:val="022D7122"/>
    <w:rsid w:val="024D7AAE"/>
    <w:rsid w:val="03CD7504"/>
    <w:rsid w:val="03D45E6A"/>
    <w:rsid w:val="06A41191"/>
    <w:rsid w:val="07E421CE"/>
    <w:rsid w:val="09A22217"/>
    <w:rsid w:val="09D958D6"/>
    <w:rsid w:val="0AD269B6"/>
    <w:rsid w:val="0C0B04D2"/>
    <w:rsid w:val="0D5E326F"/>
    <w:rsid w:val="0F9C22CB"/>
    <w:rsid w:val="102E5E48"/>
    <w:rsid w:val="10673D61"/>
    <w:rsid w:val="106D04B8"/>
    <w:rsid w:val="10FA64FD"/>
    <w:rsid w:val="141F3371"/>
    <w:rsid w:val="1614458F"/>
    <w:rsid w:val="170552FD"/>
    <w:rsid w:val="19B95A75"/>
    <w:rsid w:val="1C0A49C5"/>
    <w:rsid w:val="1C355D33"/>
    <w:rsid w:val="1DEE47F8"/>
    <w:rsid w:val="1F0B71B8"/>
    <w:rsid w:val="1F164F21"/>
    <w:rsid w:val="1FBB4C72"/>
    <w:rsid w:val="23F76998"/>
    <w:rsid w:val="24BA50B9"/>
    <w:rsid w:val="26C30BF8"/>
    <w:rsid w:val="28247952"/>
    <w:rsid w:val="28270837"/>
    <w:rsid w:val="28F2167F"/>
    <w:rsid w:val="29B86EA3"/>
    <w:rsid w:val="2A9C2048"/>
    <w:rsid w:val="2BBF5FEE"/>
    <w:rsid w:val="2E973C7C"/>
    <w:rsid w:val="2F774736"/>
    <w:rsid w:val="30F71D86"/>
    <w:rsid w:val="32835563"/>
    <w:rsid w:val="35026F4B"/>
    <w:rsid w:val="35BF6BEA"/>
    <w:rsid w:val="38323D13"/>
    <w:rsid w:val="398C6FFB"/>
    <w:rsid w:val="3BC85C37"/>
    <w:rsid w:val="3C79017E"/>
    <w:rsid w:val="3DF749CC"/>
    <w:rsid w:val="3E7F056A"/>
    <w:rsid w:val="3F4B7D4A"/>
    <w:rsid w:val="41514E2A"/>
    <w:rsid w:val="42227AF1"/>
    <w:rsid w:val="42B17A18"/>
    <w:rsid w:val="42CB1A33"/>
    <w:rsid w:val="42E40797"/>
    <w:rsid w:val="43166CEF"/>
    <w:rsid w:val="441647C1"/>
    <w:rsid w:val="451E66A2"/>
    <w:rsid w:val="456D1E60"/>
    <w:rsid w:val="45B641CB"/>
    <w:rsid w:val="47092E43"/>
    <w:rsid w:val="473B1157"/>
    <w:rsid w:val="47451137"/>
    <w:rsid w:val="474829B9"/>
    <w:rsid w:val="47654238"/>
    <w:rsid w:val="477A1855"/>
    <w:rsid w:val="49E50EBD"/>
    <w:rsid w:val="4AAA3125"/>
    <w:rsid w:val="500A0098"/>
    <w:rsid w:val="50B60BDF"/>
    <w:rsid w:val="514A05C5"/>
    <w:rsid w:val="51C277DD"/>
    <w:rsid w:val="53D31D7F"/>
    <w:rsid w:val="54DA350B"/>
    <w:rsid w:val="551B2E31"/>
    <w:rsid w:val="55877CB9"/>
    <w:rsid w:val="55D1679A"/>
    <w:rsid w:val="56630688"/>
    <w:rsid w:val="56FC3AA9"/>
    <w:rsid w:val="5B4523EC"/>
    <w:rsid w:val="5BE46FB7"/>
    <w:rsid w:val="5C5D2A3B"/>
    <w:rsid w:val="5E972291"/>
    <w:rsid w:val="61A62235"/>
    <w:rsid w:val="620D3A38"/>
    <w:rsid w:val="666A0329"/>
    <w:rsid w:val="68F90F97"/>
    <w:rsid w:val="6A0856DC"/>
    <w:rsid w:val="6A734615"/>
    <w:rsid w:val="6AD437C1"/>
    <w:rsid w:val="6B841E8D"/>
    <w:rsid w:val="6C4A6380"/>
    <w:rsid w:val="6FB34D23"/>
    <w:rsid w:val="72451C4A"/>
    <w:rsid w:val="741E444E"/>
    <w:rsid w:val="74E05EDB"/>
    <w:rsid w:val="765A6103"/>
    <w:rsid w:val="79DF6413"/>
    <w:rsid w:val="7A052DF2"/>
    <w:rsid w:val="7A293BFF"/>
    <w:rsid w:val="7A51252E"/>
    <w:rsid w:val="7AF64429"/>
    <w:rsid w:val="7C7E4697"/>
    <w:rsid w:val="7D6BC287"/>
    <w:rsid w:val="7FDEDC9A"/>
    <w:rsid w:val="83FFCDA2"/>
    <w:rsid w:val="A7BAEF64"/>
    <w:rsid w:val="F7FF4891"/>
    <w:rsid w:val="FEF6EF65"/>
    <w:rsid w:val="FFDD7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table of authorities"/>
    <w:basedOn w:val="1"/>
    <w:next w:val="1"/>
    <w:qFormat/>
    <w:uiPriority w:val="0"/>
    <w:pPr>
      <w:ind w:left="420" w:leftChars="200"/>
    </w:pPr>
  </w:style>
  <w:style w:type="paragraph" w:styleId="5">
    <w:name w:val="Normal Indent"/>
    <w:basedOn w:val="1"/>
    <w:unhideWhenUsed/>
    <w:qFormat/>
    <w:uiPriority w:val="99"/>
    <w:pPr>
      <w:ind w:firstLine="420" w:firstLineChars="200"/>
    </w:pPr>
    <w:rPr>
      <w:rFonts w:eastAsia="仿宋"/>
      <w:sz w:val="32"/>
    </w:rPr>
  </w:style>
  <w:style w:type="paragraph" w:styleId="6">
    <w:name w:val="Body Text"/>
    <w:basedOn w:val="1"/>
    <w:qFormat/>
    <w:uiPriority w:val="0"/>
    <w:rPr>
      <w:rFonts w:ascii="宋体" w:hAnsi="宋体" w:eastAsia="宋体" w:cs="宋体"/>
      <w:szCs w:val="32"/>
      <w:lang w:val="zh-CN" w:bidi="zh-CN"/>
    </w:rPr>
  </w:style>
  <w:style w:type="paragraph" w:styleId="7">
    <w:name w:val="Body Text Indent"/>
    <w:basedOn w:val="1"/>
    <w:next w:val="5"/>
    <w:semiHidden/>
    <w:qFormat/>
    <w:uiPriority w:val="99"/>
    <w:pPr>
      <w:spacing w:after="120"/>
      <w:ind w:left="420" w:leftChars="200"/>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6"/>
    <w:qFormat/>
    <w:uiPriority w:val="0"/>
    <w:pPr>
      <w:ind w:firstLine="420" w:firstLineChars="100"/>
    </w:pPr>
  </w:style>
  <w:style w:type="paragraph" w:styleId="11">
    <w:name w:val="Body Text First Indent 2"/>
    <w:basedOn w:val="7"/>
    <w:next w:val="10"/>
    <w:qFormat/>
    <w:uiPriority w:val="99"/>
    <w:pPr>
      <w:ind w:firstLine="420" w:firstLineChars="200"/>
    </w:pPr>
    <w:rPr>
      <w:rFonts w:ascii="Calibri" w:hAnsi="Calibri"/>
    </w:rPr>
  </w:style>
  <w:style w:type="paragraph" w:customStyle="1" w:styleId="14">
    <w:name w:val="Heading3"/>
    <w:basedOn w:val="1"/>
    <w:next w:val="1"/>
    <w:qFormat/>
    <w:uiPriority w:val="0"/>
    <w:pPr>
      <w:spacing w:line="560" w:lineRule="exact"/>
      <w:textAlignment w:val="baseline"/>
    </w:pPr>
    <w:rPr>
      <w:rFonts w:eastAsia="楷体_GB2312"/>
      <w:b/>
      <w:szCs w:val="22"/>
    </w:rPr>
  </w:style>
  <w:style w:type="paragraph" w:customStyle="1" w:styleId="15">
    <w:name w:val="Table Text"/>
    <w:basedOn w:val="1"/>
    <w:semiHidden/>
    <w:qFormat/>
    <w:uiPriority w:val="0"/>
    <w:rPr>
      <w:rFonts w:ascii="宋体" w:hAnsi="宋体" w:eastAsia="宋体" w:cs="宋体"/>
      <w:sz w:val="19"/>
      <w:szCs w:val="19"/>
      <w:lang w:val="en-US" w:eastAsia="en-US" w:bidi="ar-SA"/>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font81"/>
    <w:basedOn w:val="13"/>
    <w:qFormat/>
    <w:uiPriority w:val="0"/>
    <w:rPr>
      <w:rFonts w:ascii="仿宋_GB2312" w:eastAsia="仿宋_GB2312" w:cs="仿宋_GB2312"/>
      <w:b/>
      <w:bCs/>
      <w:color w:val="000000"/>
      <w:sz w:val="16"/>
      <w:szCs w:val="16"/>
      <w:u w:val="none"/>
    </w:rPr>
  </w:style>
  <w:style w:type="character" w:customStyle="1" w:styleId="19">
    <w:name w:val="font91"/>
    <w:basedOn w:val="13"/>
    <w:qFormat/>
    <w:uiPriority w:val="0"/>
    <w:rPr>
      <w:rFonts w:hint="eastAsia" w:ascii="仿宋_GB2312" w:eastAsia="仿宋_GB2312" w:cs="仿宋_GB2312"/>
      <w:color w:val="000000"/>
      <w:sz w:val="16"/>
      <w:szCs w:val="16"/>
      <w:u w:val="none"/>
    </w:rPr>
  </w:style>
  <w:style w:type="character" w:customStyle="1" w:styleId="20">
    <w:name w:val="font71"/>
    <w:basedOn w:val="13"/>
    <w:qFormat/>
    <w:uiPriority w:val="0"/>
    <w:rPr>
      <w:rFonts w:hint="default" w:ascii="Times New Roman" w:hAnsi="Times New Roman" w:cs="Times New Roman"/>
      <w:color w:val="000000"/>
      <w:sz w:val="16"/>
      <w:szCs w:val="16"/>
      <w:u w:val="none"/>
    </w:rPr>
  </w:style>
  <w:style w:type="character" w:customStyle="1" w:styleId="21">
    <w:name w:val="font101"/>
    <w:basedOn w:val="13"/>
    <w:qFormat/>
    <w:uiPriority w:val="0"/>
    <w:rPr>
      <w:rFonts w:hint="eastAsia" w:ascii="宋体" w:hAnsi="宋体" w:eastAsia="宋体" w:cs="宋体"/>
      <w:color w:val="000000"/>
      <w:sz w:val="16"/>
      <w:szCs w:val="16"/>
      <w:u w:val="none"/>
    </w:rPr>
  </w:style>
  <w:style w:type="character" w:customStyle="1" w:styleId="22">
    <w:name w:val="font112"/>
    <w:basedOn w:val="13"/>
    <w:qFormat/>
    <w:uiPriority w:val="0"/>
    <w:rPr>
      <w:rFonts w:hint="eastAsia" w:ascii="仿宋_GB2312" w:eastAsia="仿宋_GB2312" w:cs="仿宋_GB2312"/>
      <w:color w:val="000000"/>
      <w:sz w:val="16"/>
      <w:szCs w:val="16"/>
      <w:u w:val="none"/>
    </w:rPr>
  </w:style>
  <w:style w:type="character" w:customStyle="1" w:styleId="23">
    <w:name w:val="font11"/>
    <w:basedOn w:val="13"/>
    <w:qFormat/>
    <w:uiPriority w:val="0"/>
    <w:rPr>
      <w:rFonts w:hint="eastAsia" w:ascii="宋体" w:hAnsi="宋体" w:eastAsia="宋体" w:cs="宋体"/>
      <w:color w:val="000000"/>
      <w:sz w:val="18"/>
      <w:szCs w:val="18"/>
      <w:u w:val="none"/>
    </w:rPr>
  </w:style>
  <w:style w:type="character" w:customStyle="1" w:styleId="24">
    <w:name w:val="font41"/>
    <w:basedOn w:val="13"/>
    <w:qFormat/>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2024-03-13T08:02:00Z</dcterms:created>
  <dc:creator>Qin</dc:creator>
  <cp:lastModifiedBy>greatwall</cp:lastModifiedBy>
  <cp:lastPrinted>2024-03-29T20:51:00Z</cp:lastPrinted>
  <dcterms:modified xsi:type="dcterms:W3CDTF">2024-04-07T10:37:44Z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679268D6E5144C158C96E5A726F68851</vt:lpwstr>
  </property>
</Properties>
</file>