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截至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11月自治区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政府债务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预算调整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截至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7月自治区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政府债务限额总体情况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9534.14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1406.67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8127.47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（一）一般债务限额总额情况。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4576.61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1280.86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3295.75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专项债务限额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总额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4957.53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125.81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4831.72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二、本次下达结存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财政部下达自治区结存债务限额56亿元，其中：一般债务限额25亿元，新增专项债务限额31亿元，全部分配至乌鲁木齐市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三、调整后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11月自治区政府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按照上述新增债务限额分配后，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9590.14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1369.08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8221.06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一般债务限额总额情况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4601.61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1278.57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政府一般债务限额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3323.04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（二）调整后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专项债务限额总额情况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政府专项债务限额总额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4988.53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90.51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政府专项债务限额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调整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4898.02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、截止202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政府债务余额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8957.94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亿元，政府债务余额全部严格控制在限额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9590.14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亿元内，其中：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1157.71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7800.23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（一）一般债务余额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4046.63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1067.51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一般债务余额为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2979.12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（二）专项债务余额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截止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11月，自治区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4911.31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90.2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所属县（市、区）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专项债务余额为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4821.11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、202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自治区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本级新增债券安排情况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11月，自治区本次安排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新增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54.51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亿元，其中：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自治区本级安排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48.91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亿元、新增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（一）新增一般债券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安排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11月，自治区安排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新增一般债券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48.91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主要支持义务教育薄弱环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节改善与能力提升等项目建设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具体项目详见附件2。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（二）新增专项债券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安排</w:t>
      </w:r>
      <w:r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 w:eastAsia="zh-CN"/>
        </w:rPr>
        <w:t>情况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11月，自治区安排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新增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债券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5.6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亿元，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主要支持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新疆库尔干水利枢纽工程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等项目建设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具体项目详见附件2。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96" w:leftChars="284" w:hanging="900" w:hangingChars="3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1.1-1截止2023年11月自治区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1-2截止2023年11月自治区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地区政府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专项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债务限额、余额情况表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45" w:leftChars="710" w:hanging="54" w:hangingChars="18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1-3截止2023年11月自治区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政府债务限额、余额（含一般债务限额、余额和专项债务限额、余额）情况表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91" w:leftChars="71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.2023年11月自治区本级新增债券安排情况表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 </w:t>
      </w:r>
    </w:p>
    <w:sectPr>
      <w:footerReference r:id="rId3" w:type="default"/>
      <w:pgSz w:w="11906" w:h="16838"/>
      <w:pgMar w:top="2098" w:right="1587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6FE2"/>
    <w:rsid w:val="063F2F9D"/>
    <w:rsid w:val="090B4E5B"/>
    <w:rsid w:val="0C210264"/>
    <w:rsid w:val="181F7C97"/>
    <w:rsid w:val="182373F8"/>
    <w:rsid w:val="18823C8F"/>
    <w:rsid w:val="18B627CD"/>
    <w:rsid w:val="18E45EF2"/>
    <w:rsid w:val="1D57227F"/>
    <w:rsid w:val="1D7C5E6B"/>
    <w:rsid w:val="202C1537"/>
    <w:rsid w:val="2AB37734"/>
    <w:rsid w:val="2AF239FC"/>
    <w:rsid w:val="2DB7470C"/>
    <w:rsid w:val="2EE13741"/>
    <w:rsid w:val="331D6FAC"/>
    <w:rsid w:val="353C53B6"/>
    <w:rsid w:val="35B1555C"/>
    <w:rsid w:val="3B9E79A9"/>
    <w:rsid w:val="44813360"/>
    <w:rsid w:val="47B72475"/>
    <w:rsid w:val="4AE26A31"/>
    <w:rsid w:val="4B080752"/>
    <w:rsid w:val="4DB47F12"/>
    <w:rsid w:val="53013412"/>
    <w:rsid w:val="531422F9"/>
    <w:rsid w:val="56E23AB9"/>
    <w:rsid w:val="597C2125"/>
    <w:rsid w:val="59E94415"/>
    <w:rsid w:val="62323B6A"/>
    <w:rsid w:val="6541174B"/>
    <w:rsid w:val="66B52D71"/>
    <w:rsid w:val="692F2D63"/>
    <w:rsid w:val="6ACF7A08"/>
    <w:rsid w:val="6B080355"/>
    <w:rsid w:val="6DF533A0"/>
    <w:rsid w:val="71827528"/>
    <w:rsid w:val="726A2F9C"/>
    <w:rsid w:val="77BB7AC7"/>
    <w:rsid w:val="791768FB"/>
    <w:rsid w:val="7E40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eastAsiaTheme="minorEastAsia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Administrator</dc:creator>
  <cp:lastModifiedBy>李玺</cp:lastModifiedBy>
  <cp:lastPrinted>2021-08-30T03:42:00Z</cp:lastPrinted>
  <dcterms:modified xsi:type="dcterms:W3CDTF">2024-05-17T02:48:46Z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