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 w:val="0"/>
          <w:bCs w:val="0"/>
          <w:color w:val="auto"/>
          <w:sz w:val="44"/>
          <w:szCs w:val="44"/>
          <w:highlight w:val="none"/>
        </w:rPr>
      </w:pPr>
    </w:p>
    <w:p>
      <w:pPr>
        <w:jc w:val="center"/>
        <w:rPr>
          <w:rFonts w:hint="default" w:ascii="Times New Roman" w:hAnsi="Times New Roman" w:eastAsia="方正小标宋_GBK" w:cs="Times New Roman"/>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新疆</w:t>
      </w:r>
      <w:r>
        <w:rPr>
          <w:rFonts w:hint="eastAsia" w:ascii="方正小标宋_GBK" w:hAnsi="方正小标宋_GBK" w:eastAsia="方正小标宋_GBK" w:cs="方正小标宋_GBK"/>
          <w:b w:val="0"/>
          <w:bCs w:val="0"/>
          <w:color w:val="auto"/>
          <w:sz w:val="44"/>
          <w:szCs w:val="44"/>
          <w:highlight w:val="none"/>
          <w:lang w:eastAsia="zh-CN"/>
        </w:rPr>
        <w:t>维吾尔自治区</w:t>
      </w:r>
      <w:r>
        <w:rPr>
          <w:rFonts w:hint="eastAsia" w:ascii="方正小标宋_GBK" w:hAnsi="方正小标宋_GBK" w:eastAsia="方正小标宋_GBK" w:cs="方正小标宋_GBK"/>
          <w:b w:val="0"/>
          <w:bCs w:val="0"/>
          <w:color w:val="auto"/>
          <w:sz w:val="44"/>
          <w:szCs w:val="44"/>
          <w:highlight w:val="none"/>
        </w:rPr>
        <w:t>医疗服务与保障能力提升补助资金</w:t>
      </w:r>
      <w:r>
        <w:rPr>
          <w:rFonts w:hint="eastAsia" w:ascii="方正小标宋_GBK" w:hAnsi="方正小标宋_GBK" w:eastAsia="方正小标宋_GBK" w:cs="方正小标宋_GBK"/>
          <w:b w:val="0"/>
          <w:bCs w:val="0"/>
          <w:color w:val="auto"/>
          <w:sz w:val="44"/>
          <w:szCs w:val="44"/>
          <w:highlight w:val="none"/>
          <w:lang w:val="en-US" w:eastAsia="zh-CN"/>
        </w:rPr>
        <w:t>项目</w:t>
      </w:r>
      <w:r>
        <w:rPr>
          <w:rFonts w:hint="eastAsia" w:ascii="方正小标宋_GBK" w:hAnsi="方正小标宋_GBK" w:eastAsia="方正小标宋_GBK" w:cs="方正小标宋_GBK"/>
          <w:b w:val="0"/>
          <w:bCs w:val="0"/>
          <w:color w:val="auto"/>
          <w:sz w:val="44"/>
          <w:szCs w:val="44"/>
          <w:highlight w:val="none"/>
        </w:rPr>
        <w:t>转移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支付</w:t>
      </w:r>
      <w:r>
        <w:rPr>
          <w:rFonts w:hint="eastAsia" w:ascii="方正小标宋_GBK" w:hAnsi="方正小标宋_GBK" w:eastAsia="方正小标宋_GBK" w:cs="方正小标宋_GBK"/>
          <w:b w:val="0"/>
          <w:bCs w:val="0"/>
          <w:color w:val="auto"/>
          <w:sz w:val="44"/>
          <w:szCs w:val="44"/>
          <w:highlight w:val="none"/>
          <w:lang w:val="en-US" w:eastAsia="zh-CN"/>
        </w:rPr>
        <w:t>2024年度</w:t>
      </w:r>
      <w:r>
        <w:rPr>
          <w:rFonts w:hint="eastAsia" w:ascii="方正小标宋_GBK" w:hAnsi="方正小标宋_GBK" w:eastAsia="方正小标宋_GBK" w:cs="方正小标宋_GBK"/>
          <w:b w:val="0"/>
          <w:bCs w:val="0"/>
          <w:color w:val="auto"/>
          <w:sz w:val="44"/>
          <w:szCs w:val="44"/>
          <w:highlight w:val="none"/>
        </w:rPr>
        <w:t>绩效自评报告</w:t>
      </w:r>
    </w:p>
    <w:p>
      <w:pPr>
        <w:jc w:val="center"/>
        <w:rPr>
          <w:rFonts w:hint="default" w:ascii="Times New Roman" w:hAnsi="Times New Roman" w:eastAsia="宋体" w:cs="Times New Roman"/>
          <w:b/>
          <w:bCs/>
          <w:color w:val="auto"/>
          <w:sz w:val="44"/>
          <w:szCs w:val="44"/>
          <w:highlight w:val="none"/>
        </w:rPr>
      </w:pPr>
    </w:p>
    <w:p>
      <w:pPr>
        <w:jc w:val="center"/>
        <w:rPr>
          <w:rFonts w:hint="default" w:ascii="Times New Roman" w:hAnsi="Times New Roman" w:eastAsia="宋体" w:cs="Times New Roman"/>
          <w:color w:val="auto"/>
          <w:sz w:val="24"/>
          <w:szCs w:val="24"/>
          <w:highlight w:val="none"/>
        </w:rPr>
      </w:pPr>
    </w:p>
    <w:p>
      <w:pPr>
        <w:jc w:val="both"/>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项目名称：</w:t>
      </w:r>
      <w:r>
        <w:rPr>
          <w:rFonts w:hint="default" w:ascii="Times New Roman" w:hAnsi="Times New Roman" w:eastAsia="仿宋_GB2312" w:cs="Times New Roman"/>
          <w:color w:val="auto"/>
          <w:sz w:val="32"/>
          <w:szCs w:val="32"/>
          <w:highlight w:val="none"/>
          <w:lang w:eastAsia="zh-CN"/>
        </w:rPr>
        <w:t>医疗服务与保障能力提升补助资金</w:t>
      </w:r>
    </w:p>
    <w:p>
      <w:pPr>
        <w:ind w:left="2880" w:hanging="2880" w:hangingChars="9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实施</w:t>
      </w:r>
      <w:r>
        <w:rPr>
          <w:rFonts w:hint="default" w:ascii="Times New Roman" w:hAnsi="Times New Roman" w:eastAsia="仿宋_GB2312" w:cs="Times New Roman"/>
          <w:color w:val="auto"/>
          <w:sz w:val="32"/>
          <w:szCs w:val="32"/>
          <w:highlight w:val="none"/>
          <w:lang w:eastAsia="zh-CN"/>
        </w:rPr>
        <w:t>单位（公章）：</w:t>
      </w:r>
      <w:r>
        <w:rPr>
          <w:rFonts w:hint="eastAsia" w:ascii="Times New Roman" w:hAnsi="Times New Roman" w:eastAsia="仿宋_GB2312" w:cs="Times New Roman"/>
          <w:color w:val="auto"/>
          <w:sz w:val="32"/>
          <w:szCs w:val="32"/>
          <w:highlight w:val="none"/>
          <w:lang w:eastAsia="zh-CN"/>
        </w:rPr>
        <w:t>自治区医疗保障局</w:t>
      </w:r>
    </w:p>
    <w:p>
      <w:pP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主管部门（公章）：</w:t>
      </w:r>
      <w:r>
        <w:rPr>
          <w:rFonts w:hint="eastAsia" w:ascii="Times New Roman" w:hAnsi="Times New Roman" w:eastAsia="仿宋_GB2312" w:cs="Times New Roman"/>
          <w:color w:val="auto"/>
          <w:sz w:val="32"/>
          <w:szCs w:val="32"/>
          <w:highlight w:val="none"/>
          <w:lang w:eastAsia="zh-CN"/>
        </w:rPr>
        <w:t>自治区医疗保障局</w:t>
      </w:r>
    </w:p>
    <w:p>
      <w:pPr>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项目负责人（签章）</w:t>
      </w:r>
      <w:r>
        <w:rPr>
          <w:rFonts w:hint="eastAsia" w:ascii="Times New Roman" w:hAnsi="Times New Roman" w:eastAsia="仿宋_GB2312" w:cs="Times New Roman"/>
          <w:color w:val="auto"/>
          <w:sz w:val="32"/>
          <w:szCs w:val="32"/>
          <w:highlight w:val="none"/>
          <w:lang w:eastAsia="zh-CN"/>
        </w:rPr>
        <w:t>王志华</w:t>
      </w:r>
    </w:p>
    <w:p>
      <w:pPr>
        <w:rPr>
          <w:rFonts w:hint="default" w:ascii="Times New Roman" w:hAnsi="Times New Roman" w:eastAsia="仿宋_GB2312" w:cs="Times New Roman"/>
          <w:color w:val="auto"/>
          <w:sz w:val="32"/>
          <w:szCs w:val="32"/>
          <w:highlight w:val="none"/>
          <w:lang w:eastAsia="zh-CN"/>
        </w:rPr>
        <w:sectPr>
          <w:pgSz w:w="11906" w:h="16838"/>
          <w:pgMar w:top="2098" w:right="1474" w:bottom="1984" w:left="1587" w:header="851" w:footer="992" w:gutter="0"/>
          <w:pgNumType w:fmt="numberInDash"/>
          <w:cols w:space="0" w:num="1"/>
          <w:rtlGutter w:val="0"/>
          <w:docGrid w:type="lines" w:linePitch="312" w:charSpace="0"/>
        </w:sectPr>
      </w:pPr>
      <w:r>
        <w:rPr>
          <w:rFonts w:hint="default" w:ascii="Times New Roman" w:hAnsi="Times New Roman" w:eastAsia="仿宋_GB2312" w:cs="Times New Roman"/>
          <w:color w:val="auto"/>
          <w:sz w:val="32"/>
          <w:szCs w:val="32"/>
          <w:highlight w:val="none"/>
          <w:lang w:eastAsia="zh-CN"/>
        </w:rPr>
        <w:t>填报时间：</w:t>
      </w:r>
      <w:r>
        <w:rPr>
          <w:rFonts w:hint="default"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5</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 w:eastAsia="zh-CN"/>
        </w:rPr>
        <w:t>20</w:t>
      </w:r>
      <w:r>
        <w:rPr>
          <w:rFonts w:hint="default" w:ascii="Times New Roman" w:hAnsi="Times New Roman" w:eastAsia="仿宋_GB2312" w:cs="Times New Roman"/>
          <w:color w:val="auto"/>
          <w:sz w:val="32"/>
          <w:szCs w:val="32"/>
          <w:highlight w:val="none"/>
          <w:lang w:eastAsia="zh-CN"/>
        </w:rPr>
        <w:t>日</w:t>
      </w:r>
    </w:p>
    <w:p>
      <w:pPr>
        <w:pStyle w:val="2"/>
        <w:ind w:left="0" w:leftChars="0" w:firstLine="0" w:firstLineChars="0"/>
        <w:rPr>
          <w:rFonts w:hint="default"/>
          <w:lang w:eastAsia="zh-CN"/>
        </w:rPr>
        <w:sectPr>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b w:val="0"/>
          <w:bCs w:val="0"/>
          <w:color w:val="auto"/>
          <w:sz w:val="44"/>
          <w:szCs w:val="44"/>
          <w:highlight w:val="none"/>
        </w:rPr>
      </w:pPr>
      <w:r>
        <w:rPr>
          <w:rFonts w:hint="eastAsia" w:ascii="方正小标宋_GBK" w:hAnsi="方正小标宋_GBK" w:eastAsia="方正小标宋_GBK" w:cs="方正小标宋_GBK"/>
          <w:snapToGrid/>
          <w:color w:val="auto"/>
          <w:kern w:val="2"/>
          <w:sz w:val="44"/>
          <w:szCs w:val="44"/>
          <w:highlight w:val="none"/>
          <w:lang w:eastAsia="zh-CN"/>
        </w:rPr>
        <w:t>新疆维吾尔自治区医疗服务与保障能力提升补助资金（医疗保障服务能力建设部分）2024年度绩效自评报告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小标宋_GBK" w:hAnsi="方正小标宋_GBK" w:eastAsia="方正小标宋_GBK" w:cs="方正小标宋_GBK"/>
          <w:snapToGrid/>
          <w:color w:val="auto"/>
          <w:kern w:val="2"/>
          <w:sz w:val="44"/>
          <w:szCs w:val="44"/>
          <w:highlight w:val="none"/>
          <w:lang w:eastAsia="zh-CN"/>
        </w:rPr>
      </w:pPr>
      <w:r>
        <w:rPr>
          <w:rFonts w:hint="default" w:ascii="Times New Roman" w:hAnsi="Times New Roman" w:eastAsia="仿宋_GB2312" w:cs="Times New Roman"/>
          <w:color w:val="auto"/>
          <w:sz w:val="32"/>
          <w:szCs w:val="32"/>
          <w:highlight w:val="none"/>
        </w:rPr>
        <w:t>贯彻落实党中央全面实施预算绩效管理决策部署，根据财政部《关于开展202</w:t>
      </w:r>
      <w:r>
        <w:rPr>
          <w:rFonts w:hint="default" w:ascii="Times New Roman" w:hAnsi="Times New Roman" w:eastAsia="仿宋_GB2312" w:cs="Times New Roman"/>
          <w:color w:val="auto"/>
          <w:sz w:val="32"/>
          <w:szCs w:val="32"/>
          <w:highlight w:val="none"/>
          <w:lang w:val="en" w:eastAsia="zh-CN"/>
        </w:rPr>
        <w:t>4</w:t>
      </w:r>
      <w:r>
        <w:rPr>
          <w:rFonts w:hint="default" w:ascii="Times New Roman" w:hAnsi="Times New Roman" w:eastAsia="仿宋_GB2312" w:cs="Times New Roman"/>
          <w:color w:val="auto"/>
          <w:sz w:val="32"/>
          <w:szCs w:val="32"/>
          <w:highlight w:val="none"/>
        </w:rPr>
        <w:t>年度中央对地方转移支付预算执行情况绩效自评工作的通知》（财监〔</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号）要求</w:t>
      </w:r>
      <w:r>
        <w:rPr>
          <w:rFonts w:hint="eastAsia" w:ascii="Times New Roman" w:hAnsi="Times New Roman" w:eastAsia="仿宋_GB2312" w:cs="Times New Roman"/>
          <w:color w:val="auto"/>
          <w:sz w:val="32"/>
          <w:szCs w:val="32"/>
          <w:highlight w:val="none"/>
          <w:lang w:eastAsia="zh-CN"/>
        </w:rPr>
        <w:t>，自治区医疗保障局</w:t>
      </w:r>
      <w:r>
        <w:rPr>
          <w:rFonts w:hint="default" w:ascii="Times New Roman" w:hAnsi="Times New Roman" w:eastAsia="仿宋_GB2312" w:cs="Times New Roman"/>
          <w:color w:val="auto"/>
          <w:sz w:val="32"/>
          <w:szCs w:val="32"/>
          <w:highlight w:val="none"/>
        </w:rPr>
        <w:t>组织开展了202</w:t>
      </w:r>
      <w:r>
        <w:rPr>
          <w:rFonts w:hint="default" w:ascii="Times New Roman" w:hAnsi="Times New Roman" w:eastAsia="仿宋_GB2312" w:cs="Times New Roman"/>
          <w:color w:val="auto"/>
          <w:sz w:val="32"/>
          <w:szCs w:val="32"/>
          <w:highlight w:val="none"/>
          <w:lang w:val="en" w:eastAsia="zh-CN"/>
        </w:rPr>
        <w:t>4</w:t>
      </w:r>
      <w:r>
        <w:rPr>
          <w:rFonts w:hint="default" w:ascii="Times New Roman" w:hAnsi="Times New Roman" w:eastAsia="仿宋_GB2312" w:cs="Times New Roman"/>
          <w:color w:val="auto"/>
          <w:sz w:val="32"/>
          <w:szCs w:val="32"/>
          <w:highlight w:val="none"/>
        </w:rPr>
        <w:t>年度</w:t>
      </w:r>
      <w:r>
        <w:rPr>
          <w:rFonts w:hint="default" w:ascii="Times New Roman" w:hAnsi="Times New Roman" w:eastAsia="仿宋_GB2312" w:cs="Times New Roman"/>
          <w:color w:val="auto"/>
          <w:sz w:val="32"/>
          <w:szCs w:val="32"/>
          <w:highlight w:val="none"/>
          <w:lang w:eastAsia="zh-CN"/>
        </w:rPr>
        <w:t>医疗服务与保障能力提升补助资金</w:t>
      </w:r>
      <w:r>
        <w:rPr>
          <w:rFonts w:hint="default" w:ascii="Times New Roman" w:hAnsi="Times New Roman" w:eastAsia="仿宋_GB2312" w:cs="Times New Roman"/>
          <w:color w:val="auto"/>
          <w:sz w:val="32"/>
          <w:szCs w:val="32"/>
          <w:highlight w:val="none"/>
        </w:rPr>
        <w:t>绩效自评工作，现报告如下：</w:t>
      </w:r>
      <w:bookmarkStart w:id="1" w:name="_GoBack"/>
      <w:bookmarkEnd w:id="1"/>
    </w:p>
    <w:p>
      <w:pPr>
        <w:autoSpaceDE/>
        <w:autoSpaceDN/>
        <w:adjustRightInd/>
        <w:spacing w:line="560" w:lineRule="exact"/>
        <w:ind w:firstLine="930" w:firstLineChars="300"/>
        <w:jc w:val="both"/>
        <w:outlineLvl w:val="0"/>
        <w:rPr>
          <w:rFonts w:ascii="黑体" w:hAnsi="黑体" w:eastAsia="黑体" w:cs="黑体"/>
          <w:color w:val="auto"/>
          <w:spacing w:val="-5"/>
          <w:sz w:val="32"/>
          <w:szCs w:val="32"/>
          <w:highlight w:val="none"/>
          <w:lang w:eastAsia="zh-CN"/>
        </w:rPr>
      </w:pPr>
      <w:r>
        <w:rPr>
          <w:rFonts w:hint="eastAsia" w:ascii="黑体" w:hAnsi="黑体" w:eastAsia="黑体" w:cs="黑体"/>
          <w:color w:val="auto"/>
          <w:spacing w:val="-5"/>
          <w:sz w:val="32"/>
          <w:szCs w:val="32"/>
          <w:highlight w:val="none"/>
          <w:lang w:eastAsia="zh-CN"/>
        </w:rPr>
        <w:t>一、绩效目标分解下达情况</w:t>
      </w:r>
    </w:p>
    <w:p>
      <w:pPr>
        <w:pStyle w:val="7"/>
        <w:numPr>
          <w:ilvl w:val="0"/>
          <w:numId w:val="1"/>
        </w:numPr>
        <w:spacing w:line="560" w:lineRule="exact"/>
        <w:ind w:firstLine="628" w:firstLineChars="200"/>
        <w:rPr>
          <w:rFonts w:ascii="楷体_GB2312" w:hAnsi="楷体_GB2312" w:eastAsia="楷体_GB2312" w:cs="楷体_GB2312"/>
          <w:color w:val="auto"/>
          <w:spacing w:val="-3"/>
          <w:sz w:val="32"/>
          <w:szCs w:val="32"/>
          <w:highlight w:val="none"/>
          <w:lang w:eastAsia="zh-CN"/>
        </w:rPr>
      </w:pPr>
      <w:r>
        <w:rPr>
          <w:rFonts w:hint="eastAsia" w:ascii="楷体_GB2312" w:hAnsi="楷体_GB2312" w:eastAsia="楷体_GB2312" w:cs="楷体_GB2312"/>
          <w:color w:val="auto"/>
          <w:spacing w:val="-3"/>
          <w:sz w:val="32"/>
          <w:szCs w:val="32"/>
          <w:highlight w:val="none"/>
          <w:lang w:eastAsia="zh-CN"/>
        </w:rPr>
        <w:t>中央下达</w:t>
      </w:r>
      <w:r>
        <w:rPr>
          <w:rFonts w:hint="eastAsia" w:ascii="楷体_GB2312" w:hAnsi="楷体_GB2312" w:eastAsia="楷体_GB2312" w:cs="楷体_GB2312"/>
          <w:color w:val="auto"/>
          <w:spacing w:val="-3"/>
          <w:sz w:val="32"/>
          <w:szCs w:val="32"/>
          <w:highlight w:val="none"/>
          <w:lang w:val="en-US" w:eastAsia="zh-CN"/>
        </w:rPr>
        <w:t>医疗服务与保障能力提升</w:t>
      </w:r>
      <w:r>
        <w:rPr>
          <w:rFonts w:hint="eastAsia" w:ascii="楷体_GB2312" w:hAnsi="楷体_GB2312" w:eastAsia="楷体_GB2312" w:cs="楷体_GB2312"/>
          <w:color w:val="auto"/>
          <w:spacing w:val="-3"/>
          <w:sz w:val="32"/>
          <w:szCs w:val="32"/>
          <w:highlight w:val="none"/>
          <w:lang w:eastAsia="zh-CN"/>
        </w:rPr>
        <w:t>补助资金转移支付预算和区域绩效目标情况</w:t>
      </w:r>
    </w:p>
    <w:p>
      <w:pPr>
        <w:pStyle w:val="7"/>
        <w:spacing w:line="560" w:lineRule="exact"/>
        <w:ind w:firstLine="647" w:firstLineChars="200"/>
        <w:jc w:val="both"/>
        <w:rPr>
          <w:rFonts w:ascii="仿宋_GB2312" w:hAnsi="仿宋_GB2312" w:eastAsia="仿宋_GB2312" w:cs="仿宋_GB2312"/>
          <w:b/>
          <w:bCs/>
          <w:color w:val="auto"/>
          <w:spacing w:val="1"/>
          <w:sz w:val="32"/>
          <w:szCs w:val="32"/>
          <w:highlight w:val="none"/>
          <w:lang w:eastAsia="zh-CN"/>
        </w:rPr>
      </w:pPr>
      <w:r>
        <w:rPr>
          <w:rFonts w:hint="eastAsia" w:ascii="仿宋_GB2312" w:hAnsi="仿宋_GB2312" w:eastAsia="仿宋_GB2312" w:cs="仿宋_GB2312"/>
          <w:b/>
          <w:bCs/>
          <w:color w:val="auto"/>
          <w:spacing w:val="1"/>
          <w:sz w:val="32"/>
          <w:szCs w:val="32"/>
          <w:highlight w:val="none"/>
          <w:lang w:eastAsia="zh-CN"/>
        </w:rPr>
        <w:t>1.下达预算情况</w:t>
      </w:r>
    </w:p>
    <w:p>
      <w:pPr>
        <w:pStyle w:val="7"/>
        <w:spacing w:line="560" w:lineRule="exact"/>
        <w:ind w:firstLine="644" w:firstLineChars="200"/>
        <w:jc w:val="both"/>
        <w:rPr>
          <w:rFonts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lang w:eastAsia="zh-CN"/>
        </w:rPr>
        <w:t>财政部分批下达我区2024年中央财政医疗服务与保障能力提升补助资金（医疗保障服务能力建设部分）共计10500万元，用于加强医保能力建设。详细情况如下：</w:t>
      </w:r>
    </w:p>
    <w:p>
      <w:pPr>
        <w:pStyle w:val="7"/>
        <w:spacing w:line="560" w:lineRule="exact"/>
        <w:ind w:firstLine="644" w:firstLineChars="200"/>
        <w:jc w:val="both"/>
        <w:rPr>
          <w:rFonts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lang w:eastAsia="zh-CN"/>
        </w:rPr>
        <w:t>2023年10月</w:t>
      </w:r>
      <w:r>
        <w:rPr>
          <w:rFonts w:hint="eastAsia" w:ascii="仿宋_GB2312" w:hAnsi="仿宋_GB2312" w:eastAsia="仿宋_GB2312" w:cs="仿宋_GB2312"/>
          <w:color w:val="auto"/>
          <w:spacing w:val="1"/>
          <w:sz w:val="32"/>
          <w:szCs w:val="32"/>
          <w:highlight w:val="none"/>
          <w:lang w:val="en-US" w:eastAsia="zh-CN"/>
        </w:rPr>
        <w:t>31日</w:t>
      </w:r>
      <w:r>
        <w:rPr>
          <w:rFonts w:hint="eastAsia" w:ascii="仿宋_GB2312" w:hAnsi="仿宋_GB2312" w:eastAsia="仿宋_GB2312" w:cs="仿宋_GB2312"/>
          <w:color w:val="auto"/>
          <w:spacing w:val="1"/>
          <w:sz w:val="32"/>
          <w:szCs w:val="32"/>
          <w:highlight w:val="none"/>
          <w:lang w:eastAsia="zh-CN"/>
        </w:rPr>
        <w:t>，根据《财政部 国家医疗保障局关于提前下达2024年中央财政医疗服务与保障能力提升补助资金（医疗保障服务能力建设部分）预算的通知》（财社〔2023〕141号），下达我区第一批医疗服务与保障能力提升补助资金8315万元。</w:t>
      </w:r>
    </w:p>
    <w:p>
      <w:pPr>
        <w:pStyle w:val="7"/>
        <w:spacing w:line="560" w:lineRule="exact"/>
        <w:ind w:firstLine="644" w:firstLineChars="200"/>
        <w:jc w:val="both"/>
        <w:rPr>
          <w:rFonts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lang w:eastAsia="zh-CN"/>
        </w:rPr>
        <w:t>2024年4月</w:t>
      </w:r>
      <w:r>
        <w:rPr>
          <w:rFonts w:hint="eastAsia" w:ascii="仿宋_GB2312" w:hAnsi="仿宋_GB2312" w:eastAsia="仿宋_GB2312" w:cs="仿宋_GB2312"/>
          <w:color w:val="auto"/>
          <w:spacing w:val="1"/>
          <w:sz w:val="32"/>
          <w:szCs w:val="32"/>
          <w:highlight w:val="none"/>
          <w:lang w:val="en-US" w:eastAsia="zh-CN"/>
        </w:rPr>
        <w:t>10日</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lang w:val="en-US" w:eastAsia="zh-CN"/>
        </w:rPr>
        <w:t>根据</w:t>
      </w:r>
      <w:r>
        <w:rPr>
          <w:rFonts w:hint="eastAsia" w:ascii="仿宋_GB2312" w:hAnsi="仿宋_GB2312" w:eastAsia="仿宋_GB2312" w:cs="仿宋_GB2312"/>
          <w:color w:val="auto"/>
          <w:spacing w:val="1"/>
          <w:sz w:val="32"/>
          <w:szCs w:val="32"/>
          <w:highlight w:val="none"/>
          <w:lang w:eastAsia="zh-CN"/>
        </w:rPr>
        <w:t>《财政部 国家医疗保障局关于下达2024年中央财政医疗服务与保障能力提升补助资金（医疗保障服务能力建设部分）预算的通知》（财社〔2024〕33号），下达我区第二批医疗服务与保障能力提升补助资金2185万元。</w:t>
      </w:r>
    </w:p>
    <w:p>
      <w:pPr>
        <w:pStyle w:val="7"/>
        <w:spacing w:line="560" w:lineRule="exact"/>
        <w:ind w:firstLine="647" w:firstLineChars="200"/>
        <w:jc w:val="both"/>
        <w:rPr>
          <w:rFonts w:ascii="仿宋_GB2312" w:hAnsi="仿宋_GB2312" w:eastAsia="仿宋_GB2312" w:cs="仿宋_GB2312"/>
          <w:b/>
          <w:bCs/>
          <w:color w:val="auto"/>
          <w:spacing w:val="1"/>
          <w:sz w:val="32"/>
          <w:szCs w:val="32"/>
          <w:highlight w:val="none"/>
          <w:lang w:eastAsia="zh-CN"/>
        </w:rPr>
      </w:pPr>
      <w:r>
        <w:rPr>
          <w:rFonts w:hint="eastAsia" w:ascii="仿宋_GB2312" w:hAnsi="仿宋_GB2312" w:eastAsia="仿宋_GB2312" w:cs="仿宋_GB2312"/>
          <w:b/>
          <w:bCs/>
          <w:color w:val="auto"/>
          <w:spacing w:val="1"/>
          <w:sz w:val="32"/>
          <w:szCs w:val="32"/>
          <w:highlight w:val="none"/>
          <w:lang w:eastAsia="zh-CN"/>
        </w:rPr>
        <w:t>2.区域绩效目标情况</w:t>
      </w:r>
    </w:p>
    <w:p>
      <w:pPr>
        <w:pStyle w:val="7"/>
        <w:spacing w:line="560" w:lineRule="exact"/>
        <w:ind w:firstLine="644" w:firstLineChars="200"/>
        <w:jc w:val="both"/>
        <w:rPr>
          <w:rFonts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lang w:val="en-US" w:eastAsia="zh-CN"/>
        </w:rPr>
        <w:t>财政部随文</w:t>
      </w:r>
      <w:r>
        <w:rPr>
          <w:rFonts w:hint="eastAsia" w:ascii="仿宋_GB2312" w:hAnsi="仿宋_GB2312" w:eastAsia="仿宋_GB2312" w:cs="仿宋_GB2312"/>
          <w:color w:val="auto"/>
          <w:spacing w:val="1"/>
          <w:sz w:val="32"/>
          <w:szCs w:val="32"/>
          <w:highlight w:val="none"/>
          <w:lang w:eastAsia="zh-CN"/>
        </w:rPr>
        <w:t>下达</w:t>
      </w:r>
      <w:r>
        <w:rPr>
          <w:rFonts w:hint="eastAsia" w:ascii="仿宋_GB2312" w:hAnsi="仿宋_GB2312" w:eastAsia="仿宋_GB2312" w:cs="仿宋_GB2312"/>
          <w:color w:val="auto"/>
          <w:spacing w:val="1"/>
          <w:sz w:val="32"/>
          <w:szCs w:val="32"/>
          <w:highlight w:val="none"/>
          <w:lang w:val="en-US" w:eastAsia="zh-CN"/>
        </w:rPr>
        <w:t>新疆</w:t>
      </w:r>
      <w:r>
        <w:rPr>
          <w:rFonts w:hint="eastAsia" w:ascii="仿宋_GB2312" w:hAnsi="仿宋_GB2312" w:eastAsia="仿宋_GB2312" w:cs="仿宋_GB2312"/>
          <w:color w:val="auto"/>
          <w:spacing w:val="1"/>
          <w:sz w:val="32"/>
          <w:szCs w:val="32"/>
          <w:highlight w:val="none"/>
          <w:lang w:eastAsia="zh-CN"/>
        </w:rPr>
        <w:t>区域绩效目标如下：</w:t>
      </w:r>
    </w:p>
    <w:p>
      <w:pPr>
        <w:pStyle w:val="7"/>
        <w:spacing w:line="560" w:lineRule="exact"/>
        <w:ind w:firstLine="424" w:firstLineChars="200"/>
        <w:jc w:val="both"/>
        <w:rPr>
          <w:color w:val="auto"/>
          <w:spacing w:val="1"/>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723"/>
        <w:gridCol w:w="886"/>
        <w:gridCol w:w="1215"/>
        <w:gridCol w:w="1412"/>
        <w:gridCol w:w="1618"/>
        <w:gridCol w:w="3094"/>
      </w:tblGrid>
      <w:tr>
        <w:tblPrEx>
          <w:tblCellMar>
            <w:top w:w="0" w:type="dxa"/>
            <w:left w:w="108" w:type="dxa"/>
            <w:bottom w:w="0" w:type="dxa"/>
            <w:right w:w="108" w:type="dxa"/>
          </w:tblCellMar>
        </w:tblPrEx>
        <w:trPr>
          <w:trHeight w:val="800" w:hRule="atLeast"/>
        </w:trPr>
        <w:tc>
          <w:tcPr>
            <w:tcW w:w="5000" w:type="pct"/>
            <w:gridSpan w:val="6"/>
            <w:tcBorders>
              <w:top w:val="nil"/>
              <w:left w:val="nil"/>
              <w:bottom w:val="nil"/>
              <w:right w:val="nil"/>
            </w:tcBorders>
            <w:shd w:val="clear" w:color="auto" w:fill="auto"/>
            <w:vAlign w:val="center"/>
          </w:tcPr>
          <w:p>
            <w:pPr>
              <w:jc w:val="center"/>
              <w:textAlignment w:val="center"/>
              <w:rPr>
                <w:rFonts w:ascii="宋体" w:hAnsi="宋体" w:eastAsia="宋体" w:cs="宋体"/>
                <w:b/>
                <w:bCs/>
                <w:color w:val="auto"/>
                <w:sz w:val="32"/>
                <w:szCs w:val="32"/>
                <w:highlight w:val="none"/>
                <w:lang w:eastAsia="zh-CN"/>
              </w:rPr>
            </w:pPr>
            <w:r>
              <w:rPr>
                <w:rFonts w:hint="eastAsia" w:ascii="仿宋_GB2312" w:hAnsi="仿宋_GB2312" w:eastAsia="仿宋_GB2312" w:cs="仿宋_GB2312"/>
                <w:b/>
                <w:bCs/>
                <w:color w:val="auto"/>
                <w:sz w:val="24"/>
                <w:szCs w:val="24"/>
                <w:highlight w:val="none"/>
                <w:lang w:eastAsia="zh-CN"/>
              </w:rPr>
              <w:t>医疗服务与保障能力提升补助资金(医疗保障服务能力建设部分）区域绩效目标表</w:t>
            </w:r>
          </w:p>
        </w:tc>
      </w:tr>
      <w:tr>
        <w:tblPrEx>
          <w:tblCellMar>
            <w:top w:w="0" w:type="dxa"/>
            <w:left w:w="108" w:type="dxa"/>
            <w:bottom w:w="0" w:type="dxa"/>
            <w:right w:w="108" w:type="dxa"/>
          </w:tblCellMar>
        </w:tblPrEx>
        <w:trPr>
          <w:trHeight w:val="280" w:hRule="atLeast"/>
        </w:trPr>
        <w:tc>
          <w:tcPr>
            <w:tcW w:w="5000" w:type="pct"/>
            <w:gridSpan w:val="6"/>
            <w:tcBorders>
              <w:top w:val="nil"/>
              <w:left w:val="nil"/>
              <w:bottom w:val="nil"/>
              <w:right w:val="nil"/>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(2024年度)</w:t>
            </w:r>
          </w:p>
        </w:tc>
      </w:tr>
      <w:tr>
        <w:tblPrEx>
          <w:tblCellMar>
            <w:top w:w="0" w:type="dxa"/>
            <w:left w:w="108" w:type="dxa"/>
            <w:bottom w:w="0" w:type="dxa"/>
            <w:right w:w="108" w:type="dxa"/>
          </w:tblCellMar>
        </w:tblPrEx>
        <w:trPr>
          <w:trHeight w:val="280" w:hRule="atLeast"/>
        </w:trPr>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项目名称</w:t>
            </w:r>
          </w:p>
        </w:tc>
        <w:tc>
          <w:tcPr>
            <w:tcW w:w="41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2024年医疗服务与保障能力提升补助资金（医疗保障服务能力建设部分）</w:t>
            </w:r>
          </w:p>
        </w:tc>
      </w:tr>
      <w:tr>
        <w:tblPrEx>
          <w:tblCellMar>
            <w:top w:w="0" w:type="dxa"/>
            <w:left w:w="108" w:type="dxa"/>
            <w:bottom w:w="0" w:type="dxa"/>
            <w:right w:w="108" w:type="dxa"/>
          </w:tblCellMar>
        </w:tblPrEx>
        <w:trPr>
          <w:trHeight w:val="280" w:hRule="atLeast"/>
        </w:trPr>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省份</w:t>
            </w:r>
          </w:p>
        </w:tc>
        <w:tc>
          <w:tcPr>
            <w:tcW w:w="41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新疆维吾尔自治区</w:t>
            </w:r>
          </w:p>
        </w:tc>
      </w:tr>
      <w:tr>
        <w:tblPrEx>
          <w:tblCellMar>
            <w:top w:w="0" w:type="dxa"/>
            <w:left w:w="108" w:type="dxa"/>
            <w:bottom w:w="0" w:type="dxa"/>
            <w:right w:w="108" w:type="dxa"/>
          </w:tblCellMar>
        </w:tblPrEx>
        <w:trPr>
          <w:trHeight w:val="280" w:hRule="atLeast"/>
        </w:trPr>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省级财政部门</w:t>
            </w:r>
          </w:p>
        </w:tc>
        <w:tc>
          <w:tcPr>
            <w:tcW w:w="41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280" w:hRule="atLeast"/>
        </w:trPr>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省级主管部门</w:t>
            </w:r>
          </w:p>
        </w:tc>
        <w:tc>
          <w:tcPr>
            <w:tcW w:w="41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280" w:hRule="atLeast"/>
        </w:trPr>
        <w:tc>
          <w:tcPr>
            <w:tcW w:w="8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项目资金</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（万元）</w:t>
            </w:r>
          </w:p>
        </w:tc>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2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全年预算数</w:t>
            </w:r>
          </w:p>
        </w:tc>
      </w:tr>
      <w:tr>
        <w:tblPrEx>
          <w:tblCellMar>
            <w:top w:w="0" w:type="dxa"/>
            <w:left w:w="108" w:type="dxa"/>
            <w:bottom w:w="0" w:type="dxa"/>
            <w:right w:w="108" w:type="dxa"/>
          </w:tblCellMar>
        </w:tblPrEx>
        <w:trPr>
          <w:trHeight w:val="439" w:hRule="atLeast"/>
        </w:trPr>
        <w:tc>
          <w:tcPr>
            <w:tcW w:w="8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年度资金总额</w:t>
            </w:r>
          </w:p>
        </w:tc>
        <w:tc>
          <w:tcPr>
            <w:tcW w:w="2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10500</w:t>
            </w:r>
          </w:p>
        </w:tc>
      </w:tr>
      <w:tr>
        <w:tblPrEx>
          <w:tblCellMar>
            <w:top w:w="0" w:type="dxa"/>
            <w:left w:w="108" w:type="dxa"/>
            <w:bottom w:w="0" w:type="dxa"/>
            <w:right w:w="108" w:type="dxa"/>
          </w:tblCellMar>
        </w:tblPrEx>
        <w:trPr>
          <w:trHeight w:val="439" w:hRule="atLeast"/>
        </w:trPr>
        <w:tc>
          <w:tcPr>
            <w:tcW w:w="8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其中：中央补助</w:t>
            </w:r>
          </w:p>
        </w:tc>
        <w:tc>
          <w:tcPr>
            <w:tcW w:w="2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10500</w:t>
            </w:r>
          </w:p>
        </w:tc>
      </w:tr>
      <w:tr>
        <w:tblPrEx>
          <w:tblCellMar>
            <w:top w:w="0" w:type="dxa"/>
            <w:left w:w="108" w:type="dxa"/>
            <w:bottom w:w="0" w:type="dxa"/>
            <w:right w:w="108" w:type="dxa"/>
          </w:tblCellMar>
        </w:tblPrEx>
        <w:trPr>
          <w:trHeight w:val="439" w:hRule="atLeast"/>
        </w:trPr>
        <w:tc>
          <w:tcPr>
            <w:tcW w:w="8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地方资金</w:t>
            </w:r>
          </w:p>
        </w:tc>
        <w:tc>
          <w:tcPr>
            <w:tcW w:w="2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439" w:hRule="atLeast"/>
        </w:trPr>
        <w:tc>
          <w:tcPr>
            <w:tcW w:w="8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其他资金</w:t>
            </w:r>
          </w:p>
        </w:tc>
        <w:tc>
          <w:tcPr>
            <w:tcW w:w="2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997"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年度总体目标</w:t>
            </w:r>
          </w:p>
        </w:tc>
        <w:tc>
          <w:tcPr>
            <w:tcW w:w="45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有效提升医保信息化标准化、基金监管、经办管理、目录监管水平，推进医保支付方式、药品和医用耗材集中带量采购、医疗服务价格等改革任务。</w:t>
            </w:r>
          </w:p>
        </w:tc>
      </w:tr>
      <w:tr>
        <w:tblPrEx>
          <w:tblCellMar>
            <w:top w:w="0" w:type="dxa"/>
            <w:left w:w="108" w:type="dxa"/>
            <w:bottom w:w="0" w:type="dxa"/>
            <w:right w:w="108" w:type="dxa"/>
          </w:tblCellMar>
        </w:tblPrEx>
        <w:trPr>
          <w:trHeight w:val="280"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绩效目标</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一级指标</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二级指标</w:t>
            </w:r>
          </w:p>
        </w:tc>
        <w:tc>
          <w:tcPr>
            <w:tcW w:w="16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三级指标</w:t>
            </w:r>
          </w:p>
        </w:tc>
        <w:tc>
          <w:tcPr>
            <w:tcW w:w="1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年度指标值</w:t>
            </w:r>
          </w:p>
        </w:tc>
      </w:tr>
      <w:tr>
        <w:tblPrEx>
          <w:tblCellMar>
            <w:top w:w="0" w:type="dxa"/>
            <w:left w:w="108" w:type="dxa"/>
            <w:bottom w:w="0" w:type="dxa"/>
            <w:right w:w="108" w:type="dxa"/>
          </w:tblCellMar>
        </w:tblPrEx>
        <w:trPr>
          <w:trHeight w:val="28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产出目标</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基本医保参保人数</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≥2084万人</w:t>
            </w:r>
          </w:p>
        </w:tc>
      </w:tr>
      <w:tr>
        <w:tblPrEx>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每个县(区)范围内开通门诊慢特病相关治疗费用跨省联网定点医疗机构数量</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w:t>
            </w:r>
          </w:p>
        </w:tc>
      </w:tr>
      <w:tr>
        <w:tblPrEx>
          <w:tblCellMar>
            <w:top w:w="0" w:type="dxa"/>
            <w:left w:w="108" w:type="dxa"/>
            <w:bottom w:w="0" w:type="dxa"/>
            <w:right w:w="108" w:type="dxa"/>
          </w:tblCellMar>
        </w:tblPrEx>
        <w:trPr>
          <w:trHeight w:val="70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短缺药品异常高价和异常配送核查处置情况</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处置率达100%</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每年开展药品挂网价格联动次数</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质量指标</w:t>
            </w: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重复参保治理情况</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依托医保信息平台实施参保信息强制校验</w:t>
            </w:r>
          </w:p>
        </w:tc>
      </w:tr>
      <w:tr>
        <w:tblPrEx>
          <w:tblCellMar>
            <w:top w:w="0" w:type="dxa"/>
            <w:left w:w="108" w:type="dxa"/>
            <w:bottom w:w="0" w:type="dxa"/>
            <w:right w:w="108" w:type="dxa"/>
          </w:tblCellMar>
        </w:tblPrEx>
        <w:trPr>
          <w:trHeight w:val="6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医保基金综合监管能力</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有所提升</w:t>
            </w:r>
          </w:p>
        </w:tc>
      </w:tr>
      <w:tr>
        <w:tblPrEx>
          <w:tblCellMar>
            <w:top w:w="0" w:type="dxa"/>
            <w:left w:w="108" w:type="dxa"/>
            <w:bottom w:w="0" w:type="dxa"/>
            <w:right w:w="108" w:type="dxa"/>
          </w:tblCellMar>
        </w:tblPrEx>
        <w:trPr>
          <w:trHeight w:val="58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基金预警和风险防控能力</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有所提高</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推进医保支付方式改革</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省级出台支付方式改革文件并落实到位</w:t>
            </w:r>
          </w:p>
        </w:tc>
      </w:tr>
      <w:tr>
        <w:tblPrEx>
          <w:tblCellMar>
            <w:top w:w="0" w:type="dxa"/>
            <w:left w:w="108" w:type="dxa"/>
            <w:bottom w:w="0" w:type="dxa"/>
            <w:right w:w="108" w:type="dxa"/>
          </w:tblCellMar>
        </w:tblPrEx>
        <w:trPr>
          <w:trHeight w:val="7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医保经办服务能力</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有所提升</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医保标准化水平</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显著提升</w:t>
            </w:r>
          </w:p>
        </w:tc>
      </w:tr>
      <w:tr>
        <w:tblPrEx>
          <w:tblCellMar>
            <w:top w:w="0" w:type="dxa"/>
            <w:left w:w="108" w:type="dxa"/>
            <w:bottom w:w="0" w:type="dxa"/>
            <w:right w:w="108" w:type="dxa"/>
          </w:tblCellMar>
        </w:tblPrEx>
        <w:trPr>
          <w:trHeight w:val="68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开展村(社区)级医保服务、有网点提供帮办、代办服务的村(社区)覆盖率</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≥60%</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提升公立医疗机构平台采购药品耗材比例</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药品网采率≥85%，高值医用耗材网采率≥75%</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医保信息系统正常运行率</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国谈药等相关药品落地及统计监测情况</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国谈药品落地数据报送及时率100%</w:t>
            </w:r>
          </w:p>
        </w:tc>
      </w:tr>
      <w:tr>
        <w:tblPrEx>
          <w:tblCellMar>
            <w:top w:w="0" w:type="dxa"/>
            <w:left w:w="108" w:type="dxa"/>
            <w:bottom w:w="0" w:type="dxa"/>
            <w:right w:w="108" w:type="dxa"/>
          </w:tblCellMar>
        </w:tblPrEx>
        <w:trPr>
          <w:trHeight w:val="64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医疗服务价格动态调整与深化医疗服务价格改革试点执行情况</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按要求开展调价评估并进行调价，确保医疗服务价格管理与深化医疗服务价格改革方向一致</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集中带量采购落实情况</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完成国家组织集中采购中选产品约定采购量</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医药价格和招采信用评价制度建立和实施情况</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限定时限内反馈案源处理情况</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招采子系统落地应用情况</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实现交易、采购等核心功能应用</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医保目录管理规范性情况</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年内未出现违反目录管理政策情况</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时效指标</w:t>
            </w: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医保信息系统重大安全事件响应时间</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&lt;=60分钟</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医保信息系统运行维护响应时间</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&lt;=30分钟</w:t>
            </w:r>
          </w:p>
        </w:tc>
      </w:tr>
      <w:tr>
        <w:tblPrEx>
          <w:tblCellMar>
            <w:top w:w="0" w:type="dxa"/>
            <w:left w:w="108" w:type="dxa"/>
            <w:bottom w:w="0" w:type="dxa"/>
            <w:right w:w="108" w:type="dxa"/>
          </w:tblCellMar>
        </w:tblPrEx>
        <w:trPr>
          <w:trHeight w:val="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满意度指标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服务对象满意度指标</w:t>
            </w:r>
          </w:p>
        </w:tc>
        <w:tc>
          <w:tcPr>
            <w:tcW w:w="1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参保人员对医保服务的满意度</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≥85%</w:t>
            </w:r>
          </w:p>
        </w:tc>
      </w:tr>
    </w:tbl>
    <w:p>
      <w:pPr>
        <w:pStyle w:val="7"/>
        <w:numPr>
          <w:ilvl w:val="0"/>
          <w:numId w:val="1"/>
        </w:numPr>
        <w:spacing w:line="560" w:lineRule="exact"/>
        <w:ind w:firstLine="628" w:firstLineChars="200"/>
        <w:jc w:val="both"/>
        <w:rPr>
          <w:rFonts w:ascii="楷体_GB2312" w:hAnsi="楷体_GB2312" w:eastAsia="楷体_GB2312" w:cs="楷体_GB2312"/>
          <w:color w:val="auto"/>
          <w:spacing w:val="-3"/>
          <w:sz w:val="32"/>
          <w:szCs w:val="32"/>
          <w:highlight w:val="none"/>
          <w:lang w:eastAsia="zh-CN"/>
        </w:rPr>
      </w:pPr>
      <w:r>
        <w:rPr>
          <w:rFonts w:hint="eastAsia" w:ascii="楷体_GB2312" w:hAnsi="楷体_GB2312" w:eastAsia="楷体_GB2312" w:cs="楷体_GB2312"/>
          <w:color w:val="auto"/>
          <w:spacing w:val="-3"/>
          <w:sz w:val="32"/>
          <w:szCs w:val="32"/>
          <w:highlight w:val="none"/>
          <w:lang w:eastAsia="zh-CN"/>
        </w:rPr>
        <w:t>自治区资金安排、分解下达预算和绩效目标情况</w:t>
      </w:r>
    </w:p>
    <w:p>
      <w:pPr>
        <w:wordWrap w:val="0"/>
        <w:spacing w:line="560" w:lineRule="exact"/>
        <w:ind w:firstLine="628" w:firstLineChars="200"/>
        <w:jc w:val="both"/>
        <w:rPr>
          <w:rFonts w:hint="default" w:ascii="楷体_GB2312" w:hAnsi="楷体_GB2312" w:eastAsia="楷体_GB2312" w:cs="楷体_GB2312"/>
          <w:snapToGrid w:val="0"/>
          <w:color w:val="auto"/>
          <w:spacing w:val="-3"/>
          <w:sz w:val="32"/>
          <w:szCs w:val="32"/>
          <w:highlight w:val="none"/>
          <w:lang w:val="en-US" w:eastAsia="zh-CN" w:bidi="ar-SA"/>
        </w:rPr>
      </w:pPr>
      <w:r>
        <w:rPr>
          <w:rFonts w:hint="eastAsia" w:ascii="楷体_GB2312" w:hAnsi="楷体_GB2312" w:eastAsia="楷体_GB2312" w:cs="楷体_GB2312"/>
          <w:snapToGrid w:val="0"/>
          <w:color w:val="auto"/>
          <w:spacing w:val="-3"/>
          <w:sz w:val="32"/>
          <w:szCs w:val="32"/>
          <w:highlight w:val="none"/>
          <w:lang w:val="en-US" w:eastAsia="zh-CN" w:bidi="ar-SA"/>
        </w:rPr>
        <w:t xml:space="preserve">1.自治区分解下达预算情况 </w:t>
      </w:r>
    </w:p>
    <w:p>
      <w:pPr>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2023年12月16日，自治区</w:t>
      </w:r>
      <w:r>
        <w:rPr>
          <w:rFonts w:hint="eastAsia" w:ascii="仿宋_GB2312" w:hAnsi="仿宋_GB2312" w:eastAsia="仿宋_GB2312" w:cs="仿宋_GB2312"/>
          <w:color w:val="auto"/>
          <w:sz w:val="32"/>
          <w:szCs w:val="32"/>
          <w:highlight w:val="none"/>
          <w:lang w:eastAsia="zh-CN"/>
        </w:rPr>
        <w:t>《关于提前下达2024年中央财政医疗服务与保障能力提升补助资金(医疗保障服务能力建设部分)预算的通知》（新财社〔2023〕191号）</w:t>
      </w:r>
      <w:r>
        <w:rPr>
          <w:rFonts w:hint="eastAsia" w:ascii="仿宋_GB2312" w:hAnsi="仿宋_GB2312" w:eastAsia="仿宋_GB2312" w:cs="仿宋_GB2312"/>
          <w:color w:val="auto"/>
          <w:sz w:val="32"/>
          <w:szCs w:val="32"/>
          <w:highlight w:val="none"/>
          <w:lang w:val="en-US" w:eastAsia="zh-CN"/>
        </w:rPr>
        <w:t>分解下达中央资金8315万元；2024年5月24日，自治区</w:t>
      </w:r>
      <w:r>
        <w:rPr>
          <w:rFonts w:hint="eastAsia" w:ascii="仿宋_GB2312" w:hAnsi="仿宋_GB2312" w:eastAsia="仿宋_GB2312" w:cs="仿宋_GB2312"/>
          <w:color w:val="auto"/>
          <w:sz w:val="32"/>
          <w:szCs w:val="32"/>
          <w:highlight w:val="none"/>
          <w:lang w:eastAsia="zh-CN"/>
        </w:rPr>
        <w:t>《关于下达2024年中央财政医疗服务与保障能力提升补助资金(医疗保障服务能力建设部分)预算的通知》（新财社〔2024〕36号）分解下达中央资金</w:t>
      </w:r>
      <w:r>
        <w:rPr>
          <w:rFonts w:hint="eastAsia" w:ascii="仿宋_GB2312" w:hAnsi="仿宋_GB2312" w:eastAsia="仿宋_GB2312" w:cs="仿宋_GB2312"/>
          <w:color w:val="auto"/>
          <w:sz w:val="32"/>
          <w:szCs w:val="32"/>
          <w:highlight w:val="none"/>
          <w:lang w:val="en-US" w:eastAsia="zh-CN"/>
        </w:rPr>
        <w:t>2185万元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两批资金共计10500万元。</w:t>
      </w:r>
    </w:p>
    <w:p>
      <w:pPr>
        <w:spacing w:line="560" w:lineRule="exact"/>
        <w:ind w:firstLine="640" w:firstLineChars="200"/>
        <w:jc w:val="both"/>
        <w:rPr>
          <w:color w:val="auto"/>
          <w:highlight w:val="none"/>
          <w:lang w:eastAsia="zh-CN"/>
        </w:rPr>
      </w:pPr>
      <w:r>
        <w:rPr>
          <w:rFonts w:hint="eastAsia" w:ascii="仿宋_GB2312" w:hAnsi="仿宋_GB2312" w:eastAsia="仿宋_GB2312" w:cs="仿宋_GB2312"/>
          <w:color w:val="auto"/>
          <w:sz w:val="32"/>
          <w:szCs w:val="32"/>
          <w:highlight w:val="none"/>
          <w:lang w:eastAsia="zh-CN"/>
        </w:rPr>
        <w:t>2024年能力提升资金</w:t>
      </w:r>
      <w:r>
        <w:rPr>
          <w:rFonts w:hint="eastAsia" w:ascii="仿宋_GB2312" w:hAnsi="仿宋_GB2312" w:eastAsia="仿宋_GB2312" w:cs="仿宋_GB2312"/>
          <w:color w:val="auto"/>
          <w:sz w:val="32"/>
          <w:szCs w:val="32"/>
          <w:highlight w:val="none"/>
          <w:lang w:val="en-US" w:eastAsia="zh-CN"/>
        </w:rPr>
        <w:t>分解</w:t>
      </w:r>
      <w:r>
        <w:rPr>
          <w:rFonts w:hint="eastAsia" w:ascii="仿宋_GB2312" w:hAnsi="仿宋_GB2312" w:eastAsia="仿宋_GB2312" w:cs="仿宋_GB2312"/>
          <w:color w:val="auto"/>
          <w:sz w:val="32"/>
          <w:szCs w:val="32"/>
          <w:highlight w:val="none"/>
          <w:lang w:eastAsia="zh-CN"/>
        </w:rPr>
        <w:t>如下：</w:t>
      </w:r>
    </w:p>
    <w:tbl>
      <w:tblPr>
        <w:tblStyle w:val="14"/>
        <w:tblW w:w="5000" w:type="pct"/>
        <w:tblInd w:w="0" w:type="dxa"/>
        <w:tblLayout w:type="autofit"/>
        <w:tblCellMar>
          <w:top w:w="0" w:type="dxa"/>
          <w:left w:w="108" w:type="dxa"/>
          <w:bottom w:w="0" w:type="dxa"/>
          <w:right w:w="108" w:type="dxa"/>
        </w:tblCellMar>
      </w:tblPr>
      <w:tblGrid>
        <w:gridCol w:w="659"/>
        <w:gridCol w:w="1135"/>
        <w:gridCol w:w="1269"/>
        <w:gridCol w:w="981"/>
        <w:gridCol w:w="1258"/>
        <w:gridCol w:w="1251"/>
        <w:gridCol w:w="1269"/>
        <w:gridCol w:w="1126"/>
      </w:tblGrid>
      <w:tr>
        <w:tblPrEx>
          <w:tblCellMar>
            <w:top w:w="0" w:type="dxa"/>
            <w:left w:w="108" w:type="dxa"/>
            <w:bottom w:w="0" w:type="dxa"/>
            <w:right w:w="108" w:type="dxa"/>
          </w:tblCellMar>
        </w:tblPrEx>
        <w:trPr>
          <w:trHeight w:val="420" w:hRule="atLeast"/>
        </w:trPr>
        <w:tc>
          <w:tcPr>
            <w:tcW w:w="5000" w:type="pct"/>
            <w:gridSpan w:val="8"/>
            <w:tcBorders>
              <w:top w:val="nil"/>
              <w:left w:val="nil"/>
              <w:bottom w:val="nil"/>
              <w:right w:val="nil"/>
            </w:tcBorders>
            <w:shd w:val="clear" w:color="auto" w:fill="auto"/>
            <w:vAlign w:val="center"/>
          </w:tcPr>
          <w:p>
            <w:pPr>
              <w:jc w:val="center"/>
              <w:textAlignment w:val="center"/>
              <w:rPr>
                <w:rFonts w:hint="default" w:ascii="宋体" w:hAnsi="宋体" w:eastAsia="宋体" w:cs="宋体"/>
                <w:b/>
                <w:bCs/>
                <w:color w:val="auto"/>
                <w:sz w:val="32"/>
                <w:szCs w:val="32"/>
                <w:highlight w:val="none"/>
                <w:lang w:val="en-US" w:eastAsia="zh-CN"/>
              </w:rPr>
            </w:pPr>
            <w:r>
              <w:rPr>
                <w:rFonts w:hint="eastAsia" w:ascii="仿宋_GB2312" w:hAnsi="仿宋_GB2312" w:eastAsia="仿宋_GB2312" w:cs="仿宋_GB2312"/>
                <w:b/>
                <w:bCs/>
                <w:color w:val="auto"/>
                <w:sz w:val="28"/>
                <w:szCs w:val="28"/>
                <w:highlight w:val="none"/>
                <w:lang w:eastAsia="zh-CN"/>
              </w:rPr>
              <w:t>2024年中央财政医疗服务与保障能力提升补助资金(医疗保障服务能力建设部分)资金</w:t>
            </w:r>
            <w:r>
              <w:rPr>
                <w:rFonts w:hint="eastAsia" w:ascii="仿宋_GB2312" w:hAnsi="仿宋_GB2312" w:eastAsia="仿宋_GB2312" w:cs="仿宋_GB2312"/>
                <w:b/>
                <w:bCs/>
                <w:color w:val="auto"/>
                <w:sz w:val="28"/>
                <w:szCs w:val="28"/>
                <w:highlight w:val="none"/>
                <w:lang w:val="en-US" w:eastAsia="zh-CN"/>
              </w:rPr>
              <w:t>分解下达情况</w:t>
            </w:r>
          </w:p>
        </w:tc>
      </w:tr>
      <w:tr>
        <w:tblPrEx>
          <w:tblCellMar>
            <w:top w:w="0" w:type="dxa"/>
            <w:left w:w="108" w:type="dxa"/>
            <w:bottom w:w="0" w:type="dxa"/>
            <w:right w:w="108" w:type="dxa"/>
          </w:tblCellMar>
        </w:tblPrEx>
        <w:trPr>
          <w:trHeight w:val="380" w:hRule="atLeast"/>
        </w:trPr>
        <w:tc>
          <w:tcPr>
            <w:tcW w:w="5000" w:type="pct"/>
            <w:gridSpan w:val="8"/>
            <w:tcBorders>
              <w:top w:val="nil"/>
              <w:left w:val="nil"/>
              <w:bottom w:val="nil"/>
              <w:right w:val="nil"/>
            </w:tcBorders>
            <w:shd w:val="clear" w:color="auto" w:fill="auto"/>
            <w:noWrap/>
            <w:vAlign w:val="center"/>
          </w:tcPr>
          <w:p>
            <w:pPr>
              <w:jc w:val="right"/>
              <w:textAlignment w:val="center"/>
              <w:rPr>
                <w:rFonts w:ascii="宋体" w:hAnsi="宋体" w:eastAsia="宋体" w:cs="宋体"/>
                <w:b/>
                <w:bCs/>
                <w:color w:val="auto"/>
                <w:sz w:val="16"/>
                <w:szCs w:val="16"/>
                <w:highlight w:val="none"/>
              </w:rPr>
            </w:pPr>
            <w:r>
              <w:rPr>
                <w:rStyle w:val="25"/>
                <w:rFonts w:hint="eastAsia" w:ascii="仿宋_GB2312" w:hAnsi="仿宋_GB2312" w:eastAsia="仿宋_GB2312" w:cs="仿宋_GB2312"/>
                <w:b w:val="0"/>
                <w:bCs w:val="0"/>
                <w:color w:val="auto"/>
                <w:sz w:val="24"/>
                <w:szCs w:val="24"/>
                <w:highlight w:val="none"/>
                <w:lang w:eastAsia="zh-CN"/>
              </w:rPr>
              <w:t>单位：万元</w:t>
            </w:r>
          </w:p>
        </w:tc>
      </w:tr>
      <w:tr>
        <w:tblPrEx>
          <w:tblCellMar>
            <w:top w:w="0" w:type="dxa"/>
            <w:left w:w="108" w:type="dxa"/>
            <w:bottom w:w="0" w:type="dxa"/>
            <w:right w:w="108" w:type="dxa"/>
          </w:tblCellMar>
        </w:tblPrEx>
        <w:trPr>
          <w:trHeight w:val="785"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序号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单位</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医保支付方式改革</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基金监管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Style w:val="29"/>
                <w:rFonts w:hint="eastAsia" w:ascii="仿宋_GB2312" w:hAnsi="仿宋_GB2312" w:eastAsia="仿宋_GB2312" w:cs="仿宋_GB2312"/>
                <w:color w:val="auto"/>
                <w:sz w:val="20"/>
                <w:szCs w:val="20"/>
                <w:highlight w:val="none"/>
                <w:lang w:eastAsia="zh-CN"/>
              </w:rPr>
              <w:t>药品和医用耗材集</w:t>
            </w:r>
            <w:r>
              <w:rPr>
                <w:rStyle w:val="29"/>
                <w:rFonts w:hint="eastAsia" w:ascii="仿宋_GB2312" w:hAnsi="仿宋_GB2312" w:eastAsia="仿宋_GB2312" w:cs="仿宋_GB2312"/>
                <w:color w:val="auto"/>
                <w:sz w:val="20"/>
                <w:szCs w:val="20"/>
                <w:highlight w:val="none"/>
                <w:lang w:eastAsia="zh-CN"/>
              </w:rPr>
              <w:br w:type="textWrapping"/>
            </w:r>
            <w:r>
              <w:rPr>
                <w:rStyle w:val="29"/>
                <w:rFonts w:hint="eastAsia" w:ascii="仿宋_GB2312" w:hAnsi="仿宋_GB2312" w:eastAsia="仿宋_GB2312" w:cs="仿宋_GB2312"/>
                <w:color w:val="auto"/>
                <w:sz w:val="20"/>
                <w:szCs w:val="20"/>
                <w:highlight w:val="none"/>
                <w:lang w:eastAsia="zh-CN"/>
              </w:rPr>
              <w:t>中采购</w:t>
            </w:r>
            <w:r>
              <w:rPr>
                <w:rStyle w:val="29"/>
                <w:rFonts w:hint="eastAsia" w:ascii="仿宋_GB2312" w:hAnsi="仿宋_GB2312" w:eastAsia="仿宋_GB2312" w:cs="仿宋_GB2312"/>
                <w:color w:val="auto"/>
                <w:sz w:val="20"/>
                <w:szCs w:val="20"/>
                <w:highlight w:val="none"/>
                <w:lang w:eastAsia="zh-CN"/>
              </w:rPr>
              <w:br w:type="textWrapping"/>
            </w:r>
            <w:r>
              <w:rPr>
                <w:rStyle w:val="29"/>
                <w:rFonts w:hint="eastAsia" w:ascii="仿宋_GB2312" w:hAnsi="仿宋_GB2312" w:eastAsia="仿宋_GB2312" w:cs="仿宋_GB2312"/>
                <w:color w:val="auto"/>
                <w:sz w:val="20"/>
                <w:szCs w:val="20"/>
                <w:highlight w:val="none"/>
                <w:lang w:eastAsia="zh-CN"/>
              </w:rPr>
              <w:t>(医药价格监测)</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Style w:val="29"/>
                <w:rFonts w:hint="eastAsia" w:ascii="仿宋_GB2312" w:hAnsi="仿宋_GB2312" w:eastAsia="仿宋_GB2312" w:cs="仿宋_GB2312"/>
                <w:color w:val="auto"/>
                <w:sz w:val="20"/>
                <w:szCs w:val="20"/>
                <w:highlight w:val="none"/>
                <w:lang w:eastAsia="zh-CN"/>
              </w:rPr>
              <w:t>经办管理服务体系</w:t>
            </w:r>
            <w:r>
              <w:rPr>
                <w:rStyle w:val="29"/>
                <w:rFonts w:hint="eastAsia" w:ascii="仿宋_GB2312" w:hAnsi="仿宋_GB2312" w:eastAsia="仿宋_GB2312" w:cs="仿宋_GB2312"/>
                <w:color w:val="auto"/>
                <w:sz w:val="20"/>
                <w:szCs w:val="20"/>
                <w:highlight w:val="none"/>
                <w:lang w:eastAsia="zh-CN"/>
              </w:rPr>
              <w:br w:type="textWrapping"/>
            </w:r>
            <w:r>
              <w:rPr>
                <w:rStyle w:val="29"/>
                <w:rFonts w:hint="eastAsia" w:ascii="仿宋_GB2312" w:hAnsi="仿宋_GB2312" w:eastAsia="仿宋_GB2312" w:cs="仿宋_GB2312"/>
                <w:color w:val="auto"/>
                <w:sz w:val="20"/>
                <w:szCs w:val="20"/>
                <w:highlight w:val="none"/>
                <w:lang w:eastAsia="zh-CN"/>
              </w:rPr>
              <w:t>建设</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Style w:val="29"/>
                <w:rFonts w:ascii="仿宋_GB2312" w:hAnsi="仿宋_GB2312" w:eastAsia="仿宋_GB2312" w:cs="仿宋_GB2312"/>
                <w:color w:val="auto"/>
                <w:sz w:val="20"/>
                <w:szCs w:val="20"/>
                <w:highlight w:val="none"/>
                <w:lang w:eastAsia="zh-CN"/>
              </w:rPr>
            </w:pPr>
            <w:r>
              <w:rPr>
                <w:rStyle w:val="29"/>
                <w:rFonts w:hint="eastAsia" w:ascii="仿宋_GB2312" w:hAnsi="仿宋_GB2312" w:eastAsia="仿宋_GB2312" w:cs="仿宋_GB2312"/>
                <w:color w:val="auto"/>
                <w:sz w:val="20"/>
                <w:szCs w:val="20"/>
                <w:highlight w:val="none"/>
                <w:lang w:eastAsia="zh-CN"/>
              </w:rPr>
              <w:t>全区医保系统建设</w:t>
            </w:r>
          </w:p>
          <w:p>
            <w:pPr>
              <w:pStyle w:val="38"/>
              <w:jc w:val="center"/>
              <w:rPr>
                <w:color w:val="auto"/>
                <w:highlight w:val="none"/>
                <w:lang w:eastAsia="zh-CN"/>
              </w:rPr>
            </w:pPr>
            <w:r>
              <w:rPr>
                <w:rStyle w:val="29"/>
                <w:rFonts w:hint="eastAsia" w:ascii="仿宋_GB2312" w:hAnsi="仿宋_GB2312" w:eastAsia="仿宋_GB2312" w:cs="仿宋_GB2312"/>
                <w:color w:val="auto"/>
                <w:sz w:val="20"/>
                <w:szCs w:val="20"/>
                <w:highlight w:val="none"/>
                <w:lang w:eastAsia="zh-CN"/>
              </w:rPr>
              <w:t>（含数智工程及平台维护</w:t>
            </w:r>
            <w:r>
              <w:rPr>
                <w:rStyle w:val="29"/>
                <w:rFonts w:hint="eastAsia" w:ascii="仿宋_GB2312" w:hAnsi="仿宋_GB2312" w:eastAsia="仿宋_GB2312" w:cs="仿宋_GB2312"/>
                <w:color w:val="auto"/>
                <w:sz w:val="20"/>
                <w:szCs w:val="20"/>
                <w:highlight w:val="none"/>
                <w:lang w:val="en-US" w:eastAsia="zh-CN"/>
              </w:rPr>
              <w:t>2185万元</w:t>
            </w:r>
            <w:r>
              <w:rPr>
                <w:rStyle w:val="29"/>
                <w:rFonts w:hint="eastAsia" w:ascii="仿宋_GB2312" w:hAnsi="仿宋_GB2312" w:eastAsia="仿宋_GB2312" w:cs="仿宋_GB2312"/>
                <w:color w:val="auto"/>
                <w:sz w:val="20"/>
                <w:szCs w:val="20"/>
                <w:highlight w:val="none"/>
                <w:lang w:eastAsia="zh-CN"/>
              </w:rPr>
              <w:t>）</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合计</w:t>
            </w:r>
          </w:p>
        </w:tc>
      </w:tr>
      <w:tr>
        <w:tblPrEx>
          <w:tblCellMar>
            <w:top w:w="0" w:type="dxa"/>
            <w:left w:w="108" w:type="dxa"/>
            <w:bottom w:w="0" w:type="dxa"/>
            <w:right w:w="108" w:type="dxa"/>
          </w:tblCellMar>
        </w:tblPrEx>
        <w:trPr>
          <w:trHeight w:val="40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全区合计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580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1400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760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595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7165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10500</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自治区医保局</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542.7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7165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8307.7</w:t>
            </w:r>
          </w:p>
        </w:tc>
      </w:tr>
      <w:tr>
        <w:tblPrEx>
          <w:tblCellMar>
            <w:top w:w="0" w:type="dxa"/>
            <w:left w:w="108" w:type="dxa"/>
            <w:bottom w:w="0" w:type="dxa"/>
            <w:right w:w="108" w:type="dxa"/>
          </w:tblCellMar>
        </w:tblPrEx>
        <w:trPr>
          <w:trHeight w:val="39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地州合计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480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760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52.3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2192.3</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乌鲁木齐市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120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45</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172</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克拉玛依市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137</w:t>
            </w:r>
          </w:p>
        </w:tc>
      </w:tr>
      <w:tr>
        <w:tblPrEx>
          <w:tblCellMar>
            <w:top w:w="0" w:type="dxa"/>
            <w:left w:w="108" w:type="dxa"/>
            <w:bottom w:w="0" w:type="dxa"/>
            <w:right w:w="108" w:type="dxa"/>
          </w:tblCellMar>
        </w:tblPrEx>
        <w:trPr>
          <w:trHeight w:val="39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伊犁州</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245</w:t>
            </w:r>
          </w:p>
        </w:tc>
      </w:tr>
      <w:tr>
        <w:tblPrEx>
          <w:tblCellMar>
            <w:top w:w="0" w:type="dxa"/>
            <w:left w:w="108" w:type="dxa"/>
            <w:bottom w:w="0" w:type="dxa"/>
            <w:right w:w="108" w:type="dxa"/>
          </w:tblCellMar>
        </w:tblPrEx>
        <w:trPr>
          <w:trHeight w:val="41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塔城地区</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45</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109</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阿勒泰地区</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152.6</w:t>
            </w:r>
          </w:p>
        </w:tc>
      </w:tr>
      <w:tr>
        <w:tblPrEx>
          <w:tblCellMar>
            <w:top w:w="0" w:type="dxa"/>
            <w:left w:w="108" w:type="dxa"/>
            <w:bottom w:w="0" w:type="dxa"/>
            <w:right w:w="108" w:type="dxa"/>
          </w:tblCellMar>
        </w:tblPrEx>
        <w:trPr>
          <w:trHeight w:val="41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博州</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133</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昌吉州</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204</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巴州</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104</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阿克苏地区</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45</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126.1</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11</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克州</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35</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137.6</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12</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喀什地区</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120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304</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13</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和田地区</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111.3</w:t>
            </w:r>
          </w:p>
        </w:tc>
      </w:tr>
      <w:tr>
        <w:tblPrEx>
          <w:tblCellMar>
            <w:top w:w="0" w:type="dxa"/>
            <w:left w:w="108" w:type="dxa"/>
            <w:bottom w:w="0" w:type="dxa"/>
            <w:right w:w="108" w:type="dxa"/>
          </w:tblCellMar>
        </w:tblPrEx>
        <w:trPr>
          <w:trHeight w:val="4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14</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吐鲁番市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35</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137.7</w:t>
            </w:r>
          </w:p>
        </w:tc>
      </w:tr>
      <w:tr>
        <w:tblPrEx>
          <w:tblCellMar>
            <w:top w:w="0" w:type="dxa"/>
            <w:left w:w="108" w:type="dxa"/>
            <w:bottom w:w="0" w:type="dxa"/>
            <w:right w:w="108" w:type="dxa"/>
          </w:tblCellMar>
        </w:tblPrEx>
        <w:trPr>
          <w:trHeight w:val="395"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15</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9"/>
                <w:rFonts w:hint="eastAsia" w:ascii="仿宋_GB2312" w:hAnsi="仿宋_GB2312" w:eastAsia="仿宋_GB2312" w:cs="仿宋_GB2312"/>
                <w:color w:val="auto"/>
                <w:sz w:val="20"/>
                <w:szCs w:val="20"/>
                <w:highlight w:val="none"/>
                <w:lang w:eastAsia="zh-CN"/>
              </w:rPr>
              <w:t>哈密市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45</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119</w:t>
            </w:r>
          </w:p>
        </w:tc>
      </w:tr>
    </w:tbl>
    <w:p>
      <w:pPr>
        <w:pStyle w:val="7"/>
        <w:adjustRightInd/>
        <w:spacing w:line="560" w:lineRule="exact"/>
        <w:jc w:val="both"/>
        <w:rPr>
          <w:rFonts w:ascii="仿宋_GB2312" w:hAnsi="仿宋_GB2312" w:eastAsia="仿宋_GB2312" w:cs="仿宋_GB2312"/>
          <w:color w:val="auto"/>
          <w:spacing w:val="-3"/>
          <w:highlight w:val="none"/>
          <w:lang w:eastAsia="zh-CN"/>
        </w:rPr>
      </w:pPr>
    </w:p>
    <w:p>
      <w:pPr>
        <w:pStyle w:val="7"/>
        <w:adjustRightInd/>
        <w:spacing w:line="560" w:lineRule="exact"/>
        <w:jc w:val="both"/>
        <w:rPr>
          <w:rFonts w:ascii="仿宋_GB2312" w:hAnsi="仿宋_GB2312" w:eastAsia="仿宋_GB2312" w:cs="仿宋_GB2312"/>
          <w:b/>
          <w:bCs/>
          <w:color w:val="auto"/>
          <w:spacing w:val="-5"/>
          <w:sz w:val="32"/>
          <w:szCs w:val="32"/>
          <w:highlight w:val="none"/>
          <w:lang w:eastAsia="zh-CN"/>
        </w:rPr>
      </w:pPr>
      <w:r>
        <w:rPr>
          <w:rFonts w:hint="eastAsia" w:ascii="仿宋_GB2312" w:hAnsi="仿宋_GB2312" w:eastAsia="仿宋_GB2312" w:cs="仿宋_GB2312"/>
          <w:b/>
          <w:bCs/>
          <w:color w:val="auto"/>
          <w:spacing w:val="-3"/>
          <w:sz w:val="32"/>
          <w:szCs w:val="32"/>
          <w:highlight w:val="none"/>
          <w:lang w:val="en-US" w:eastAsia="zh-CN"/>
        </w:rPr>
        <w:t>2、</w:t>
      </w:r>
      <w:r>
        <w:rPr>
          <w:rFonts w:hint="eastAsia" w:ascii="仿宋_GB2312" w:hAnsi="仿宋_GB2312" w:eastAsia="仿宋_GB2312" w:cs="仿宋_GB2312"/>
          <w:b/>
          <w:bCs/>
          <w:color w:val="auto"/>
          <w:spacing w:val="-3"/>
          <w:sz w:val="32"/>
          <w:szCs w:val="32"/>
          <w:highlight w:val="none"/>
          <w:lang w:eastAsia="zh-CN"/>
        </w:rPr>
        <w:t>治区分解下达绩效目标情况</w:t>
      </w:r>
    </w:p>
    <w:p>
      <w:pPr>
        <w:adjustRightInd/>
        <w:spacing w:line="560" w:lineRule="exact"/>
        <w:ind w:firstLine="620" w:firstLineChars="200"/>
        <w:jc w:val="both"/>
        <w:outlineLvl w:val="0"/>
        <w:rPr>
          <w:rFonts w:ascii="仿宋_GB2312" w:hAnsi="仿宋_GB2312" w:eastAsia="仿宋_GB2312" w:cs="仿宋_GB2312"/>
          <w:color w:val="auto"/>
          <w:spacing w:val="-5"/>
          <w:sz w:val="32"/>
          <w:szCs w:val="32"/>
          <w:highlight w:val="none"/>
          <w:lang w:eastAsia="zh-CN"/>
        </w:rPr>
      </w:pPr>
      <w:r>
        <w:rPr>
          <w:rFonts w:hint="eastAsia" w:ascii="仿宋_GB2312" w:hAnsi="仿宋_GB2312" w:eastAsia="仿宋_GB2312" w:cs="仿宋_GB2312"/>
          <w:color w:val="auto"/>
          <w:spacing w:val="-5"/>
          <w:sz w:val="32"/>
          <w:szCs w:val="32"/>
          <w:highlight w:val="none"/>
          <w:lang w:eastAsia="zh-CN"/>
        </w:rPr>
        <w:t>自治区分解下达的区域绩效目标表，共15个统筹地区，分别为:自治区本级、乌鲁木齐市、克拉玛依市、伊犁州、塔城地区、阿勒泰地区、博州、昌吉州、巴州、阿克苏地区、克州、喀什地区、和田地区、吐鲁番市、哈密市。</w:t>
      </w:r>
    </w:p>
    <w:p>
      <w:pPr>
        <w:adjustRightInd/>
        <w:spacing w:line="560" w:lineRule="exact"/>
        <w:ind w:firstLine="620" w:firstLineChars="200"/>
        <w:jc w:val="both"/>
        <w:outlineLvl w:val="0"/>
        <w:rPr>
          <w:rFonts w:hint="eastAsia" w:ascii="仿宋_GB2312" w:hAnsi="仿宋_GB2312" w:eastAsia="仿宋_GB2312" w:cs="仿宋_GB2312"/>
          <w:color w:val="auto"/>
          <w:spacing w:val="-5"/>
          <w:sz w:val="32"/>
          <w:szCs w:val="32"/>
          <w:highlight w:val="none"/>
          <w:lang w:eastAsia="zh-CN"/>
        </w:rPr>
      </w:pPr>
      <w:r>
        <w:rPr>
          <w:rFonts w:hint="eastAsia" w:ascii="仿宋_GB2312" w:hAnsi="仿宋_GB2312" w:eastAsia="仿宋_GB2312" w:cs="仿宋_GB2312"/>
          <w:color w:val="auto"/>
          <w:spacing w:val="-5"/>
          <w:sz w:val="32"/>
          <w:szCs w:val="32"/>
          <w:highlight w:val="none"/>
          <w:lang w:eastAsia="zh-CN"/>
        </w:rPr>
        <w:t>具体绩效目标如下:</w:t>
      </w:r>
    </w:p>
    <w:p>
      <w:pPr>
        <w:pStyle w:val="38"/>
        <w:rPr>
          <w:color w:val="auto"/>
          <w:highlight w:val="none"/>
          <w:lang w:eastAsia="zh-CN"/>
        </w:rPr>
      </w:pPr>
    </w:p>
    <w:tbl>
      <w:tblPr>
        <w:tblStyle w:val="14"/>
        <w:tblW w:w="87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192"/>
        <w:gridCol w:w="443"/>
        <w:gridCol w:w="816"/>
        <w:gridCol w:w="1642"/>
        <w:gridCol w:w="977"/>
        <w:gridCol w:w="590"/>
        <w:gridCol w:w="503"/>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26" w:type="dxa"/>
            <w:gridSpan w:val="9"/>
            <w:tcBorders>
              <w:top w:val="nil"/>
              <w:left w:val="nil"/>
              <w:bottom w:val="nil"/>
              <w:right w:val="nil"/>
            </w:tcBorders>
            <w:shd w:val="clear" w:color="auto" w:fill="auto"/>
            <w:vAlign w:val="top"/>
          </w:tcPr>
          <w:p>
            <w:pPr>
              <w:jc w:val="center"/>
              <w:textAlignment w:val="center"/>
              <w:rPr>
                <w:rFonts w:ascii="宋体" w:hAnsi="宋体" w:eastAsia="宋体" w:cs="宋体"/>
                <w:b/>
                <w:bCs/>
                <w:i w:val="0"/>
                <w:iCs w:val="0"/>
                <w:color w:val="auto"/>
                <w:sz w:val="26"/>
                <w:szCs w:val="26"/>
                <w:highlight w:val="none"/>
                <w:u w:val="none"/>
              </w:rPr>
            </w:pPr>
            <w:r>
              <w:rPr>
                <w:rFonts w:hint="eastAsia" w:ascii="仿宋_GB2312" w:hAnsi="仿宋_GB2312" w:eastAsia="仿宋_GB2312" w:cs="仿宋_GB2312"/>
                <w:b/>
                <w:bCs/>
                <w:color w:val="auto"/>
                <w:sz w:val="32"/>
                <w:szCs w:val="32"/>
                <w:highlight w:val="none"/>
                <w:lang w:val="en-US" w:eastAsia="zh-CN"/>
              </w:rPr>
              <w:t>项 目 支 出 绩 效 目 标 表 ( 自治区本级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26" w:type="dxa"/>
            <w:gridSpan w:val="9"/>
            <w:tcBorders>
              <w:top w:val="nil"/>
              <w:left w:val="nil"/>
              <w:bottom w:val="single" w:color="auto" w:sz="4" w:space="0"/>
              <w:right w:val="nil"/>
            </w:tcBorders>
            <w:shd w:val="clear" w:color="auto" w:fill="auto"/>
            <w:vAlign w:val="top"/>
          </w:tcPr>
          <w:p>
            <w:pPr>
              <w:jc w:val="center"/>
              <w:textAlignment w:val="center"/>
              <w:rPr>
                <w:rFonts w:ascii="Arial" w:hAnsi="Arial" w:cs="Arial"/>
                <w:b/>
                <w:bCs/>
                <w:i w:val="0"/>
                <w:iCs w:val="0"/>
                <w:color w:val="auto"/>
                <w:sz w:val="22"/>
                <w:szCs w:val="22"/>
                <w:highlight w:val="none"/>
                <w:u w:val="none"/>
              </w:rPr>
            </w:pPr>
            <w:r>
              <w:rPr>
                <w:rStyle w:val="25"/>
                <w:rFonts w:hint="eastAsia" w:ascii="仿宋_GB2312" w:hAnsi="仿宋_GB2312" w:eastAsia="仿宋_GB2312" w:cs="仿宋_GB2312"/>
                <w:b w:val="0"/>
                <w:bCs w:val="0"/>
                <w:color w:val="auto"/>
                <w:sz w:val="24"/>
                <w:szCs w:val="24"/>
                <w:highlight w:val="none"/>
                <w:lang w:val="en-US" w:eastAsia="zh-CN"/>
              </w:rPr>
              <w:t xml:space="preserve">  (2024年)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998" w:type="dxa"/>
            <w:tcBorders>
              <w:top w:val="single" w:color="auto"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预算单位</w:t>
            </w:r>
          </w:p>
        </w:tc>
        <w:tc>
          <w:tcPr>
            <w:tcW w:w="4059"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新疆维吾尔自治区医疗保障局</w:t>
            </w:r>
          </w:p>
        </w:tc>
        <w:tc>
          <w:tcPr>
            <w:tcW w:w="98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项目名称</w:t>
            </w:r>
          </w:p>
        </w:tc>
        <w:tc>
          <w:tcPr>
            <w:tcW w:w="2689"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医保能力提升经费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8"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项目资金</w:t>
            </w:r>
            <w:r>
              <w:rPr>
                <w:rFonts w:hint="eastAsia" w:ascii="仿宋_GB2312" w:hAnsi="仿宋_GB2312" w:eastAsia="仿宋_GB2312" w:cs="仿宋_GB2312"/>
                <w:color w:val="auto"/>
                <w:sz w:val="20"/>
                <w:szCs w:val="20"/>
                <w:highlight w:val="none"/>
                <w:lang w:val="en-US" w:eastAsia="zh-CN"/>
              </w:rPr>
              <w:br w:type="textWrapping"/>
            </w:r>
            <w:r>
              <w:rPr>
                <w:rFonts w:hint="eastAsia" w:ascii="仿宋_GB2312" w:hAnsi="仿宋_GB2312" w:eastAsia="仿宋_GB2312" w:cs="仿宋_GB2312"/>
                <w:color w:val="auto"/>
                <w:sz w:val="20"/>
                <w:szCs w:val="20"/>
                <w:highlight w:val="none"/>
                <w:lang w:val="en-US" w:eastAsia="zh-CN"/>
              </w:rPr>
              <w:t>(万元)</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年度资金总额：</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 xml:space="preserve">6122.7 </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其中：财政拨款</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 xml:space="preserve">6122.7 </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其他资金</w:t>
            </w:r>
          </w:p>
        </w:tc>
        <w:tc>
          <w:tcPr>
            <w:tcW w:w="158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998"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项目总体目标</w:t>
            </w:r>
          </w:p>
        </w:tc>
        <w:tc>
          <w:tcPr>
            <w:tcW w:w="7728"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目标1:组织开展以“岗位练兵优服务，业务比武强规范”为主题的全地区医保经办系统练兵比武活动，通过练兵比武活动，为经办干部搭建补短板、强弱项、比技能的平合。</w:t>
            </w:r>
            <w:r>
              <w:rPr>
                <w:rFonts w:hint="eastAsia" w:ascii="仿宋_GB2312" w:hAnsi="仿宋_GB2312" w:eastAsia="仿宋_GB2312" w:cs="仿宋_GB2312"/>
                <w:color w:val="auto"/>
                <w:sz w:val="20"/>
                <w:szCs w:val="20"/>
                <w:highlight w:val="none"/>
                <w:lang w:val="en-US" w:eastAsia="zh-CN"/>
              </w:rPr>
              <w:br w:type="textWrapping"/>
            </w:r>
            <w:r>
              <w:rPr>
                <w:rFonts w:hint="eastAsia" w:ascii="仿宋_GB2312" w:hAnsi="仿宋_GB2312" w:eastAsia="仿宋_GB2312" w:cs="仿宋_GB2312"/>
                <w:color w:val="auto"/>
                <w:sz w:val="20"/>
                <w:szCs w:val="20"/>
                <w:highlight w:val="none"/>
                <w:lang w:val="en-US" w:eastAsia="zh-CN"/>
              </w:rPr>
              <w:t>目标2:重点围绕“参保如何办、得病找谁看、病重怎么转、报销如何办”等群众关心的热点问题进行宣传和解读，进一步提高参保群众对医保政策的知晓率。</w:t>
            </w:r>
            <w:r>
              <w:rPr>
                <w:rFonts w:hint="eastAsia" w:ascii="仿宋_GB2312" w:hAnsi="仿宋_GB2312" w:eastAsia="仿宋_GB2312" w:cs="仿宋_GB2312"/>
                <w:color w:val="auto"/>
                <w:sz w:val="20"/>
                <w:szCs w:val="20"/>
                <w:highlight w:val="none"/>
                <w:lang w:val="en-US" w:eastAsia="zh-CN"/>
              </w:rPr>
              <w:br w:type="textWrapping"/>
            </w:r>
            <w:r>
              <w:rPr>
                <w:rFonts w:hint="eastAsia" w:ascii="仿宋_GB2312" w:hAnsi="仿宋_GB2312" w:eastAsia="仿宋_GB2312" w:cs="仿宋_GB2312"/>
                <w:color w:val="auto"/>
                <w:sz w:val="20"/>
                <w:szCs w:val="20"/>
                <w:highlight w:val="none"/>
                <w:lang w:val="en-US"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w:t>
            </w:r>
            <w:r>
              <w:rPr>
                <w:rFonts w:hint="eastAsia" w:ascii="仿宋_GB2312" w:hAnsi="仿宋_GB2312" w:eastAsia="仿宋_GB2312" w:cs="仿宋_GB2312"/>
                <w:color w:val="auto"/>
                <w:sz w:val="20"/>
                <w:szCs w:val="20"/>
                <w:highlight w:val="none"/>
                <w:lang w:val="en-US" w:eastAsia="zh-CN"/>
              </w:rPr>
              <w:br w:type="textWrapping"/>
            </w:r>
            <w:r>
              <w:rPr>
                <w:rFonts w:hint="eastAsia" w:ascii="仿宋_GB2312" w:hAnsi="仿宋_GB2312" w:eastAsia="仿宋_GB2312" w:cs="仿宋_GB2312"/>
                <w:color w:val="auto"/>
                <w:sz w:val="20"/>
                <w:szCs w:val="20"/>
                <w:highlight w:val="none"/>
                <w:lang w:val="en-US" w:eastAsia="zh-CN"/>
              </w:rPr>
              <w:t>目标4:加强自治区医疗保障信用体系建设，健全守信激励与失信惩戒机制，营造诚实、自律、守信、互信的信用环境。在全区范围内选取2至3个统筹区开展信用体系建设工作；完善日常巡查、专项检查、飞行检查等多种形式检查制度和工作流程，确保规范执法。健全上下联动机制，落实属地管理，形成自治区飞行检查、地区抽查复查、县市现场检查全覆盖、定点医药机构自查常态化监督检查工作格局。</w:t>
            </w:r>
            <w:r>
              <w:rPr>
                <w:rFonts w:hint="eastAsia" w:ascii="仿宋_GB2312" w:hAnsi="仿宋_GB2312" w:eastAsia="仿宋_GB2312" w:cs="仿宋_GB2312"/>
                <w:color w:val="auto"/>
                <w:sz w:val="20"/>
                <w:szCs w:val="20"/>
                <w:highlight w:val="none"/>
                <w:lang w:val="en-US" w:eastAsia="zh-CN"/>
              </w:rPr>
              <w:br w:type="textWrapping"/>
            </w:r>
            <w:r>
              <w:rPr>
                <w:rFonts w:hint="eastAsia" w:ascii="仿宋_GB2312" w:hAnsi="仿宋_GB2312" w:eastAsia="仿宋_GB2312" w:cs="仿宋_GB2312"/>
                <w:color w:val="auto"/>
                <w:sz w:val="20"/>
                <w:szCs w:val="20"/>
                <w:highlight w:val="none"/>
                <w:lang w:val="en-US" w:eastAsia="zh-CN"/>
              </w:rPr>
              <w:t>目标5:根据《社会保险经办条例》、国家医疗保障局《关于开展数据两结合三赋能试点工作的通知》的重要部暑，结合《自治区数字政府改革建设方案》和《新疆维吾尔自治区医疗保障“十四五”规划》,充分发挥医保数据价值，深化医保数据应用赋能，提升医保数据赋能医保改革、管理和服务能力，实现医保数据纵向有效贯通、横向有序共享，系统业务有机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998"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一级指标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二级指标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三级指标</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产出指标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租赁演播厅场地数量</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练兵比武参赛地州数量</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&gt;=14个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全区医疗经办系统练兵比武拍摄宣传片数量</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&gt;=2部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租用乌鲁木齐国际机场LED电子大屏发布医保政策</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租用乌鲁木齐公交尾窗LED屏发布医保政策</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与新疆电视台合作制作短片，每个短片1分半钟时间，均在央视新闻频道播出</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&gt;=3个短片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印制《新疆医保问答手册(2023年)》</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&gt;=2万本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档案数字化管理</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&gt;=32万页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2024年底实现统筹地区病种覆盖入组率</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在全区范围内选取2至3个统筹区开展信用体系建设工作</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对全区14个统筹区开展飞行检查的覆盖率</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“两结合三赋能”覆盖医保云基础资源</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数量指标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“两结合三赋能”联系点数据应用覆盖率</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质量指标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符合国家局“两结合三赋能”方案</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时效指标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全区医疗经办系统练兵比武决赛完成时间</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2024年3月31日前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时效指标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完成年度各类监督检查任务</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2024年12月31日前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时效指标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“两结合三赋能”数智工程建设咨询现场响应</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&lt;=30分钟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成本指标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“两结合三赋能”数智工程建设技术服务成本</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&lt;=4980万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98"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效益指标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社会效益指标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提升全区经办队伍能力，提高经办服务水平</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可持续影响指标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系统可拓展性及灵活性</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基于HSAF技术框架有效支持弹性扩展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98"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满意度指标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满意度指标</w:t>
            </w:r>
          </w:p>
        </w:tc>
        <w:tc>
          <w:tcPr>
            <w:tcW w:w="4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医保统筹区数据应用满意度</w:t>
            </w:r>
          </w:p>
        </w:tc>
        <w:tc>
          <w:tcPr>
            <w:tcW w:w="209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98"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满意度指标</w:t>
            </w:r>
          </w:p>
        </w:tc>
        <w:tc>
          <w:tcPr>
            <w:tcW w:w="4432"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参赛地州满意度</w:t>
            </w:r>
          </w:p>
        </w:tc>
        <w:tc>
          <w:tcPr>
            <w:tcW w:w="2093"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&gt;=90%</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528"/>
        <w:gridCol w:w="1172"/>
        <w:gridCol w:w="1189"/>
        <w:gridCol w:w="3302"/>
        <w:gridCol w:w="1346"/>
        <w:gridCol w:w="1411"/>
      </w:tblGrid>
      <w:tr>
        <w:tblPrEx>
          <w:tblCellMar>
            <w:top w:w="0" w:type="dxa"/>
            <w:left w:w="108" w:type="dxa"/>
            <w:bottom w:w="0" w:type="dxa"/>
            <w:right w:w="108" w:type="dxa"/>
          </w:tblCellMar>
        </w:tblPrEx>
        <w:trPr>
          <w:trHeight w:val="750" w:hRule="atLeast"/>
        </w:trPr>
        <w:tc>
          <w:tcPr>
            <w:tcW w:w="5000" w:type="pct"/>
            <w:gridSpan w:val="6"/>
            <w:tcBorders>
              <w:top w:val="nil"/>
              <w:left w:val="nil"/>
              <w:bottom w:val="nil"/>
              <w:right w:val="nil"/>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lang w:eastAsia="zh-CN"/>
              </w:rPr>
            </w:pPr>
            <w:r>
              <w:rPr>
                <w:rFonts w:hint="eastAsia" w:ascii="仿宋_GB2312" w:hAnsi="仿宋_GB2312" w:eastAsia="仿宋_GB2312" w:cs="仿宋_GB2312"/>
                <w:b/>
                <w:bCs/>
                <w:color w:val="auto"/>
                <w:sz w:val="32"/>
                <w:szCs w:val="32"/>
                <w:highlight w:val="none"/>
                <w:lang w:eastAsia="zh-CN"/>
              </w:rPr>
              <w:t>2024年医疗服务与保障能力提升补助资金(医疗保障服务能力建设部分)区域绩效目标表</w:t>
            </w:r>
          </w:p>
        </w:tc>
      </w:tr>
      <w:tr>
        <w:tblPrEx>
          <w:tblCellMar>
            <w:top w:w="0" w:type="dxa"/>
            <w:left w:w="108" w:type="dxa"/>
            <w:bottom w:w="0" w:type="dxa"/>
            <w:right w:w="108" w:type="dxa"/>
          </w:tblCellMar>
        </w:tblPrEx>
        <w:trPr>
          <w:trHeight w:val="340" w:hRule="atLeast"/>
        </w:trPr>
        <w:tc>
          <w:tcPr>
            <w:tcW w:w="5000" w:type="pct"/>
            <w:gridSpan w:val="6"/>
            <w:tcBorders>
              <w:top w:val="nil"/>
              <w:left w:val="nil"/>
              <w:bottom w:val="nil"/>
              <w:right w:val="nil"/>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Style w:val="25"/>
                <w:rFonts w:hint="eastAsia" w:ascii="仿宋_GB2312" w:hAnsi="仿宋_GB2312" w:eastAsia="仿宋_GB2312" w:cs="仿宋_GB2312"/>
                <w:b w:val="0"/>
                <w:bCs w:val="0"/>
                <w:color w:val="auto"/>
                <w:sz w:val="24"/>
                <w:szCs w:val="24"/>
                <w:highlight w:val="none"/>
                <w:lang w:eastAsia="zh-CN"/>
              </w:rPr>
              <w:t>(2024年度)</w:t>
            </w:r>
          </w:p>
        </w:tc>
      </w:tr>
      <w:tr>
        <w:tblPrEx>
          <w:tblCellMar>
            <w:top w:w="0" w:type="dxa"/>
            <w:left w:w="108" w:type="dxa"/>
            <w:bottom w:w="0" w:type="dxa"/>
            <w:right w:w="108" w:type="dxa"/>
          </w:tblCellMar>
        </w:tblPrEx>
        <w:trPr>
          <w:trHeight w:val="335"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项目名称</w:t>
            </w:r>
          </w:p>
        </w:tc>
        <w:tc>
          <w:tcPr>
            <w:tcW w:w="33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医疗服务与保障能力提升补助资金(医疗保障服务能力建设部分)第二批</w:t>
            </w:r>
          </w:p>
        </w:tc>
      </w:tr>
      <w:tr>
        <w:tblPrEx>
          <w:tblCellMar>
            <w:top w:w="0" w:type="dxa"/>
            <w:left w:w="108" w:type="dxa"/>
            <w:bottom w:w="0" w:type="dxa"/>
            <w:right w:w="108" w:type="dxa"/>
          </w:tblCellMar>
        </w:tblPrEx>
        <w:trPr>
          <w:trHeight w:val="350"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省份</w:t>
            </w:r>
          </w:p>
        </w:tc>
        <w:tc>
          <w:tcPr>
            <w:tcW w:w="33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新疆维吾尔自治区</w:t>
            </w:r>
          </w:p>
        </w:tc>
      </w:tr>
      <w:tr>
        <w:tblPrEx>
          <w:tblCellMar>
            <w:top w:w="0" w:type="dxa"/>
            <w:left w:w="108" w:type="dxa"/>
            <w:bottom w:w="0" w:type="dxa"/>
            <w:right w:w="108" w:type="dxa"/>
          </w:tblCellMar>
        </w:tblPrEx>
        <w:trPr>
          <w:trHeight w:val="340"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省级财政部门</w:t>
            </w:r>
          </w:p>
        </w:tc>
        <w:tc>
          <w:tcPr>
            <w:tcW w:w="33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自治区财政厅</w:t>
            </w:r>
          </w:p>
        </w:tc>
      </w:tr>
      <w:tr>
        <w:tblPrEx>
          <w:tblCellMar>
            <w:top w:w="0" w:type="dxa"/>
            <w:left w:w="108" w:type="dxa"/>
            <w:bottom w:w="0" w:type="dxa"/>
            <w:right w:w="108" w:type="dxa"/>
          </w:tblCellMar>
        </w:tblPrEx>
        <w:trPr>
          <w:trHeight w:val="350"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省级主管部门</w:t>
            </w:r>
          </w:p>
        </w:tc>
        <w:tc>
          <w:tcPr>
            <w:tcW w:w="33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自治区医疗保障局</w:t>
            </w:r>
          </w:p>
        </w:tc>
      </w:tr>
      <w:tr>
        <w:tblPrEx>
          <w:tblCellMar>
            <w:top w:w="0" w:type="dxa"/>
            <w:left w:w="108" w:type="dxa"/>
            <w:bottom w:w="0" w:type="dxa"/>
            <w:right w:w="108" w:type="dxa"/>
          </w:tblCellMar>
        </w:tblPrEx>
        <w:trPr>
          <w:trHeight w:val="350" w:hRule="atLeast"/>
        </w:trPr>
        <w:tc>
          <w:tcPr>
            <w:tcW w:w="9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资金情况(万元)</w:t>
            </w:r>
          </w:p>
        </w:tc>
        <w:tc>
          <w:tcPr>
            <w:tcW w:w="3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年度金额</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2185</w:t>
            </w:r>
          </w:p>
        </w:tc>
      </w:tr>
      <w:tr>
        <w:tblPrEx>
          <w:tblCellMar>
            <w:top w:w="0" w:type="dxa"/>
            <w:left w:w="108" w:type="dxa"/>
            <w:bottom w:w="0" w:type="dxa"/>
            <w:right w:w="108" w:type="dxa"/>
          </w:tblCellMar>
        </w:tblPrEx>
        <w:trPr>
          <w:trHeight w:val="330" w:hRule="atLeast"/>
        </w:trPr>
        <w:tc>
          <w:tcPr>
            <w:tcW w:w="9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3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其中：中央资金</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2185</w:t>
            </w:r>
          </w:p>
        </w:tc>
      </w:tr>
      <w:tr>
        <w:tblPrEx>
          <w:tblCellMar>
            <w:top w:w="0" w:type="dxa"/>
            <w:left w:w="108" w:type="dxa"/>
            <w:bottom w:w="0" w:type="dxa"/>
            <w:right w:w="108" w:type="dxa"/>
          </w:tblCellMar>
        </w:tblPrEx>
        <w:trPr>
          <w:trHeight w:val="360" w:hRule="atLeast"/>
        </w:trPr>
        <w:tc>
          <w:tcPr>
            <w:tcW w:w="9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3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地方资金</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330" w:hRule="atLeast"/>
        </w:trPr>
        <w:tc>
          <w:tcPr>
            <w:tcW w:w="9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3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其他资金</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1760" w:hRule="atLeast"/>
        </w:trPr>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年度目标</w:t>
            </w:r>
          </w:p>
        </w:tc>
        <w:tc>
          <w:tcPr>
            <w:tcW w:w="40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目标1:按照急用先行、重点先做、逐层推进的原则，   以数据质量为基础、数据安全为前提、制度规范为保障、数据有效使用为目标，制定规范标准、优化应用环境、开发渠道模式、强化数据质量，提升医保数据赋能医保改革、管理和服务能力，实现医保数据纵向有效贯通、横向有序共享，系统业务有机融合，树立“数智医保守护健康人生”新形象。</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目标2:实施“两结合三赋能”数智工程项目建设。</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目标3:实施医疗保障信息平台运行维护。</w:t>
            </w:r>
          </w:p>
        </w:tc>
      </w:tr>
      <w:tr>
        <w:tblPrEx>
          <w:tblCellMar>
            <w:top w:w="0" w:type="dxa"/>
            <w:left w:w="108" w:type="dxa"/>
            <w:bottom w:w="0" w:type="dxa"/>
            <w:right w:w="108" w:type="dxa"/>
          </w:tblCellMar>
        </w:tblPrEx>
        <w:trPr>
          <w:trHeight w:val="450"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绩效指标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一级指标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二级指标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三级指标</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指标值(包含数字及</w:t>
            </w:r>
          </w:p>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文字描述)</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lang w:eastAsia="zh-CN"/>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产出指标</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召开“两结合三赋能”数智工程项目建设专家论证会次数</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≥3次</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“两结合三赋能”数智工程覆盖统筹区</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15个</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数据专区建设覆盖地(州)市数量</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zh-CN"/>
              </w:rPr>
              <w:t>14个</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"两结合三赋能"数智工程数据应用场景建设数量</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≥9个</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质量指标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医保信息系统验收合格率</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云平台服务器等设备合格率</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100%</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医保信息系统正常运行率</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医保信息系统重大安全事件响应时间</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≤60分钟</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时效指标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“两结合三赋能”数智工程项目可研报告批复时间</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2021年6月30日前</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“两结合三赋能”数智工程项目初步设计及概算批复时间</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2021年8月30日前</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产出指标</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成本指标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业务系统新增功能点单价</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≤4.5万元/个</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云平台服务器单价</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≤7.5万元/台</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技术服务人员</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≤15万元/年</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效益指标</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社会效益指标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数据治理能力</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有所提高</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医保信息化水平</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显著提升</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医保标准化水平</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显著提升</w:t>
            </w:r>
          </w:p>
        </w:tc>
      </w:tr>
      <w:tr>
        <w:tblPrEx>
          <w:tblCellMar>
            <w:top w:w="0" w:type="dxa"/>
            <w:left w:w="108" w:type="dxa"/>
            <w:bottom w:w="0" w:type="dxa"/>
            <w:right w:w="108" w:type="dxa"/>
          </w:tblCellMar>
        </w:tblPrEx>
        <w:trPr>
          <w:trHeight w:val="624"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both"/>
              <w:rPr>
                <w:rFonts w:ascii="仿宋_GB2312" w:hAnsi="仿宋_GB2312" w:eastAsia="仿宋_GB2312" w:cs="仿宋_GB2312"/>
                <w:color w:val="auto"/>
                <w:sz w:val="20"/>
                <w:szCs w:val="20"/>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满意度指标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满意度指标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医药机构对医保信息平台服务满意度</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≥70%</w:t>
            </w:r>
          </w:p>
        </w:tc>
      </w:tr>
    </w:tbl>
    <w:p>
      <w:pPr>
        <w:rPr>
          <w:color w:val="auto"/>
          <w:highlight w:val="none"/>
          <w:lang w:eastAsia="zh-CN"/>
        </w:rPr>
      </w:pPr>
    </w:p>
    <w:p>
      <w:pPr>
        <w:pStyle w:val="38"/>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301"/>
        <w:gridCol w:w="1249"/>
        <w:gridCol w:w="540"/>
        <w:gridCol w:w="846"/>
        <w:gridCol w:w="1614"/>
        <w:gridCol w:w="932"/>
        <w:gridCol w:w="299"/>
        <w:gridCol w:w="1121"/>
        <w:gridCol w:w="1046"/>
      </w:tblGrid>
      <w:tr>
        <w:tblPrEx>
          <w:tblCellMar>
            <w:top w:w="0" w:type="dxa"/>
            <w:left w:w="108" w:type="dxa"/>
            <w:bottom w:w="0" w:type="dxa"/>
            <w:right w:w="108" w:type="dxa"/>
          </w:tblCellMar>
        </w:tblPrEx>
        <w:trPr>
          <w:trHeight w:val="435" w:hRule="atLeast"/>
        </w:trPr>
        <w:tc>
          <w:tcPr>
            <w:tcW w:w="5000" w:type="pct"/>
            <w:gridSpan w:val="9"/>
            <w:tcBorders>
              <w:top w:val="nil"/>
              <w:left w:val="nil"/>
              <w:bottom w:val="nil"/>
              <w:right w:val="nil"/>
            </w:tcBorders>
            <w:shd w:val="clear" w:color="auto" w:fill="auto"/>
            <w:vAlign w:val="center"/>
          </w:tcPr>
          <w:p>
            <w:pPr>
              <w:jc w:val="center"/>
              <w:textAlignment w:val="center"/>
              <w:rPr>
                <w:rFonts w:ascii="仿宋_GB2312" w:hAnsi="仿宋_GB2312" w:eastAsia="仿宋_GB2312" w:cs="仿宋_GB2312"/>
                <w:b/>
                <w:bCs/>
                <w:color w:val="auto"/>
                <w:sz w:val="34"/>
                <w:szCs w:val="34"/>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表(乌鲁木齐</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lang w:eastAsia="zh-CN"/>
              </w:rPr>
              <w:t>)</w:t>
            </w:r>
          </w:p>
        </w:tc>
      </w:tr>
      <w:tr>
        <w:tblPrEx>
          <w:tblCellMar>
            <w:top w:w="0" w:type="dxa"/>
            <w:left w:w="108" w:type="dxa"/>
            <w:bottom w:w="0" w:type="dxa"/>
            <w:right w:w="108" w:type="dxa"/>
          </w:tblCellMar>
        </w:tblPrEx>
        <w:trPr>
          <w:trHeight w:val="405" w:hRule="atLeast"/>
        </w:trPr>
        <w:tc>
          <w:tcPr>
            <w:tcW w:w="5000" w:type="pct"/>
            <w:gridSpan w:val="9"/>
            <w:tcBorders>
              <w:top w:val="nil"/>
              <w:left w:val="nil"/>
              <w:bottom w:val="nil"/>
              <w:right w:val="nil"/>
            </w:tcBorders>
            <w:shd w:val="clear" w:color="auto" w:fill="auto"/>
            <w:vAlign w:val="center"/>
          </w:tcPr>
          <w:p>
            <w:pPr>
              <w:jc w:val="center"/>
              <w:textAlignment w:val="center"/>
              <w:rPr>
                <w:rFonts w:ascii="仿宋_GB2312" w:hAnsi="仿宋_GB2312" w:eastAsia="仿宋_GB2312" w:cs="仿宋_GB2312"/>
                <w:b/>
                <w:bCs/>
                <w:color w:val="auto"/>
                <w:sz w:val="30"/>
                <w:szCs w:val="30"/>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545"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71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1" w:firstLineChars="10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 xml:space="preserve">  (万元)</w:t>
            </w:r>
          </w:p>
        </w:tc>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172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172</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2205"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2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83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680" w:hRule="atLeast"/>
        </w:trPr>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参赛区县数量</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≥8个</w:t>
            </w:r>
          </w:p>
        </w:tc>
      </w:tr>
      <w:tr>
        <w:tblPrEx>
          <w:tblCellMar>
            <w:top w:w="0" w:type="dxa"/>
            <w:left w:w="108" w:type="dxa"/>
            <w:bottom w:w="0" w:type="dxa"/>
            <w:right w:w="108" w:type="dxa"/>
          </w:tblCellMar>
        </w:tblPrEx>
        <w:trPr>
          <w:trHeight w:val="680" w:hRule="atLeast"/>
        </w:trPr>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80" w:hRule="atLeast"/>
        </w:trPr>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80" w:hRule="atLeast"/>
        </w:trPr>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完成年度各类监督检查任务时间(基金监管)</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2023年12月31日前</w:t>
            </w:r>
          </w:p>
        </w:tc>
      </w:tr>
      <w:tr>
        <w:tblPrEx>
          <w:tblCellMar>
            <w:top w:w="0" w:type="dxa"/>
            <w:left w:w="108" w:type="dxa"/>
            <w:bottom w:w="0" w:type="dxa"/>
            <w:right w:w="108" w:type="dxa"/>
          </w:tblCellMar>
        </w:tblPrEx>
        <w:trPr>
          <w:trHeight w:val="680" w:hRule="atLeast"/>
        </w:trPr>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经办服务能力提升资金</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≤7万元</w:t>
            </w:r>
          </w:p>
        </w:tc>
      </w:tr>
      <w:tr>
        <w:tblPrEx>
          <w:tblCellMar>
            <w:top w:w="0" w:type="dxa"/>
            <w:left w:w="108" w:type="dxa"/>
            <w:bottom w:w="0" w:type="dxa"/>
            <w:right w:w="108" w:type="dxa"/>
          </w:tblCellMar>
        </w:tblPrEx>
        <w:trPr>
          <w:trHeight w:val="680" w:hRule="atLeast"/>
        </w:trPr>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基金监管能力提升资金</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≤120万元</w:t>
            </w:r>
          </w:p>
        </w:tc>
      </w:tr>
      <w:tr>
        <w:tblPrEx>
          <w:tblCellMar>
            <w:top w:w="0" w:type="dxa"/>
            <w:left w:w="108" w:type="dxa"/>
            <w:bottom w:w="0" w:type="dxa"/>
            <w:right w:w="108" w:type="dxa"/>
          </w:tblCellMar>
        </w:tblPrEx>
        <w:trPr>
          <w:trHeight w:val="68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提升全市经办队伍能力，提高经办服务水平</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有效提升</w:t>
            </w:r>
          </w:p>
        </w:tc>
      </w:tr>
      <w:tr>
        <w:tblPrEx>
          <w:tblCellMar>
            <w:top w:w="0" w:type="dxa"/>
            <w:left w:w="108" w:type="dxa"/>
            <w:bottom w:w="0" w:type="dxa"/>
            <w:right w:w="108" w:type="dxa"/>
          </w:tblCellMar>
        </w:tblPrEx>
        <w:trPr>
          <w:trHeight w:val="680" w:hRule="atLeast"/>
        </w:trPr>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80" w:hRule="atLeast"/>
        </w:trPr>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各区(县)满意度</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034"/>
        <w:gridCol w:w="1305"/>
        <w:gridCol w:w="335"/>
        <w:gridCol w:w="940"/>
        <w:gridCol w:w="1800"/>
        <w:gridCol w:w="1036"/>
        <w:gridCol w:w="539"/>
        <w:gridCol w:w="830"/>
        <w:gridCol w:w="1129"/>
      </w:tblGrid>
      <w:tr>
        <w:tblPrEx>
          <w:tblCellMar>
            <w:top w:w="0" w:type="dxa"/>
            <w:left w:w="108" w:type="dxa"/>
            <w:bottom w:w="0" w:type="dxa"/>
            <w:right w:w="108" w:type="dxa"/>
          </w:tblCellMar>
        </w:tblPrEx>
        <w:trPr>
          <w:trHeight w:val="435" w:hRule="atLeast"/>
        </w:trPr>
        <w:tc>
          <w:tcPr>
            <w:tcW w:w="5000" w:type="pct"/>
            <w:gridSpan w:val="9"/>
            <w:tcBorders>
              <w:top w:val="nil"/>
              <w:left w:val="nil"/>
              <w:bottom w:val="nil"/>
              <w:right w:val="nil"/>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b/>
                <w:bCs/>
                <w:color w:val="auto"/>
                <w:sz w:val="36"/>
                <w:szCs w:val="36"/>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克拉玛依市 )</w:t>
            </w:r>
          </w:p>
        </w:tc>
      </w:tr>
      <w:tr>
        <w:tblPrEx>
          <w:tblCellMar>
            <w:top w:w="0" w:type="dxa"/>
            <w:left w:w="108" w:type="dxa"/>
            <w:bottom w:w="0" w:type="dxa"/>
            <w:right w:w="108" w:type="dxa"/>
          </w:tblCellMar>
        </w:tblPrEx>
        <w:trPr>
          <w:trHeight w:val="405" w:hRule="atLeast"/>
        </w:trPr>
        <w:tc>
          <w:tcPr>
            <w:tcW w:w="5000" w:type="pct"/>
            <w:gridSpan w:val="9"/>
            <w:tcBorders>
              <w:top w:val="nil"/>
              <w:left w:val="nil"/>
              <w:bottom w:val="nil"/>
              <w:right w:val="nil"/>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b/>
                <w:bCs/>
                <w:color w:val="auto"/>
                <w:sz w:val="30"/>
                <w:szCs w:val="30"/>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515"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4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62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(万元)</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137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137</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38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4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统筹地区医保基金总额预算覆盖率：2024年底不低于70%。</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4: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6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490"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练兵比武参赛区数量</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≥4个</w:t>
            </w:r>
          </w:p>
        </w:tc>
      </w:tr>
      <w:tr>
        <w:tblPrEx>
          <w:tblCellMar>
            <w:top w:w="0" w:type="dxa"/>
            <w:left w:w="108" w:type="dxa"/>
            <w:bottom w:w="0" w:type="dxa"/>
            <w:right w:w="108" w:type="dxa"/>
          </w:tblCellMar>
        </w:tblPrEx>
        <w:trPr>
          <w:trHeight w:val="48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召开医药价格工作政策吹风会、宣传活动、调研指导次数</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0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49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2024年底实现统筹地区病种覆盖入组率</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49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=100%</w:t>
            </w:r>
          </w:p>
        </w:tc>
      </w:tr>
      <w:tr>
        <w:tblPrEx>
          <w:tblCellMar>
            <w:top w:w="0" w:type="dxa"/>
            <w:left w:w="108" w:type="dxa"/>
            <w:bottom w:w="0" w:type="dxa"/>
            <w:right w:w="108" w:type="dxa"/>
          </w:tblCellMar>
        </w:tblPrEx>
        <w:trPr>
          <w:trHeight w:val="50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=100%</w:t>
            </w:r>
          </w:p>
        </w:tc>
      </w:tr>
      <w:tr>
        <w:tblPrEx>
          <w:tblCellMar>
            <w:top w:w="0" w:type="dxa"/>
            <w:left w:w="108" w:type="dxa"/>
            <w:bottom w:w="0" w:type="dxa"/>
            <w:right w:w="108" w:type="dxa"/>
          </w:tblCellMar>
        </w:tblPrEx>
        <w:trPr>
          <w:trHeight w:val="47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49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完成年度各类监督检查任务时间(基金监管)</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2024年12月31日前</w:t>
            </w:r>
          </w:p>
        </w:tc>
      </w:tr>
      <w:tr>
        <w:tblPrEx>
          <w:tblCellMar>
            <w:top w:w="0" w:type="dxa"/>
            <w:left w:w="108" w:type="dxa"/>
            <w:bottom w:w="0" w:type="dxa"/>
            <w:right w:w="108" w:type="dxa"/>
          </w:tblCellMar>
        </w:tblPrEx>
        <w:trPr>
          <w:trHeight w:val="50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DRG支付方式改革能力提升经费</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≤50万元</w:t>
            </w:r>
          </w:p>
        </w:tc>
      </w:tr>
      <w:tr>
        <w:tblPrEx>
          <w:tblCellMar>
            <w:top w:w="0" w:type="dxa"/>
            <w:left w:w="108" w:type="dxa"/>
            <w:bottom w:w="0" w:type="dxa"/>
            <w:right w:w="108" w:type="dxa"/>
          </w:tblCellMar>
        </w:tblPrEx>
        <w:trPr>
          <w:trHeight w:val="490"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DRG付费改革覆盖率逐步提高</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有效改善</w:t>
            </w:r>
          </w:p>
        </w:tc>
      </w:tr>
      <w:tr>
        <w:tblPrEx>
          <w:tblCellMar>
            <w:top w:w="0" w:type="dxa"/>
            <w:left w:w="108" w:type="dxa"/>
            <w:bottom w:w="0" w:type="dxa"/>
            <w:right w:w="108" w:type="dxa"/>
          </w:tblCellMar>
        </w:tblPrEx>
        <w:trPr>
          <w:trHeight w:val="49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提升全区经办队伍能力，提高经办服务水平</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有效提升</w:t>
            </w:r>
          </w:p>
        </w:tc>
      </w:tr>
      <w:tr>
        <w:tblPrEx>
          <w:tblCellMar>
            <w:top w:w="0" w:type="dxa"/>
            <w:left w:w="108" w:type="dxa"/>
            <w:bottom w:w="0" w:type="dxa"/>
            <w:right w:w="108" w:type="dxa"/>
          </w:tblCellMar>
        </w:tblPrEx>
        <w:trPr>
          <w:trHeight w:val="480"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490"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495"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rPr>
                <w:rFonts w:ascii="仿宋_GB2312" w:eastAsia="仿宋_GB2312" w:cs="仿宋_GB2312"/>
                <w:color w:val="auto"/>
                <w:sz w:val="20"/>
                <w:szCs w:val="20"/>
                <w:highlight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5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参赛满意度</w:t>
            </w:r>
          </w:p>
        </w:tc>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autoSpaceDN/>
              <w:bidi w:val="0"/>
              <w:adjustRightInd w:val="0"/>
              <w:snapToGrid w:val="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345"/>
        <w:gridCol w:w="1401"/>
        <w:gridCol w:w="576"/>
        <w:gridCol w:w="870"/>
        <w:gridCol w:w="1448"/>
        <w:gridCol w:w="931"/>
        <w:gridCol w:w="594"/>
        <w:gridCol w:w="428"/>
        <w:gridCol w:w="1355"/>
      </w:tblGrid>
      <w:tr>
        <w:tblPrEx>
          <w:tblCellMar>
            <w:top w:w="0" w:type="dxa"/>
            <w:left w:w="108" w:type="dxa"/>
            <w:bottom w:w="0" w:type="dxa"/>
            <w:right w:w="108" w:type="dxa"/>
          </w:tblCellMar>
        </w:tblPrEx>
        <w:tc>
          <w:tcPr>
            <w:tcW w:w="5000" w:type="pct"/>
            <w:gridSpan w:val="9"/>
            <w:tcBorders>
              <w:top w:val="nil"/>
              <w:left w:val="nil"/>
              <w:bottom w:val="nil"/>
              <w:right w:val="nil"/>
            </w:tcBorders>
            <w:shd w:val="clear" w:color="auto" w:fill="auto"/>
          </w:tcPr>
          <w:p>
            <w:pPr>
              <w:jc w:val="center"/>
              <w:textAlignment w:val="center"/>
              <w:rPr>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伊犁州 )</w:t>
            </w:r>
          </w:p>
        </w:tc>
      </w:tr>
      <w:tr>
        <w:tblPrEx>
          <w:tblCellMar>
            <w:top w:w="0" w:type="dxa"/>
            <w:left w:w="108" w:type="dxa"/>
            <w:bottom w:w="0" w:type="dxa"/>
            <w:right w:w="108" w:type="dxa"/>
          </w:tblCellMar>
        </w:tblPrEx>
        <w:tc>
          <w:tcPr>
            <w:tcW w:w="5000" w:type="pct"/>
            <w:gridSpan w:val="9"/>
            <w:tcBorders>
              <w:top w:val="nil"/>
              <w:left w:val="nil"/>
              <w:bottom w:val="nil"/>
              <w:right w:val="nil"/>
            </w:tcBorders>
            <w:shd w:val="clear" w:color="auto" w:fill="auto"/>
          </w:tcPr>
          <w:p>
            <w:pPr>
              <w:jc w:val="center"/>
              <w:textAlignment w:val="center"/>
              <w:rPr>
                <w:b/>
                <w:bCs/>
                <w:color w:val="auto"/>
                <w:sz w:val="24"/>
                <w:szCs w:val="24"/>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4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3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1" w:firstLineChars="10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 xml:space="preserve">  (万元)</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color w:val="auto"/>
                <w:sz w:val="20"/>
                <w:szCs w:val="20"/>
                <w:highlight w:val="none"/>
                <w:lang w:eastAsia="zh-CN"/>
              </w:rPr>
              <w:t>245</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其中：财政拨款</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245</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2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统筹地区医保基金总额预算覆盖率：2024年底不低于70%.</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4: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522" w:hRule="atLeast"/>
        </w:trPr>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练兵比武活动比赛参加县市</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≥10个</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召开医药价格工作政策吹风会、宣传活动、调研指导次数</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2024年底实现统筹地区病种覆盖面入组率</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&gt;95%</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对辖区内经办机构的抽查数量</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≥30%</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&gt;95%</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完成年度各类监督检查任务时间(基金监管)</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2024年12月20日前</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DRG支付方式改革能力提升经费</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≤80万元</w:t>
            </w:r>
          </w:p>
        </w:tc>
      </w:tr>
      <w:tr>
        <w:tblPrEx>
          <w:tblCellMar>
            <w:top w:w="0" w:type="dxa"/>
            <w:left w:w="108" w:type="dxa"/>
            <w:bottom w:w="0" w:type="dxa"/>
            <w:right w:w="108" w:type="dxa"/>
          </w:tblCellMar>
        </w:tblPrEx>
        <w:trPr>
          <w:trHeight w:val="522" w:hRule="atLeast"/>
        </w:trPr>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提升州直经办队伍能力</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有效提升</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522" w:hRule="atLeast"/>
        </w:trPr>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22"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参赛机构满意度</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290"/>
        <w:gridCol w:w="1351"/>
        <w:gridCol w:w="512"/>
        <w:gridCol w:w="823"/>
        <w:gridCol w:w="1457"/>
        <w:gridCol w:w="841"/>
        <w:gridCol w:w="888"/>
        <w:gridCol w:w="743"/>
        <w:gridCol w:w="1043"/>
      </w:tblGrid>
      <w:tr>
        <w:tblPrEx>
          <w:tblCellMar>
            <w:top w:w="0" w:type="dxa"/>
            <w:left w:w="108" w:type="dxa"/>
            <w:bottom w:w="0" w:type="dxa"/>
            <w:right w:w="108" w:type="dxa"/>
          </w:tblCellMar>
        </w:tblPrEx>
        <w:trPr>
          <w:trHeight w:val="23" w:hRule="atLeast"/>
        </w:trPr>
        <w:tc>
          <w:tcPr>
            <w:tcW w:w="5000" w:type="pct"/>
            <w:gridSpan w:val="9"/>
            <w:tcBorders>
              <w:top w:val="nil"/>
              <w:left w:val="nil"/>
              <w:bottom w:val="nil"/>
              <w:right w:val="nil"/>
            </w:tcBorders>
            <w:shd w:val="clear" w:color="auto" w:fill="auto"/>
          </w:tcPr>
          <w:p>
            <w:pPr>
              <w:jc w:val="center"/>
              <w:textAlignment w:val="center"/>
              <w:rPr>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塔城地区 )</w:t>
            </w:r>
          </w:p>
        </w:tc>
      </w:tr>
      <w:tr>
        <w:tblPrEx>
          <w:tblCellMar>
            <w:top w:w="0" w:type="dxa"/>
            <w:left w:w="108" w:type="dxa"/>
            <w:bottom w:w="0" w:type="dxa"/>
            <w:right w:w="108" w:type="dxa"/>
          </w:tblCellMar>
        </w:tblPrEx>
        <w:trPr>
          <w:trHeight w:val="23" w:hRule="atLeast"/>
        </w:trPr>
        <w:tc>
          <w:tcPr>
            <w:tcW w:w="5000" w:type="pct"/>
            <w:gridSpan w:val="9"/>
            <w:tcBorders>
              <w:top w:val="nil"/>
              <w:left w:val="nil"/>
              <w:bottom w:val="nil"/>
              <w:right w:val="nil"/>
            </w:tcBorders>
            <w:shd w:val="clear" w:color="auto" w:fill="auto"/>
          </w:tcPr>
          <w:p>
            <w:pPr>
              <w:jc w:val="center"/>
              <w:textAlignment w:val="center"/>
              <w:rPr>
                <w:b/>
                <w:bCs/>
                <w:color w:val="auto"/>
                <w:sz w:val="24"/>
                <w:szCs w:val="24"/>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23"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23"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 xml:space="preserve">  (万元)</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109</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109</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23"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2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23"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680" w:hRule="atLeast"/>
        </w:trPr>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租赁会议场地数量</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≥1个</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练兵比武参赛县市数量</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≥7个</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召开医药价格工作政策吹风会、宣传活动、调研指导次数</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对辖区内经办机构的抽查数量</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≥30%</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完成年度各类监督检查任务时间(基金监管)</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2024年12月30日前</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医保能力提升经费(基金监管)</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≤60万元</w:t>
            </w:r>
          </w:p>
        </w:tc>
      </w:tr>
      <w:tr>
        <w:tblPrEx>
          <w:tblCellMar>
            <w:top w:w="0" w:type="dxa"/>
            <w:left w:w="108" w:type="dxa"/>
            <w:bottom w:w="0" w:type="dxa"/>
            <w:right w:w="108" w:type="dxa"/>
          </w:tblCellMar>
        </w:tblPrEx>
        <w:trPr>
          <w:trHeight w:val="68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680" w:hRule="atLeast"/>
        </w:trPr>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80" w:hRule="atLeast"/>
        </w:trPr>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参赛县市满意度</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pStyle w:val="38"/>
        <w:jc w:val="both"/>
        <w:rPr>
          <w:color w:val="auto"/>
          <w:highlight w:val="none"/>
          <w:lang w:eastAsia="zh-CN"/>
        </w:rPr>
      </w:pPr>
    </w:p>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024"/>
        <w:gridCol w:w="1181"/>
        <w:gridCol w:w="1519"/>
        <w:gridCol w:w="1720"/>
        <w:gridCol w:w="1204"/>
        <w:gridCol w:w="1011"/>
        <w:gridCol w:w="1289"/>
      </w:tblGrid>
      <w:tr>
        <w:tblPrEx>
          <w:tblCellMar>
            <w:top w:w="0" w:type="dxa"/>
            <w:left w:w="108" w:type="dxa"/>
            <w:bottom w:w="0" w:type="dxa"/>
            <w:right w:w="108" w:type="dxa"/>
          </w:tblCellMar>
        </w:tblPrEx>
        <w:trPr>
          <w:trHeight w:val="420" w:hRule="atLeast"/>
        </w:trPr>
        <w:tc>
          <w:tcPr>
            <w:tcW w:w="5000" w:type="pct"/>
            <w:gridSpan w:val="7"/>
            <w:tcBorders>
              <w:top w:val="nil"/>
              <w:left w:val="nil"/>
              <w:bottom w:val="nil"/>
              <w:right w:val="nil"/>
            </w:tcBorders>
            <w:shd w:val="clear" w:color="auto" w:fill="auto"/>
          </w:tcPr>
          <w:p>
            <w:pPr>
              <w:jc w:val="center"/>
              <w:textAlignment w:val="center"/>
              <w:rPr>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阿勒泰地区 )</w:t>
            </w:r>
          </w:p>
        </w:tc>
      </w:tr>
      <w:tr>
        <w:tblPrEx>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auto" w:fill="auto"/>
          </w:tcPr>
          <w:p>
            <w:pPr>
              <w:jc w:val="center"/>
              <w:textAlignment w:val="center"/>
              <w:rPr>
                <w:b/>
                <w:bCs/>
                <w:color w:val="auto"/>
                <w:sz w:val="24"/>
                <w:szCs w:val="24"/>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49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4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61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(万元)</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总额：</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152.6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152.6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573"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统筹地区医保基金总额预算覆盖率：2024年底不低于70%。</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4: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53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520" w:hRule="atLeast"/>
        </w:trPr>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租赁演播厅场地数量</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≥1个</w:t>
            </w:r>
          </w:p>
        </w:tc>
      </w:tr>
      <w:tr>
        <w:tblPrEx>
          <w:tblCellMar>
            <w:top w:w="0" w:type="dxa"/>
            <w:left w:w="108" w:type="dxa"/>
            <w:bottom w:w="0" w:type="dxa"/>
            <w:right w:w="108" w:type="dxa"/>
          </w:tblCellMar>
        </w:tblPrEx>
        <w:trPr>
          <w:trHeight w:val="52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练兵比武参赛经办机构数量</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≥7个</w:t>
            </w:r>
          </w:p>
        </w:tc>
      </w:tr>
      <w:tr>
        <w:tblPrEx>
          <w:tblCellMar>
            <w:top w:w="0" w:type="dxa"/>
            <w:left w:w="108" w:type="dxa"/>
            <w:bottom w:w="0" w:type="dxa"/>
            <w:right w:w="108" w:type="dxa"/>
          </w:tblCellMar>
        </w:tblPrEx>
        <w:trPr>
          <w:trHeight w:val="52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召开医药价格工作政策吹风会、宣传活动、调研指导次数</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2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2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2024年统筹地区病种覆盖入组率</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1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2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2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定点零售药店的抽查数量</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≥2家</w:t>
            </w:r>
          </w:p>
        </w:tc>
      </w:tr>
      <w:tr>
        <w:tblPrEx>
          <w:tblCellMar>
            <w:top w:w="0" w:type="dxa"/>
            <w:left w:w="108" w:type="dxa"/>
            <w:bottom w:w="0" w:type="dxa"/>
            <w:right w:w="108" w:type="dxa"/>
          </w:tblCellMar>
        </w:tblPrEx>
        <w:trPr>
          <w:trHeight w:val="51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对辖区内经办机构的抽查数量</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≥30%</w:t>
            </w:r>
          </w:p>
        </w:tc>
      </w:tr>
      <w:tr>
        <w:tblPrEx>
          <w:tblCellMar>
            <w:top w:w="0" w:type="dxa"/>
            <w:left w:w="108" w:type="dxa"/>
            <w:bottom w:w="0" w:type="dxa"/>
            <w:right w:w="108" w:type="dxa"/>
          </w:tblCellMar>
        </w:tblPrEx>
        <w:trPr>
          <w:trHeight w:val="52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2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≤60万元</w:t>
            </w:r>
          </w:p>
        </w:tc>
      </w:tr>
      <w:tr>
        <w:tblPrEx>
          <w:tblCellMar>
            <w:top w:w="0" w:type="dxa"/>
            <w:left w:w="108" w:type="dxa"/>
            <w:bottom w:w="0" w:type="dxa"/>
            <w:right w:w="108" w:type="dxa"/>
          </w:tblCellMar>
        </w:tblPrEx>
        <w:trPr>
          <w:trHeight w:val="54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520" w:hRule="atLeast"/>
        </w:trPr>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25"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83"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参赛区县满意度</w:t>
            </w:r>
          </w:p>
        </w:tc>
        <w:tc>
          <w:tcPr>
            <w:tcW w:w="128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939"/>
        <w:gridCol w:w="1499"/>
        <w:gridCol w:w="594"/>
        <w:gridCol w:w="956"/>
        <w:gridCol w:w="1820"/>
        <w:gridCol w:w="1176"/>
        <w:gridCol w:w="931"/>
        <w:gridCol w:w="1033"/>
      </w:tblGrid>
      <w:tr>
        <w:tblPrEx>
          <w:tblCellMar>
            <w:top w:w="0" w:type="dxa"/>
            <w:left w:w="108" w:type="dxa"/>
            <w:bottom w:w="0" w:type="dxa"/>
            <w:right w:w="108" w:type="dxa"/>
          </w:tblCellMar>
        </w:tblPrEx>
        <w:trPr>
          <w:trHeight w:val="23" w:hRule="atLeast"/>
        </w:trPr>
        <w:tc>
          <w:tcPr>
            <w:tcW w:w="5000" w:type="pct"/>
            <w:gridSpan w:val="8"/>
            <w:tcBorders>
              <w:top w:val="nil"/>
              <w:left w:val="nil"/>
              <w:bottom w:val="nil"/>
              <w:right w:val="nil"/>
            </w:tcBorders>
            <w:shd w:val="clear" w:color="auto" w:fill="auto"/>
          </w:tcPr>
          <w:p>
            <w:pPr>
              <w:jc w:val="center"/>
              <w:textAlignment w:val="center"/>
              <w:rPr>
                <w:b/>
                <w:bCs/>
                <w:color w:val="auto"/>
                <w:sz w:val="30"/>
                <w:szCs w:val="30"/>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博州 )</w:t>
            </w:r>
          </w:p>
        </w:tc>
      </w:tr>
      <w:tr>
        <w:tblPrEx>
          <w:tblCellMar>
            <w:top w:w="0" w:type="dxa"/>
            <w:left w:w="108" w:type="dxa"/>
            <w:bottom w:w="0" w:type="dxa"/>
            <w:right w:w="108" w:type="dxa"/>
          </w:tblCellMar>
        </w:tblPrEx>
        <w:trPr>
          <w:trHeight w:val="23" w:hRule="atLeast"/>
        </w:trPr>
        <w:tc>
          <w:tcPr>
            <w:tcW w:w="5000" w:type="pct"/>
            <w:gridSpan w:val="8"/>
            <w:tcBorders>
              <w:top w:val="nil"/>
              <w:left w:val="nil"/>
              <w:bottom w:val="nil"/>
              <w:right w:val="nil"/>
            </w:tcBorders>
            <w:shd w:val="clear" w:color="auto" w:fill="auto"/>
          </w:tcPr>
          <w:p>
            <w:pPr>
              <w:jc w:val="center"/>
              <w:textAlignment w:val="center"/>
              <w:rPr>
                <w:b/>
                <w:bCs/>
                <w:color w:val="auto"/>
                <w:sz w:val="32"/>
                <w:szCs w:val="32"/>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23"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7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23"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项目资金（万元）</w:t>
            </w:r>
          </w:p>
        </w:tc>
        <w:tc>
          <w:tcPr>
            <w:tcW w:w="11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年度资金总额：</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133</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其中：财政拨款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133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其他资金</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23"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47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统筹地区医保基金总额预算覆盖率：2024年底不低于70%。</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4: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23"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624" w:hRule="atLeast"/>
        </w:trPr>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租赁比赛场地数量</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≥1个</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练兵比武参赛县市数量</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≥4个</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召开医药价格工作政策吹风会、宣传活动、调研指导次数</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2024年统筹地区病种覆盖入组率</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=100%</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=100%</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对辖区内经办机构的抽查数量</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≥30%</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完成年度各类监督检查任务时问(基金监管)</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2024年12月30日前</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医保能力提升经费(基金监管)</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≤50万元</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DRG支付方式改革能力提升经费</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&lt;50万元</w:t>
            </w:r>
          </w:p>
        </w:tc>
      </w:tr>
      <w:tr>
        <w:tblPrEx>
          <w:tblCellMar>
            <w:top w:w="0" w:type="dxa"/>
            <w:left w:w="108" w:type="dxa"/>
            <w:bottom w:w="0" w:type="dxa"/>
            <w:right w:w="108" w:type="dxa"/>
          </w:tblCellMar>
        </w:tblPrEx>
        <w:trPr>
          <w:trHeight w:val="624" w:hRule="atLeast"/>
        </w:trPr>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DRG付费改革覆盖率逐步提高</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有效改善</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624" w:hRule="atLeast"/>
        </w:trPr>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 xml:space="preserve">   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医保定点医药机构满意度</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24"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参赛县市满意度</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034"/>
        <w:gridCol w:w="1383"/>
        <w:gridCol w:w="623"/>
        <w:gridCol w:w="945"/>
        <w:gridCol w:w="1759"/>
        <w:gridCol w:w="1033"/>
        <w:gridCol w:w="922"/>
        <w:gridCol w:w="1249"/>
      </w:tblGrid>
      <w:tr>
        <w:tblPrEx>
          <w:tblCellMar>
            <w:top w:w="0" w:type="dxa"/>
            <w:left w:w="108" w:type="dxa"/>
            <w:bottom w:w="0" w:type="dxa"/>
            <w:right w:w="108" w:type="dxa"/>
          </w:tblCellMar>
        </w:tblPrEx>
        <w:tc>
          <w:tcPr>
            <w:tcW w:w="5000" w:type="pct"/>
            <w:gridSpan w:val="8"/>
            <w:tcBorders>
              <w:top w:val="nil"/>
              <w:left w:val="nil"/>
              <w:bottom w:val="nil"/>
              <w:right w:val="nil"/>
            </w:tcBorders>
            <w:shd w:val="clear" w:color="auto" w:fill="auto"/>
          </w:tcPr>
          <w:p>
            <w:pPr>
              <w:jc w:val="center"/>
              <w:textAlignment w:val="center"/>
              <w:rPr>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昌吉州 )</w:t>
            </w:r>
          </w:p>
        </w:tc>
      </w:tr>
      <w:tr>
        <w:tblPrEx>
          <w:tblCellMar>
            <w:top w:w="0" w:type="dxa"/>
            <w:left w:w="108" w:type="dxa"/>
            <w:bottom w:w="0" w:type="dxa"/>
            <w:right w:w="108" w:type="dxa"/>
          </w:tblCellMar>
        </w:tblPrEx>
        <w:tc>
          <w:tcPr>
            <w:tcW w:w="5000" w:type="pct"/>
            <w:gridSpan w:val="8"/>
            <w:tcBorders>
              <w:top w:val="nil"/>
              <w:left w:val="nil"/>
              <w:bottom w:val="nil"/>
              <w:right w:val="nil"/>
            </w:tcBorders>
            <w:shd w:val="clear" w:color="auto" w:fill="auto"/>
            <w:vAlign w:val="center"/>
          </w:tcPr>
          <w:p>
            <w:pPr>
              <w:jc w:val="center"/>
              <w:textAlignment w:val="center"/>
              <w:rPr>
                <w:b/>
                <w:bCs/>
                <w:color w:val="auto"/>
                <w:sz w:val="28"/>
                <w:szCs w:val="28"/>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6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c>
          <w:tcPr>
            <w:tcW w:w="578" w:type="pct"/>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(万元)</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204</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204</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 xml:space="preserve">   目标</w:t>
            </w:r>
          </w:p>
        </w:tc>
        <w:tc>
          <w:tcPr>
            <w:tcW w:w="442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统筹地区医保基金总额预算覆盖率：2024年底不低于70%。</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4: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73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租赁演播厅场地数量</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≥1个</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练兵比武参赛县市数量</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≥7个</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召开医药价格工作政策吹风会、宣传活动、调研指导次数</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2024年统筹地区病种覆盖入组率</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对辖区内经办机构的抽查数量</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≥30%</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完成年度各类监督检查任务时问(基金监管)</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2024年12月31日前</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DRG支付方式改革能力提升经费</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≤50万元</w:t>
            </w:r>
          </w:p>
        </w:tc>
      </w:tr>
      <w:tr>
        <w:tblPrEx>
          <w:tblCellMar>
            <w:top w:w="0" w:type="dxa"/>
            <w:left w:w="108" w:type="dxa"/>
            <w:bottom w:w="0" w:type="dxa"/>
            <w:right w:w="108" w:type="dxa"/>
          </w:tblCellMar>
        </w:tblPrEx>
        <w:trPr>
          <w:trHeight w:val="73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提升昌吉州经办队伍能力，提高经办服务水平</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有效提升</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73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73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参赛县市满意度</w:t>
            </w:r>
          </w:p>
        </w:tc>
        <w:tc>
          <w:tcPr>
            <w:tcW w:w="1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991"/>
        <w:gridCol w:w="1571"/>
        <w:gridCol w:w="641"/>
        <w:gridCol w:w="929"/>
        <w:gridCol w:w="1781"/>
        <w:gridCol w:w="1081"/>
        <w:gridCol w:w="166"/>
        <w:gridCol w:w="898"/>
        <w:gridCol w:w="890"/>
      </w:tblGrid>
      <w:tr>
        <w:tblPrEx>
          <w:tblCellMar>
            <w:top w:w="0" w:type="dxa"/>
            <w:left w:w="108" w:type="dxa"/>
            <w:bottom w:w="0" w:type="dxa"/>
            <w:right w:w="108" w:type="dxa"/>
          </w:tblCellMar>
        </w:tblPrEx>
        <w:trPr>
          <w:trHeight w:val="435" w:hRule="atLeast"/>
        </w:trPr>
        <w:tc>
          <w:tcPr>
            <w:tcW w:w="5000" w:type="pct"/>
            <w:gridSpan w:val="9"/>
            <w:tcBorders>
              <w:top w:val="nil"/>
              <w:left w:val="nil"/>
              <w:bottom w:val="nil"/>
              <w:right w:val="nil"/>
            </w:tcBorders>
            <w:shd w:val="clear" w:color="auto" w:fill="auto"/>
            <w:vAlign w:val="center"/>
          </w:tcPr>
          <w:p>
            <w:pPr>
              <w:jc w:val="center"/>
              <w:textAlignment w:val="center"/>
              <w:rPr>
                <w:b/>
                <w:bCs/>
                <w:color w:val="auto"/>
                <w:sz w:val="34"/>
                <w:szCs w:val="34"/>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巴州 )</w:t>
            </w:r>
          </w:p>
        </w:tc>
      </w:tr>
      <w:tr>
        <w:tblPrEx>
          <w:tblCellMar>
            <w:top w:w="0" w:type="dxa"/>
            <w:left w:w="108" w:type="dxa"/>
            <w:bottom w:w="0" w:type="dxa"/>
            <w:right w:w="108" w:type="dxa"/>
          </w:tblCellMar>
        </w:tblPrEx>
        <w:trPr>
          <w:trHeight w:val="405" w:hRule="atLeast"/>
        </w:trPr>
        <w:tc>
          <w:tcPr>
            <w:tcW w:w="5000" w:type="pct"/>
            <w:gridSpan w:val="9"/>
            <w:tcBorders>
              <w:top w:val="nil"/>
              <w:left w:val="nil"/>
              <w:bottom w:val="nil"/>
              <w:right w:val="nil"/>
            </w:tcBorders>
            <w:shd w:val="clear" w:color="auto" w:fill="auto"/>
            <w:vAlign w:val="center"/>
          </w:tcPr>
          <w:p>
            <w:pPr>
              <w:jc w:val="center"/>
              <w:textAlignment w:val="center"/>
              <w:rPr>
                <w:b/>
                <w:bCs/>
                <w:color w:val="auto"/>
                <w:sz w:val="28"/>
                <w:szCs w:val="28"/>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595"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预算单位</w:t>
            </w:r>
          </w:p>
        </w:tc>
        <w:tc>
          <w:tcPr>
            <w:tcW w:w="27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新疆维吾尔自治区医疗保障局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项目名称</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57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项目资金</w:t>
            </w:r>
            <w:r>
              <w:rPr>
                <w:rStyle w:val="33"/>
                <w:rFonts w:hint="eastAsia" w:ascii="仿宋_GB2312" w:hAnsi="仿宋_GB2312" w:eastAsia="仿宋_GB2312" w:cs="仿宋_GB2312"/>
                <w:color w:val="auto"/>
                <w:sz w:val="20"/>
                <w:szCs w:val="20"/>
                <w:highlight w:val="none"/>
                <w:lang w:eastAsia="zh-CN"/>
              </w:rPr>
              <w:br w:type="textWrapping"/>
            </w:r>
            <w:r>
              <w:rPr>
                <w:rStyle w:val="33"/>
                <w:rFonts w:hint="eastAsia" w:ascii="仿宋_GB2312" w:hAnsi="仿宋_GB2312" w:eastAsia="仿宋_GB2312" w:cs="仿宋_GB2312"/>
                <w:color w:val="auto"/>
                <w:sz w:val="20"/>
                <w:szCs w:val="20"/>
                <w:highlight w:val="none"/>
                <w:lang w:eastAsia="zh-CN"/>
              </w:rPr>
              <w:t>(万元)</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年度资金总额：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Fonts w:hint="eastAsia" w:ascii="仿宋_GB2312" w:eastAsia="仿宋_GB2312" w:cs="仿宋_GB2312"/>
                <w:color w:val="auto"/>
                <w:sz w:val="20"/>
                <w:szCs w:val="20"/>
                <w:highlight w:val="none"/>
                <w:lang w:eastAsia="zh-CN"/>
              </w:rPr>
              <w:t>104</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其中：财政拨款</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104</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其他资金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286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项目总体目标</w:t>
            </w:r>
          </w:p>
        </w:tc>
        <w:tc>
          <w:tcPr>
            <w:tcW w:w="44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目标3: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51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一级指标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二级指标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rPr>
            </w:pPr>
            <w:r>
              <w:rPr>
                <w:rStyle w:val="33"/>
                <w:rFonts w:hint="eastAsia" w:ascii="仿宋_GB2312" w:hAnsi="仿宋_GB2312" w:eastAsia="仿宋_GB2312" w:cs="仿宋_GB2312"/>
                <w:color w:val="auto"/>
                <w:sz w:val="20"/>
                <w:szCs w:val="20"/>
                <w:highlight w:val="none"/>
                <w:lang w:eastAsia="zh-CN"/>
              </w:rPr>
              <w:t>三级指标</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0"/>
                <w:szCs w:val="20"/>
                <w:highlight w:val="none"/>
                <w:lang w:eastAsia="zh-CN"/>
              </w:rPr>
            </w:pPr>
            <w:r>
              <w:rPr>
                <w:rStyle w:val="33"/>
                <w:rFonts w:hint="eastAsia" w:ascii="仿宋_GB2312" w:hAnsi="仿宋_GB2312" w:eastAsia="仿宋_GB2312" w:cs="仿宋_GB2312"/>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550" w:hRule="atLeast"/>
        </w:trPr>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产出指标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租赁演播厅场地数量</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≥1个</w:t>
            </w:r>
          </w:p>
        </w:tc>
      </w:tr>
      <w:tr>
        <w:tblPrEx>
          <w:tblCellMar>
            <w:top w:w="0" w:type="dxa"/>
            <w:left w:w="108" w:type="dxa"/>
            <w:bottom w:w="0" w:type="dxa"/>
            <w:right w:w="108" w:type="dxa"/>
          </w:tblCellMar>
        </w:tblPrEx>
        <w:trPr>
          <w:trHeight w:val="57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练兵比武参赛县市数量</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≥9个</w:t>
            </w:r>
          </w:p>
        </w:tc>
      </w:tr>
      <w:tr>
        <w:tblPrEx>
          <w:tblCellMar>
            <w:top w:w="0" w:type="dxa"/>
            <w:left w:w="108" w:type="dxa"/>
            <w:bottom w:w="0" w:type="dxa"/>
            <w:right w:w="108" w:type="dxa"/>
          </w:tblCellMar>
        </w:tblPrEx>
        <w:trPr>
          <w:trHeight w:val="57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召开医药价格工作政策吹风会、宣传活动、调研指导次数</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6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召开医药价格工作会议或培训</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7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定点医疗机构现场检查覆盖率</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7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定点零售药店现场检查覆盖率</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7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定点零售药店的抽查数量</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≥2家</w:t>
            </w:r>
          </w:p>
        </w:tc>
      </w:tr>
      <w:tr>
        <w:tblPrEx>
          <w:tblCellMar>
            <w:top w:w="0" w:type="dxa"/>
            <w:left w:w="108" w:type="dxa"/>
            <w:bottom w:w="0" w:type="dxa"/>
            <w:right w:w="108" w:type="dxa"/>
          </w:tblCellMar>
        </w:tblPrEx>
        <w:trPr>
          <w:trHeight w:val="57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对辖区内经办机构的抽查数量</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≥30%</w:t>
            </w:r>
          </w:p>
        </w:tc>
      </w:tr>
      <w:tr>
        <w:tblPrEx>
          <w:tblCellMar>
            <w:top w:w="0" w:type="dxa"/>
            <w:left w:w="108" w:type="dxa"/>
            <w:bottom w:w="0" w:type="dxa"/>
            <w:right w:w="108" w:type="dxa"/>
          </w:tblCellMar>
        </w:tblPrEx>
        <w:trPr>
          <w:trHeight w:val="57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质量指标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购买医药价格监测硬件设施并配备至监测点</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7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成本指标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医保能力提升经费</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≤50万元</w:t>
            </w:r>
          </w:p>
        </w:tc>
      </w:tr>
      <w:tr>
        <w:tblPrEx>
          <w:tblCellMar>
            <w:top w:w="0" w:type="dxa"/>
            <w:left w:w="108" w:type="dxa"/>
            <w:bottom w:w="0" w:type="dxa"/>
            <w:right w:w="108" w:type="dxa"/>
          </w:tblCellMar>
        </w:tblPrEx>
        <w:trPr>
          <w:trHeight w:val="570" w:hRule="atLeast"/>
        </w:trPr>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效益指标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社会效益指标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提升全州经办队伍能力，提高经办服务水平</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有效提升</w:t>
            </w:r>
          </w:p>
        </w:tc>
      </w:tr>
      <w:tr>
        <w:tblPrEx>
          <w:tblCellMar>
            <w:top w:w="0" w:type="dxa"/>
            <w:left w:w="108" w:type="dxa"/>
            <w:bottom w:w="0" w:type="dxa"/>
            <w:right w:w="108" w:type="dxa"/>
          </w:tblCellMar>
        </w:tblPrEx>
        <w:trPr>
          <w:trHeight w:val="570"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可持续影响指标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区域联盟议价采购药品、医用耗材执行期</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570" w:hRule="atLeast"/>
        </w:trPr>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满意度指标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满意度指标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经办机构满意度</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75" w:hRule="atLeast"/>
        </w:trPr>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满意度指标</w:t>
            </w:r>
          </w:p>
        </w:tc>
        <w:tc>
          <w:tcPr>
            <w:tcW w:w="25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参赛县市满意度</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≥90%</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063"/>
        <w:gridCol w:w="1532"/>
        <w:gridCol w:w="548"/>
        <w:gridCol w:w="848"/>
        <w:gridCol w:w="1586"/>
        <w:gridCol w:w="1204"/>
        <w:gridCol w:w="1025"/>
        <w:gridCol w:w="1142"/>
      </w:tblGrid>
      <w:tr>
        <w:tblPrEx>
          <w:tblCellMar>
            <w:top w:w="0" w:type="dxa"/>
            <w:left w:w="108" w:type="dxa"/>
            <w:bottom w:w="0" w:type="dxa"/>
            <w:right w:w="108" w:type="dxa"/>
          </w:tblCellMar>
        </w:tblPrEx>
        <w:trPr>
          <w:trHeight w:val="495" w:hRule="atLeast"/>
        </w:trPr>
        <w:tc>
          <w:tcPr>
            <w:tcW w:w="5000" w:type="pct"/>
            <w:gridSpan w:val="8"/>
            <w:tcBorders>
              <w:top w:val="nil"/>
              <w:left w:val="nil"/>
              <w:bottom w:val="nil"/>
              <w:right w:val="nil"/>
            </w:tcBorders>
            <w:shd w:val="clear" w:color="auto" w:fill="auto"/>
            <w:vAlign w:val="center"/>
          </w:tcPr>
          <w:p>
            <w:pPr>
              <w:jc w:val="center"/>
              <w:textAlignment w:val="center"/>
              <w:rPr>
                <w:rFonts w:ascii="宋体" w:hAnsi="宋体" w:eastAsia="宋体" w:cs="宋体"/>
                <w:b/>
                <w:bCs/>
                <w:color w:val="auto"/>
                <w:sz w:val="34"/>
                <w:szCs w:val="34"/>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表(阿克苏地区)</w:t>
            </w:r>
          </w:p>
        </w:tc>
      </w:tr>
      <w:tr>
        <w:tblPrEx>
          <w:tblCellMar>
            <w:top w:w="0" w:type="dxa"/>
            <w:left w:w="108" w:type="dxa"/>
            <w:bottom w:w="0" w:type="dxa"/>
            <w:right w:w="108" w:type="dxa"/>
          </w:tblCellMar>
        </w:tblPrEx>
        <w:trPr>
          <w:trHeight w:val="420" w:hRule="atLeast"/>
        </w:trPr>
        <w:tc>
          <w:tcPr>
            <w:tcW w:w="5000" w:type="pct"/>
            <w:gridSpan w:val="8"/>
            <w:tcBorders>
              <w:top w:val="nil"/>
              <w:left w:val="nil"/>
              <w:bottom w:val="nil"/>
              <w:right w:val="nil"/>
            </w:tcBorders>
            <w:shd w:val="clear" w:color="auto" w:fill="auto"/>
            <w:noWrap/>
            <w:vAlign w:val="bottom"/>
          </w:tcPr>
          <w:p>
            <w:pPr>
              <w:jc w:val="center"/>
              <w:textAlignment w:val="center"/>
              <w:rPr>
                <w:rFonts w:ascii="宋体" w:hAnsi="宋体" w:eastAsia="宋体" w:cs="宋体"/>
                <w:b/>
                <w:bCs/>
                <w:color w:val="auto"/>
                <w:sz w:val="32"/>
                <w:szCs w:val="32"/>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605"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5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68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(万元)</w:t>
            </w:r>
          </w:p>
        </w:tc>
        <w:tc>
          <w:tcPr>
            <w:tcW w:w="11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126.1</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126.1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264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40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58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文字描述)</w:t>
            </w:r>
          </w:p>
        </w:tc>
      </w:tr>
      <w:tr>
        <w:tblPrEx>
          <w:tblCellMar>
            <w:top w:w="0" w:type="dxa"/>
            <w:left w:w="108" w:type="dxa"/>
            <w:bottom w:w="0" w:type="dxa"/>
            <w:right w:w="108" w:type="dxa"/>
          </w:tblCellMar>
        </w:tblPrEx>
        <w:trPr>
          <w:trHeight w:val="630" w:hRule="atLeast"/>
        </w:trPr>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参赛县市数量</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≥9个</w:t>
            </w:r>
          </w:p>
        </w:tc>
      </w:tr>
      <w:tr>
        <w:tblPrEx>
          <w:tblCellMar>
            <w:top w:w="0" w:type="dxa"/>
            <w:left w:w="108" w:type="dxa"/>
            <w:bottom w:w="0" w:type="dxa"/>
            <w:right w:w="108" w:type="dxa"/>
          </w:tblCellMar>
        </w:tblPrEx>
        <w:trPr>
          <w:trHeight w:val="63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6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3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对辖区内经办机构的抽查数量</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≥30%</w:t>
            </w:r>
          </w:p>
        </w:tc>
      </w:tr>
      <w:tr>
        <w:tblPrEx>
          <w:tblCellMar>
            <w:top w:w="0" w:type="dxa"/>
            <w:left w:w="108" w:type="dxa"/>
            <w:bottom w:w="0" w:type="dxa"/>
            <w:right w:w="108" w:type="dxa"/>
          </w:tblCellMar>
        </w:tblPrEx>
        <w:trPr>
          <w:trHeight w:val="63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2024年12月30日前</w:t>
            </w:r>
          </w:p>
        </w:tc>
      </w:tr>
      <w:tr>
        <w:tblPrEx>
          <w:tblCellMar>
            <w:top w:w="0" w:type="dxa"/>
            <w:left w:w="108" w:type="dxa"/>
            <w:bottom w:w="0" w:type="dxa"/>
            <w:right w:w="108" w:type="dxa"/>
          </w:tblCellMar>
        </w:tblPrEx>
        <w:trPr>
          <w:trHeight w:val="63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医保能力提升经费(基金监管)</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≤80万元</w:t>
            </w:r>
          </w:p>
        </w:tc>
      </w:tr>
      <w:tr>
        <w:tblPrEx>
          <w:tblCellMar>
            <w:top w:w="0" w:type="dxa"/>
            <w:left w:w="108" w:type="dxa"/>
            <w:bottom w:w="0" w:type="dxa"/>
            <w:right w:w="108" w:type="dxa"/>
          </w:tblCellMar>
        </w:tblPrEx>
        <w:trPr>
          <w:trHeight w:val="64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630" w:hRule="atLeast"/>
        </w:trPr>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45"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3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参赛县市满意度</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176"/>
        <w:gridCol w:w="1378"/>
        <w:gridCol w:w="519"/>
        <w:gridCol w:w="845"/>
        <w:gridCol w:w="1698"/>
        <w:gridCol w:w="961"/>
        <w:gridCol w:w="943"/>
        <w:gridCol w:w="1428"/>
      </w:tblGrid>
      <w:tr>
        <w:tblPrEx>
          <w:tblCellMar>
            <w:top w:w="0" w:type="dxa"/>
            <w:left w:w="108" w:type="dxa"/>
            <w:bottom w:w="0" w:type="dxa"/>
            <w:right w:w="108" w:type="dxa"/>
          </w:tblCellMar>
        </w:tblPrEx>
        <w:trPr>
          <w:trHeight w:val="420" w:hRule="atLeast"/>
        </w:trPr>
        <w:tc>
          <w:tcPr>
            <w:tcW w:w="5000" w:type="pct"/>
            <w:gridSpan w:val="8"/>
            <w:tcBorders>
              <w:top w:val="nil"/>
              <w:left w:val="nil"/>
              <w:bottom w:val="nil"/>
              <w:right w:val="nil"/>
            </w:tcBorders>
            <w:shd w:val="clear" w:color="auto" w:fill="auto"/>
          </w:tcPr>
          <w:p>
            <w:pPr>
              <w:jc w:val="center"/>
              <w:textAlignment w:val="center"/>
              <w:rPr>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克州  )</w:t>
            </w:r>
          </w:p>
        </w:tc>
      </w:tr>
      <w:tr>
        <w:tblPrEx>
          <w:tblCellMar>
            <w:top w:w="0" w:type="dxa"/>
            <w:left w:w="108" w:type="dxa"/>
            <w:bottom w:w="0" w:type="dxa"/>
            <w:right w:w="108" w:type="dxa"/>
          </w:tblCellMar>
        </w:tblPrEx>
        <w:trPr>
          <w:trHeight w:val="375" w:hRule="atLeast"/>
        </w:trPr>
        <w:tc>
          <w:tcPr>
            <w:tcW w:w="5000" w:type="pct"/>
            <w:gridSpan w:val="8"/>
            <w:tcBorders>
              <w:top w:val="nil"/>
              <w:left w:val="nil"/>
              <w:bottom w:val="nil"/>
              <w:right w:val="nil"/>
            </w:tcBorders>
            <w:shd w:val="clear" w:color="auto" w:fill="auto"/>
          </w:tcPr>
          <w:p>
            <w:pPr>
              <w:jc w:val="center"/>
              <w:textAlignment w:val="center"/>
              <w:rPr>
                <w:b/>
                <w:bCs/>
                <w:color w:val="auto"/>
                <w:sz w:val="28"/>
                <w:szCs w:val="28"/>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51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4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6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(万元)</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color w:val="auto"/>
                <w:sz w:val="20"/>
                <w:szCs w:val="20"/>
                <w:highlight w:val="none"/>
                <w:lang w:eastAsia="zh-CN"/>
              </w:rPr>
              <w:t>137.6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b/>
                <w:bCs/>
                <w:color w:val="auto"/>
                <w:sz w:val="20"/>
                <w:szCs w:val="20"/>
                <w:highlight w:val="none"/>
                <w:lang w:eastAsia="zh-CN"/>
              </w:rPr>
              <w:t>其中：财政拨款</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137.6</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160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3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统筹地区医保基金总额预算覆盖率：2024年底不低于70%。</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4: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48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540" w:hRule="atLeast"/>
        </w:trPr>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租赁演播厅场地数量</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≥1个</w:t>
            </w:r>
          </w:p>
        </w:tc>
      </w:tr>
      <w:tr>
        <w:tblPrEx>
          <w:tblCellMar>
            <w:top w:w="0" w:type="dxa"/>
            <w:left w:w="108" w:type="dxa"/>
            <w:bottom w:w="0" w:type="dxa"/>
            <w:right w:w="108" w:type="dxa"/>
          </w:tblCellMar>
        </w:tblPrEx>
        <w:trPr>
          <w:trHeight w:val="51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次数</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4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4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2024年底实现统筹地区病种覆盖入组率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3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4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4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4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完成年度各类监督检查任务时间(基金监管)</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2024年12月20日前</w:t>
            </w:r>
          </w:p>
        </w:tc>
      </w:tr>
      <w:tr>
        <w:tblPrEx>
          <w:tblCellMar>
            <w:top w:w="0" w:type="dxa"/>
            <w:left w:w="108" w:type="dxa"/>
            <w:bottom w:w="0" w:type="dxa"/>
            <w:right w:w="108" w:type="dxa"/>
          </w:tblCellMar>
        </w:tblPrEx>
        <w:trPr>
          <w:trHeight w:val="53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医保能力提升经费(基金监管)</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≤50万元</w:t>
            </w:r>
          </w:p>
        </w:tc>
      </w:tr>
      <w:tr>
        <w:tblPrEx>
          <w:tblCellMar>
            <w:top w:w="0" w:type="dxa"/>
            <w:left w:w="108" w:type="dxa"/>
            <w:bottom w:w="0" w:type="dxa"/>
            <w:right w:w="108" w:type="dxa"/>
          </w:tblCellMar>
        </w:tblPrEx>
        <w:trPr>
          <w:trHeight w:val="54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DRG支付方式改革能力提升经费</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&lt;50万元</w:t>
            </w:r>
          </w:p>
        </w:tc>
      </w:tr>
      <w:tr>
        <w:tblPrEx>
          <w:tblCellMar>
            <w:top w:w="0" w:type="dxa"/>
            <w:left w:w="108" w:type="dxa"/>
            <w:bottom w:w="0" w:type="dxa"/>
            <w:right w:w="108" w:type="dxa"/>
          </w:tblCellMar>
        </w:tblPrEx>
        <w:trPr>
          <w:trHeight w:val="540" w:hRule="atLeast"/>
        </w:trPr>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提升全州经办队伍能力，提高经办服务水平</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有效提升</w:t>
            </w:r>
          </w:p>
        </w:tc>
      </w:tr>
      <w:tr>
        <w:tblPrEx>
          <w:tblCellMar>
            <w:top w:w="0" w:type="dxa"/>
            <w:left w:w="108" w:type="dxa"/>
            <w:bottom w:w="0" w:type="dxa"/>
            <w:right w:w="108" w:type="dxa"/>
          </w:tblCellMar>
        </w:tblPrEx>
        <w:trPr>
          <w:trHeight w:val="540"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530" w:hRule="atLeast"/>
        </w:trPr>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35"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参赛县(市)满意度</w:t>
            </w:r>
          </w:p>
        </w:tc>
        <w:tc>
          <w:tcPr>
            <w:tcW w:w="1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pStyle w:val="38"/>
        <w:jc w:val="both"/>
        <w:rPr>
          <w:color w:val="auto"/>
          <w:highlight w:val="none"/>
          <w:lang w:eastAsia="zh-CN"/>
        </w:rPr>
      </w:pPr>
    </w:p>
    <w:p>
      <w:pPr>
        <w:pStyle w:val="38"/>
        <w:jc w:val="both"/>
        <w:rPr>
          <w:color w:val="auto"/>
          <w:highlight w:val="none"/>
          <w:lang w:eastAsia="zh-CN"/>
        </w:rPr>
      </w:pPr>
    </w:p>
    <w:p>
      <w:pPr>
        <w:pStyle w:val="38"/>
        <w:jc w:val="both"/>
        <w:rPr>
          <w:color w:val="auto"/>
          <w:highlight w:val="none"/>
          <w:lang w:eastAsia="zh-CN"/>
        </w:rPr>
      </w:pPr>
    </w:p>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070"/>
        <w:gridCol w:w="1219"/>
        <w:gridCol w:w="621"/>
        <w:gridCol w:w="931"/>
        <w:gridCol w:w="1845"/>
        <w:gridCol w:w="1054"/>
        <w:gridCol w:w="807"/>
        <w:gridCol w:w="1401"/>
      </w:tblGrid>
      <w:tr>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vAlign w:val="center"/>
          </w:tcPr>
          <w:p>
            <w:pPr>
              <w:jc w:val="center"/>
              <w:textAlignment w:val="center"/>
              <w:rPr>
                <w:b/>
                <w:bCs/>
                <w:color w:val="auto"/>
                <w:sz w:val="34"/>
                <w:szCs w:val="34"/>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喀什地区 )</w:t>
            </w:r>
          </w:p>
        </w:tc>
      </w:tr>
      <w:tr>
        <w:tblPrEx>
          <w:tblCellMar>
            <w:top w:w="0" w:type="dxa"/>
            <w:left w:w="108" w:type="dxa"/>
            <w:bottom w:w="0" w:type="dxa"/>
            <w:right w:w="108" w:type="dxa"/>
          </w:tblCellMar>
        </w:tblPrEx>
        <w:trPr>
          <w:trHeight w:val="405" w:hRule="atLeast"/>
        </w:trPr>
        <w:tc>
          <w:tcPr>
            <w:tcW w:w="5000" w:type="pct"/>
            <w:gridSpan w:val="8"/>
            <w:tcBorders>
              <w:top w:val="nil"/>
              <w:left w:val="nil"/>
              <w:bottom w:val="nil"/>
              <w:right w:val="nil"/>
            </w:tcBorders>
            <w:shd w:val="clear" w:color="auto" w:fill="auto"/>
          </w:tcPr>
          <w:p>
            <w:pPr>
              <w:jc w:val="center"/>
              <w:textAlignment w:val="center"/>
              <w:rPr>
                <w:b/>
                <w:bCs/>
                <w:color w:val="auto"/>
                <w:sz w:val="28"/>
                <w:szCs w:val="28"/>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495"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5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69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(万元)</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304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304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617"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4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统筹地区医保基金总额预算覆盖率：2024年底不低于</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70%。</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4: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53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624"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eastAsia="仿宋_GB2312" w:cs="仿宋_GB2312"/>
                <w:color w:val="auto"/>
                <w:sz w:val="20"/>
                <w:szCs w:val="20"/>
                <w:highlight w:val="none"/>
                <w:lang w:eastAsia="zh-CN"/>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练兵比武参赛县(市)数量</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≥12个县市</w:t>
            </w:r>
          </w:p>
        </w:tc>
      </w:tr>
      <w:tr>
        <w:tblPrEx>
          <w:tblCellMar>
            <w:top w:w="0" w:type="dxa"/>
            <w:left w:w="108" w:type="dxa"/>
            <w:bottom w:w="0" w:type="dxa"/>
            <w:right w:w="108" w:type="dxa"/>
          </w:tblCellMar>
        </w:tblPrEx>
        <w:trPr>
          <w:trHeight w:val="624"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eastAsia="仿宋_GB2312" w:cs="仿宋_GB2312"/>
                <w:color w:val="auto"/>
                <w:sz w:val="20"/>
                <w:szCs w:val="20"/>
                <w:highlight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数</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624"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eastAsia="仿宋_GB2312" w:cs="仿宋_GB2312"/>
                <w:color w:val="auto"/>
                <w:sz w:val="20"/>
                <w:szCs w:val="20"/>
                <w:highlight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624"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eastAsia="仿宋_GB2312" w:cs="仿宋_GB2312"/>
                <w:color w:val="auto"/>
                <w:sz w:val="20"/>
                <w:szCs w:val="20"/>
                <w:highlight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2024年底实现统筹地区病种覆盖入组率</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24"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eastAsia="仿宋_GB2312" w:cs="仿宋_GB2312"/>
                <w:color w:val="auto"/>
                <w:sz w:val="20"/>
                <w:szCs w:val="20"/>
                <w:highlight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24"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eastAsia="仿宋_GB2312" w:cs="仿宋_GB2312"/>
                <w:color w:val="auto"/>
                <w:sz w:val="20"/>
                <w:szCs w:val="20"/>
                <w:highlight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24"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eastAsia="仿宋_GB2312" w:cs="仿宋_GB2312"/>
                <w:color w:val="auto"/>
                <w:sz w:val="20"/>
                <w:szCs w:val="20"/>
                <w:highlight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24"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eastAsia="仿宋_GB2312" w:cs="仿宋_GB2312"/>
                <w:color w:val="auto"/>
                <w:sz w:val="20"/>
                <w:szCs w:val="20"/>
                <w:highlight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完成年度各类监督检查任务时间(基金监管)</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2024年12月31日前</w:t>
            </w:r>
          </w:p>
        </w:tc>
      </w:tr>
      <w:tr>
        <w:tblPrEx>
          <w:tblCellMar>
            <w:top w:w="0" w:type="dxa"/>
            <w:left w:w="108" w:type="dxa"/>
            <w:bottom w:w="0" w:type="dxa"/>
            <w:right w:w="108" w:type="dxa"/>
          </w:tblCellMar>
        </w:tblPrEx>
        <w:trPr>
          <w:trHeight w:val="624"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仿宋_GB2312" w:eastAsia="仿宋_GB2312" w:cs="仿宋_GB2312"/>
                <w:color w:val="auto"/>
                <w:sz w:val="20"/>
                <w:szCs w:val="20"/>
                <w:highlight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DRG支付方式改革能力提升经费</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≤80万元</w:t>
            </w:r>
          </w:p>
        </w:tc>
      </w:tr>
      <w:tr>
        <w:tblPrEx>
          <w:tblCellMar>
            <w:top w:w="0" w:type="dxa"/>
            <w:left w:w="108" w:type="dxa"/>
            <w:bottom w:w="0" w:type="dxa"/>
            <w:right w:w="108" w:type="dxa"/>
          </w:tblCellMar>
        </w:tblPrEx>
        <w:trPr>
          <w:trHeight w:val="624"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624"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24"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参赛县(市)满意度</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199"/>
        <w:gridCol w:w="1453"/>
        <w:gridCol w:w="553"/>
        <w:gridCol w:w="845"/>
        <w:gridCol w:w="1723"/>
        <w:gridCol w:w="1002"/>
        <w:gridCol w:w="508"/>
        <w:gridCol w:w="744"/>
        <w:gridCol w:w="921"/>
      </w:tblGrid>
      <w:tr>
        <w:tblPrEx>
          <w:tblCellMar>
            <w:top w:w="0" w:type="dxa"/>
            <w:left w:w="108" w:type="dxa"/>
            <w:bottom w:w="0" w:type="dxa"/>
            <w:right w:w="108" w:type="dxa"/>
          </w:tblCellMar>
        </w:tblPrEx>
        <w:trPr>
          <w:trHeight w:val="420" w:hRule="atLeast"/>
        </w:trPr>
        <w:tc>
          <w:tcPr>
            <w:tcW w:w="5000" w:type="pct"/>
            <w:gridSpan w:val="9"/>
            <w:tcBorders>
              <w:top w:val="nil"/>
              <w:left w:val="nil"/>
              <w:bottom w:val="nil"/>
              <w:right w:val="nil"/>
            </w:tcBorders>
            <w:shd w:val="clear" w:color="auto" w:fill="auto"/>
          </w:tcPr>
          <w:p>
            <w:pPr>
              <w:jc w:val="center"/>
              <w:textAlignment w:val="center"/>
              <w:rPr>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和田地区 )</w:t>
            </w:r>
          </w:p>
        </w:tc>
      </w:tr>
      <w:tr>
        <w:tblPrEx>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auto"/>
          </w:tcPr>
          <w:p>
            <w:pPr>
              <w:jc w:val="center"/>
              <w:textAlignment w:val="center"/>
              <w:rPr>
                <w:b/>
                <w:bCs/>
                <w:color w:val="auto"/>
                <w:sz w:val="28"/>
                <w:szCs w:val="28"/>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585"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5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2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560"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(万元)</w:t>
            </w: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111.3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111.3</w:t>
            </w:r>
          </w:p>
        </w:tc>
        <w:tc>
          <w:tcPr>
            <w:tcW w:w="7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386"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3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610"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680" w:hRule="atLeast"/>
        </w:trPr>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租赁演播厅场地数量</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≥1个</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练兵比武参赛县市数量</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≥8个</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召开医药价格工作政策吹风会、宣传活动、调研指导次数</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对辖区内经办机构的抽查数量</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≥30%</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按要求落实药品和医用耗材集中带量采购采购和使用工作</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经费使用合规率</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=100%</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完成年度各类监督检查任务时间(基金监管)</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2024年12月31日前</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医保能力提升经费(基金监管)</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≤60万元</w:t>
            </w:r>
          </w:p>
        </w:tc>
      </w:tr>
      <w:tr>
        <w:tblPrEx>
          <w:tblCellMar>
            <w:top w:w="0" w:type="dxa"/>
            <w:left w:w="108" w:type="dxa"/>
            <w:bottom w:w="0" w:type="dxa"/>
            <w:right w:w="108" w:type="dxa"/>
          </w:tblCellMar>
        </w:tblPrEx>
        <w:trPr>
          <w:trHeight w:val="680"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680" w:hRule="atLeast"/>
        </w:trPr>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680"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参赛县市满意度</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pStyle w:val="38"/>
        <w:jc w:val="both"/>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240"/>
        <w:gridCol w:w="1324"/>
        <w:gridCol w:w="483"/>
        <w:gridCol w:w="823"/>
        <w:gridCol w:w="1442"/>
        <w:gridCol w:w="838"/>
        <w:gridCol w:w="850"/>
        <w:gridCol w:w="594"/>
        <w:gridCol w:w="1354"/>
      </w:tblGrid>
      <w:tr>
        <w:tblPrEx>
          <w:tblCellMar>
            <w:top w:w="0" w:type="dxa"/>
            <w:left w:w="108" w:type="dxa"/>
            <w:bottom w:w="0" w:type="dxa"/>
            <w:right w:w="108" w:type="dxa"/>
          </w:tblCellMar>
        </w:tblPrEx>
        <w:trPr>
          <w:trHeight w:val="23" w:hRule="atLeast"/>
        </w:trPr>
        <w:tc>
          <w:tcPr>
            <w:tcW w:w="5000" w:type="pct"/>
            <w:gridSpan w:val="9"/>
            <w:tcBorders>
              <w:top w:val="nil"/>
              <w:left w:val="nil"/>
              <w:bottom w:val="nil"/>
              <w:right w:val="nil"/>
            </w:tcBorders>
            <w:shd w:val="clear" w:color="auto" w:fill="auto"/>
          </w:tcPr>
          <w:p>
            <w:pPr>
              <w:jc w:val="center"/>
              <w:textAlignment w:val="center"/>
              <w:rPr>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吐鲁番市 )</w:t>
            </w:r>
          </w:p>
        </w:tc>
      </w:tr>
      <w:tr>
        <w:tblPrEx>
          <w:tblCellMar>
            <w:top w:w="0" w:type="dxa"/>
            <w:left w:w="108" w:type="dxa"/>
            <w:bottom w:w="0" w:type="dxa"/>
            <w:right w:w="108" w:type="dxa"/>
          </w:tblCellMar>
        </w:tblPrEx>
        <w:trPr>
          <w:trHeight w:val="23" w:hRule="atLeast"/>
        </w:trPr>
        <w:tc>
          <w:tcPr>
            <w:tcW w:w="5000" w:type="pct"/>
            <w:gridSpan w:val="9"/>
            <w:tcBorders>
              <w:top w:val="nil"/>
              <w:left w:val="nil"/>
              <w:bottom w:val="nil"/>
              <w:right w:val="nil"/>
            </w:tcBorders>
            <w:shd w:val="clear" w:color="auto" w:fill="auto"/>
          </w:tcPr>
          <w:p>
            <w:pPr>
              <w:jc w:val="center"/>
              <w:textAlignment w:val="center"/>
              <w:rPr>
                <w:b/>
                <w:bCs/>
                <w:color w:val="auto"/>
                <w:sz w:val="28"/>
                <w:szCs w:val="28"/>
                <w:highlight w:val="none"/>
              </w:rPr>
            </w:pPr>
            <w:r>
              <w:rPr>
                <w:rStyle w:val="25"/>
                <w:rFonts w:hint="eastAsia" w:ascii="仿宋_GB2312" w:hAnsi="仿宋_GB2312" w:eastAsia="仿宋_GB2312" w:cs="仿宋_GB2312"/>
                <w:b w:val="0"/>
                <w:bCs w:val="0"/>
                <w:color w:val="auto"/>
                <w:sz w:val="24"/>
                <w:szCs w:val="24"/>
                <w:highlight w:val="none"/>
                <w:lang w:eastAsia="zh-CN"/>
              </w:rPr>
              <w:t>(2024年)</w:t>
            </w:r>
          </w:p>
        </w:tc>
      </w:tr>
      <w:tr>
        <w:tblPrEx>
          <w:tblCellMar>
            <w:top w:w="0" w:type="dxa"/>
            <w:left w:w="108" w:type="dxa"/>
            <w:bottom w:w="0" w:type="dxa"/>
            <w:right w:w="108" w:type="dxa"/>
          </w:tblCellMar>
        </w:tblPrEx>
        <w:trPr>
          <w:trHeight w:val="23"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2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23"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1" w:firstLineChars="100"/>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 xml:space="preserve">  (万元)</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137.7</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137.7</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23"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项目总体目标</w:t>
            </w:r>
          </w:p>
        </w:tc>
        <w:tc>
          <w:tcPr>
            <w:tcW w:w="43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目标1:组织开展以“岗位练兵优服务，业务比武强规范”为主题的全地区医保经办系统练兵比武活动，通过练兵比武活动，为经办干部搭建补短板、强弱项、比技能的平台。</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统筹地区医保基金总额预算覆盖率：2024年底不低于70%。</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4: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23"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550" w:hRule="atLeast"/>
        </w:trPr>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租赁演播厅场地数量</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≥1个</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练兵比武参赛区县数量</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≥3个</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召开医药价格工作政策吹风会、宣传活动、调研指导次数</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2024年底实现统筹地区病种覆盖入组率</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完成年度各类监督检查任务时间(基金监管)</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2024年12月31日前</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DRG支付方式改革能力提升经费</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≤50万元</w:t>
            </w:r>
          </w:p>
        </w:tc>
      </w:tr>
      <w:tr>
        <w:tblPrEx>
          <w:tblCellMar>
            <w:top w:w="0" w:type="dxa"/>
            <w:left w:w="108" w:type="dxa"/>
            <w:bottom w:w="0" w:type="dxa"/>
            <w:right w:w="108" w:type="dxa"/>
          </w:tblCellMar>
        </w:tblPrEx>
        <w:trPr>
          <w:trHeight w:val="55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550" w:hRule="atLeast"/>
        </w:trPr>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50"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参赛区县满意度</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rPr>
          <w:color w:val="auto"/>
          <w:highlight w:val="none"/>
          <w:lang w:eastAsia="zh-CN"/>
        </w:rPr>
      </w:pPr>
    </w:p>
    <w:p>
      <w:pPr>
        <w:pStyle w:val="38"/>
        <w:jc w:val="both"/>
        <w:rPr>
          <w:color w:val="auto"/>
          <w:highlight w:val="none"/>
          <w:lang w:eastAsia="zh-CN"/>
        </w:rPr>
      </w:pPr>
    </w:p>
    <w:tbl>
      <w:tblPr>
        <w:tblStyle w:val="14"/>
        <w:tblW w:w="5000" w:type="pct"/>
        <w:tblInd w:w="0" w:type="dxa"/>
        <w:tblLayout w:type="autofit"/>
        <w:tblCellMar>
          <w:top w:w="0" w:type="dxa"/>
          <w:left w:w="108" w:type="dxa"/>
          <w:bottom w:w="0" w:type="dxa"/>
          <w:right w:w="108" w:type="dxa"/>
        </w:tblCellMar>
      </w:tblPr>
      <w:tblGrid>
        <w:gridCol w:w="1159"/>
        <w:gridCol w:w="1425"/>
        <w:gridCol w:w="224"/>
        <w:gridCol w:w="648"/>
        <w:gridCol w:w="1702"/>
        <w:gridCol w:w="965"/>
        <w:gridCol w:w="1136"/>
        <w:gridCol w:w="456"/>
        <w:gridCol w:w="1233"/>
      </w:tblGrid>
      <w:tr>
        <w:tblPrEx>
          <w:tblCellMar>
            <w:top w:w="0" w:type="dxa"/>
            <w:left w:w="108" w:type="dxa"/>
            <w:bottom w:w="0" w:type="dxa"/>
            <w:right w:w="108" w:type="dxa"/>
          </w:tblCellMar>
        </w:tblPrEx>
        <w:trPr>
          <w:trHeight w:val="23" w:hRule="atLeast"/>
        </w:trPr>
        <w:tc>
          <w:tcPr>
            <w:tcW w:w="5000" w:type="pct"/>
            <w:gridSpan w:val="9"/>
            <w:tcBorders>
              <w:top w:val="nil"/>
              <w:left w:val="nil"/>
              <w:bottom w:val="nil"/>
              <w:right w:val="nil"/>
            </w:tcBorders>
            <w:shd w:val="clear" w:color="auto" w:fill="auto"/>
          </w:tcPr>
          <w:p>
            <w:pPr>
              <w:jc w:val="center"/>
              <w:textAlignment w:val="center"/>
              <w:rPr>
                <w:rFonts w:asci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32"/>
                <w:szCs w:val="32"/>
                <w:highlight w:val="none"/>
                <w:lang w:eastAsia="zh-CN"/>
              </w:rPr>
              <w:t>项 目 支 出 绩 效 目 标 表 ( 哈密市 )</w:t>
            </w:r>
          </w:p>
        </w:tc>
      </w:tr>
      <w:tr>
        <w:tblPrEx>
          <w:tblCellMar>
            <w:top w:w="0" w:type="dxa"/>
            <w:left w:w="108" w:type="dxa"/>
            <w:bottom w:w="0" w:type="dxa"/>
            <w:right w:w="108" w:type="dxa"/>
          </w:tblCellMar>
        </w:tblPrEx>
        <w:trPr>
          <w:trHeight w:val="288" w:hRule="atLeast"/>
        </w:trPr>
        <w:tc>
          <w:tcPr>
            <w:tcW w:w="5000" w:type="pct"/>
            <w:gridSpan w:val="9"/>
            <w:tcBorders>
              <w:top w:val="nil"/>
              <w:left w:val="nil"/>
              <w:bottom w:val="nil"/>
              <w:right w:val="nil"/>
            </w:tcBorders>
            <w:shd w:val="clear" w:color="auto" w:fill="auto"/>
          </w:tcPr>
          <w:p>
            <w:pPr>
              <w:jc w:val="center"/>
              <w:textAlignment w:val="center"/>
              <w:rPr>
                <w:rFonts w:ascii="仿宋_GB2312" w:eastAsia="仿宋_GB2312" w:cs="仿宋_GB2312"/>
                <w:b/>
                <w:bCs/>
                <w:color w:val="auto"/>
                <w:sz w:val="20"/>
                <w:szCs w:val="20"/>
                <w:highlight w:val="none"/>
              </w:rPr>
            </w:pPr>
            <w:r>
              <w:rPr>
                <w:rStyle w:val="25"/>
                <w:rFonts w:hAnsi="仿宋_GB2312"/>
                <w:b w:val="0"/>
                <w:bCs w:val="0"/>
                <w:color w:val="auto"/>
                <w:sz w:val="24"/>
                <w:szCs w:val="24"/>
                <w:highlight w:val="none"/>
              </w:rPr>
              <w:t>(2024年)</w:t>
            </w:r>
          </w:p>
        </w:tc>
      </w:tr>
      <w:tr>
        <w:tblPrEx>
          <w:tblCellMar>
            <w:top w:w="0" w:type="dxa"/>
            <w:left w:w="108" w:type="dxa"/>
            <w:bottom w:w="0" w:type="dxa"/>
            <w:right w:w="108" w:type="dxa"/>
          </w:tblCellMar>
        </w:tblPrEx>
        <w:trPr>
          <w:trHeight w:val="23"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预算单位</w:t>
            </w:r>
          </w:p>
        </w:tc>
        <w:tc>
          <w:tcPr>
            <w:tcW w:w="22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项目名称</w:t>
            </w:r>
          </w:p>
        </w:tc>
        <w:tc>
          <w:tcPr>
            <w:tcW w:w="15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医保能力提升经费</w:t>
            </w:r>
          </w:p>
        </w:tc>
      </w:tr>
      <w:tr>
        <w:tblPrEx>
          <w:tblCellMar>
            <w:top w:w="0" w:type="dxa"/>
            <w:left w:w="108" w:type="dxa"/>
            <w:bottom w:w="0" w:type="dxa"/>
            <w:right w:w="108" w:type="dxa"/>
          </w:tblCellMar>
        </w:tblPrEx>
        <w:trPr>
          <w:trHeight w:val="23"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项目资金</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(万元)</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年度资金总额：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119</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其中：财政拨款</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119</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其他资金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23"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项目总体</w:t>
            </w:r>
            <w:r>
              <w:rPr>
                <w:rFonts w:hint="eastAsia" w:ascii="仿宋_GB2312" w:eastAsia="仿宋_GB2312" w:cs="仿宋_GB2312"/>
                <w:b/>
                <w:bCs/>
                <w:color w:val="auto"/>
                <w:sz w:val="20"/>
                <w:szCs w:val="20"/>
                <w:highlight w:val="none"/>
                <w:lang w:eastAsia="zh-CN"/>
              </w:rPr>
              <w:br w:type="textWrapping"/>
            </w:r>
            <w:r>
              <w:rPr>
                <w:rFonts w:hint="eastAsia" w:ascii="仿宋_GB2312" w:eastAsia="仿宋_GB2312" w:cs="仿宋_GB2312"/>
                <w:b/>
                <w:bCs/>
                <w:color w:val="auto"/>
                <w:sz w:val="20"/>
                <w:szCs w:val="20"/>
                <w:highlight w:val="none"/>
                <w:lang w:eastAsia="zh-CN"/>
              </w:rPr>
              <w:t>目标</w:t>
            </w:r>
          </w:p>
        </w:tc>
        <w:tc>
          <w:tcPr>
            <w:tcW w:w="43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目标1:组织开展以“岗位练兵优服务，业务比武强规范”为主题的全地区医保经办系统练兵比武活动，通过练兵比武活动，为经办干部搭建补短板、强弱项、比技能的平合。</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2:常态化制度化落实药品耗材集中带量采购，推动医疗服务项目运行监测，建立长效医药集采落实情况、价格和供应监测机制，加强监测点建设，优先选择覆盖面大、信息化水平较好、反映区域内情况的单位作为监测点，逐步延伸至各级医疗机构、零售药店、配送企业，推动集中带量采购落实效果的监测能力提升，提高异常信息发现和处置能力。</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3:根据自治区DRG/DIP支付方式改革三年行动计划部署要求，逐步提高统筹地区、医疗机构、病种分组、医保基金覆盖率。统筹地区医疗机构覆盖面：2024年底实现全覆盖。统筹地区病种覆盖面：2024年底实现入组率达到90%以上。统筹地区医保基金总额预算覆盖率：2024年底不低于70%。</w:t>
            </w:r>
            <w:r>
              <w:rPr>
                <w:rFonts w:hint="eastAsia" w:ascii="仿宋_GB2312" w:eastAsia="仿宋_GB2312" w:cs="仿宋_GB2312"/>
                <w:color w:val="auto"/>
                <w:sz w:val="20"/>
                <w:szCs w:val="20"/>
                <w:highlight w:val="none"/>
                <w:lang w:eastAsia="zh-CN"/>
              </w:rPr>
              <w:br w:type="textWrapping"/>
            </w:r>
            <w:r>
              <w:rPr>
                <w:rFonts w:hint="eastAsia" w:ascii="仿宋_GB2312" w:eastAsia="仿宋_GB2312" w:cs="仿宋_GB2312"/>
                <w:color w:val="auto"/>
                <w:sz w:val="20"/>
                <w:szCs w:val="20"/>
                <w:highlight w:val="none"/>
                <w:lang w:eastAsia="zh-CN"/>
              </w:rPr>
              <w:t>目标4:加强医疗保障基金使用常态化监管，建立健全监督检查、智能监控、举报奖励、信用管理、综合监管、社会监督长效机制，多措并举织密基金监管网，进一步提升基金监管法制化、专业化、信息化水平，提升监管效能，有效维护医保基金安全；进一步压紧压实基金监管责任，强化医保行政监管责任、经办日常审核检查责任，推动落实定点医药机构医保基金使用主体责任、地方政府属地监管责任。</w:t>
            </w:r>
          </w:p>
        </w:tc>
      </w:tr>
      <w:tr>
        <w:tblPrEx>
          <w:tblCellMar>
            <w:top w:w="0" w:type="dxa"/>
            <w:left w:w="108" w:type="dxa"/>
            <w:bottom w:w="0" w:type="dxa"/>
            <w:right w:w="108" w:type="dxa"/>
          </w:tblCellMar>
        </w:tblPrEx>
        <w:trPr>
          <w:trHeight w:val="23"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一级指标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二级指标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三级指标</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eastAsia="仿宋_GB2312" w:cs="仿宋_GB2312"/>
                <w:b/>
                <w:bCs/>
                <w:color w:val="auto"/>
                <w:sz w:val="20"/>
                <w:szCs w:val="20"/>
                <w:highlight w:val="none"/>
                <w:lang w:eastAsia="zh-CN"/>
              </w:rPr>
            </w:pPr>
            <w:r>
              <w:rPr>
                <w:rFonts w:hint="eastAsia" w:ascii="仿宋_GB2312" w:eastAsia="仿宋_GB2312" w:cs="仿宋_GB2312"/>
                <w:b/>
                <w:bCs/>
                <w:color w:val="auto"/>
                <w:sz w:val="20"/>
                <w:szCs w:val="20"/>
                <w:highlight w:val="none"/>
                <w:lang w:eastAsia="zh-CN"/>
              </w:rPr>
              <w:t>指标值(包含数字及文字描述)</w:t>
            </w:r>
          </w:p>
        </w:tc>
      </w:tr>
      <w:tr>
        <w:tblPrEx>
          <w:tblCellMar>
            <w:top w:w="0" w:type="dxa"/>
            <w:left w:w="108" w:type="dxa"/>
            <w:bottom w:w="0" w:type="dxa"/>
            <w:right w:w="108" w:type="dxa"/>
          </w:tblCellMar>
        </w:tblPrEx>
        <w:trPr>
          <w:trHeight w:val="522"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租赁演播厅场地数量</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≥1个</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练兵比武参赛市区县数量</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≥3个</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全国医保经办系统练兵比武政策文件汇编及题库</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≥200本</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召开医药价格工作政策吹风会、宣传活动、调研指导次数</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召开医药价格工作会议或培训</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≥2次</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2024年统筹地区病种覆盖入组率</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定点医疗机构现场检查覆盖率</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定点零售药店现场检查覆盖率</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DIP支付方式改革能力</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有效提升</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购买医药价格监测硬件设施并配备至监测点</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≥95%</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完成年度各类监督检查任务时间(基金监管)</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2024年12月31日前</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医保能力提升经费(基金监管)</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&lt;50万元</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成本指标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DIP支付方式改革能力提升经费</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&lt;20万元</w:t>
            </w:r>
          </w:p>
        </w:tc>
      </w:tr>
      <w:tr>
        <w:tblPrEx>
          <w:tblCellMar>
            <w:top w:w="0" w:type="dxa"/>
            <w:left w:w="108" w:type="dxa"/>
            <w:bottom w:w="0" w:type="dxa"/>
            <w:right w:w="108" w:type="dxa"/>
          </w:tblCellMar>
        </w:tblPrEx>
        <w:trPr>
          <w:trHeight w:val="522"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提升全区经办队伍能力，提高经办服务水平</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有效提升</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区域联盟议价采购药品、医用耗材执行期</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≥2年</w:t>
            </w:r>
          </w:p>
        </w:tc>
      </w:tr>
      <w:tr>
        <w:tblPrEx>
          <w:tblCellMar>
            <w:top w:w="0" w:type="dxa"/>
            <w:left w:w="108" w:type="dxa"/>
            <w:bottom w:w="0" w:type="dxa"/>
            <w:right w:w="108" w:type="dxa"/>
          </w:tblCellMar>
        </w:tblPrEx>
        <w:trPr>
          <w:trHeight w:val="522"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经办机构满意度</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r>
        <w:tblPrEx>
          <w:tblCellMar>
            <w:top w:w="0" w:type="dxa"/>
            <w:left w:w="108" w:type="dxa"/>
            <w:bottom w:w="0" w:type="dxa"/>
            <w:right w:w="108" w:type="dxa"/>
          </w:tblCellMar>
        </w:tblPrEx>
        <w:trPr>
          <w:trHeight w:val="522"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_GB2312" w:eastAsia="仿宋_GB2312" w:cs="仿宋_GB2312"/>
                <w:color w:val="auto"/>
                <w:sz w:val="20"/>
                <w:szCs w:val="20"/>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2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参赛区县满意度</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≥90%</w:t>
            </w:r>
          </w:p>
        </w:tc>
      </w:tr>
    </w:tbl>
    <w:p>
      <w:pPr>
        <w:autoSpaceDE/>
        <w:autoSpaceDN/>
        <w:adjustRightInd/>
        <w:spacing w:line="560" w:lineRule="exact"/>
        <w:jc w:val="both"/>
        <w:outlineLvl w:val="0"/>
        <w:rPr>
          <w:rFonts w:ascii="黑体" w:hAnsi="黑体" w:eastAsia="黑体" w:cs="黑体"/>
          <w:b/>
          <w:bCs/>
          <w:color w:val="auto"/>
          <w:spacing w:val="-5"/>
          <w:sz w:val="32"/>
          <w:szCs w:val="32"/>
          <w:highlight w:val="none"/>
        </w:rPr>
      </w:pPr>
    </w:p>
    <w:p>
      <w:pPr>
        <w:autoSpaceDE/>
        <w:autoSpaceDN/>
        <w:adjustRightInd/>
        <w:spacing w:line="560" w:lineRule="exact"/>
        <w:ind w:firstLine="620" w:firstLineChars="200"/>
        <w:jc w:val="both"/>
        <w:outlineLvl w:val="0"/>
        <w:rPr>
          <w:rFonts w:ascii="黑体" w:hAnsi="黑体" w:eastAsia="黑体" w:cs="黑体"/>
          <w:color w:val="auto"/>
          <w:spacing w:val="-5"/>
          <w:sz w:val="32"/>
          <w:szCs w:val="32"/>
          <w:highlight w:val="none"/>
        </w:rPr>
      </w:pPr>
      <w:r>
        <w:rPr>
          <w:rFonts w:hint="eastAsia" w:ascii="黑体" w:hAnsi="黑体" w:eastAsia="黑体" w:cs="黑体"/>
          <w:color w:val="auto"/>
          <w:spacing w:val="-5"/>
          <w:sz w:val="32"/>
          <w:szCs w:val="32"/>
          <w:highlight w:val="none"/>
        </w:rPr>
        <w:t>二、绩效情况分析</w:t>
      </w:r>
    </w:p>
    <w:p>
      <w:pPr>
        <w:pStyle w:val="7"/>
        <w:numPr>
          <w:ilvl w:val="0"/>
          <w:numId w:val="2"/>
        </w:numPr>
        <w:spacing w:line="560" w:lineRule="exact"/>
        <w:ind w:firstLine="628" w:firstLineChars="200"/>
        <w:jc w:val="both"/>
        <w:rPr>
          <w:rFonts w:ascii="楷体_GB2312" w:hAnsi="楷体_GB2312" w:eastAsia="楷体_GB2312" w:cs="楷体_GB2312"/>
          <w:color w:val="auto"/>
          <w:spacing w:val="-3"/>
          <w:sz w:val="32"/>
          <w:szCs w:val="32"/>
          <w:highlight w:val="none"/>
          <w:lang w:eastAsia="zh-CN"/>
        </w:rPr>
      </w:pPr>
      <w:r>
        <w:rPr>
          <w:rFonts w:hint="eastAsia" w:ascii="楷体_GB2312" w:hAnsi="楷体_GB2312" w:eastAsia="楷体_GB2312" w:cs="楷体_GB2312"/>
          <w:color w:val="auto"/>
          <w:spacing w:val="-3"/>
          <w:sz w:val="32"/>
          <w:szCs w:val="32"/>
          <w:highlight w:val="none"/>
          <w:lang w:eastAsia="zh-CN"/>
        </w:rPr>
        <w:t>资金投入情况分析</w:t>
      </w:r>
    </w:p>
    <w:p>
      <w:pPr>
        <w:wordWrap w:val="0"/>
        <w:spacing w:line="560" w:lineRule="exact"/>
        <w:ind w:firstLine="643" w:firstLineChars="20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1.资金到位情况分析</w:t>
      </w:r>
    </w:p>
    <w:p>
      <w:pPr>
        <w:wordWrap w:val="0"/>
        <w:spacing w:line="560" w:lineRule="exact"/>
        <w:ind w:firstLine="640" w:firstLineChars="200"/>
        <w:jc w:val="both"/>
        <w:rPr>
          <w:rFonts w:hint="default"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2024年度中央下达我区医疗服务与保障能力提升补助资金（医疗保障服务能力建设部分）预算总金额为10500万元，资金到位10500万元，到位率100%。其中：2023年10月，中央提前下达能力提升补助资金（第一批）项目预算资金为8315万元；2024年4月，中央下达能力提升补助资金（第二批）项目预算资金为2185万元。</w:t>
      </w:r>
      <w:r>
        <w:rPr>
          <w:rFonts w:hint="eastAsia" w:ascii="仿宋_GB2312" w:hAnsi="仿宋_GB2312" w:eastAsia="仿宋_GB2312" w:cs="仿宋_GB2312"/>
          <w:snapToGrid w:val="0"/>
          <w:color w:val="auto"/>
          <w:sz w:val="32"/>
          <w:szCs w:val="32"/>
          <w:highlight w:val="none"/>
          <w:lang w:val="en-US" w:eastAsia="zh-CN" w:bidi="ar-SA"/>
        </w:rPr>
        <w:t>上年结转资金6408.44万元，合计2024年共计预算资金16908.44万元，到位率100%。</w:t>
      </w:r>
    </w:p>
    <w:p>
      <w:pPr>
        <w:wordWrap w:val="0"/>
        <w:spacing w:line="560" w:lineRule="exact"/>
        <w:ind w:firstLine="643" w:firstLineChars="200"/>
        <w:jc w:val="both"/>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2.资金执行情况分析</w:t>
      </w:r>
    </w:p>
    <w:p>
      <w:pPr>
        <w:pStyle w:val="7"/>
        <w:spacing w:line="560" w:lineRule="exact"/>
        <w:ind w:firstLine="640" w:firstLineChars="200"/>
        <w:jc w:val="both"/>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区2024年度医疗服务与保障能力提升补助资金预算金额合计16908.44万元，其中：当年预算资金10500万元，上年结转资金6408.44万元。预算执行数合计15150.65万元，预算执行率89.60%。其中：中央补助资金预算10500万元，全年执行9207.59万元，执行率87.69%；上年结转资金6408.44万元，全年执行5943.06万元，执行率92.74%。</w:t>
      </w:r>
    </w:p>
    <w:p>
      <w:pPr>
        <w:wordWrap w:val="0"/>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详细情况如下:</w:t>
      </w:r>
    </w:p>
    <w:p>
      <w:pPr>
        <w:pStyle w:val="7"/>
        <w:spacing w:line="560" w:lineRule="exact"/>
        <w:ind w:firstLine="644" w:firstLineChars="200"/>
        <w:jc w:val="both"/>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信息化建设项目预算资金11544.64万元，其中：当年预算资金7165万元；上年结余资金4379.64万元，占总预算比例68.28%；主要用于“两结合三赋能”数智工程，2024年实施落地的基层云服务、业务场景开发、大数据赋能应用、云平台扩容、地市专区等重点内容，均为群众便民服务事项，截至2024年12月31日，支出10379.32万元，执行率89.95%；应支未支资金1165.32万元主要是合同规定未到支付节点。</w:t>
      </w:r>
    </w:p>
    <w:p>
      <w:pPr>
        <w:pStyle w:val="7"/>
        <w:spacing w:line="560" w:lineRule="exact"/>
        <w:ind w:firstLine="644" w:firstLineChars="200"/>
        <w:jc w:val="both"/>
        <w:rPr>
          <w:rFonts w:hint="eastAsia"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lang w:eastAsia="zh-CN"/>
        </w:rPr>
        <w:t>2.基金监管项目预算1610.34万元，其中：当年预算资金1400万元；上年结余资金210.34万元，占总预算比例9.52%；主要用于强化“两定”管理，支付交叉检查、抽查复查等工作的差旅费、住宿费、交通费、专家劳务费等、开展业务培训、购置专业设备、通过政府购买服务，引入第三方专业服务、印制宣传材料等方面），截至2024年12月31日，支出1558.36万元，执行率96.77%；应支未支资金51.98万元主要是为项目尾款，尚未到付款节点。</w:t>
      </w:r>
    </w:p>
    <w:p>
      <w:pPr>
        <w:pStyle w:val="7"/>
        <w:spacing w:line="560" w:lineRule="exact"/>
        <w:ind w:firstLine="644" w:firstLineChars="200"/>
        <w:jc w:val="both"/>
        <w:rPr>
          <w:rFonts w:hint="eastAsia"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lang w:eastAsia="zh-CN"/>
        </w:rPr>
        <w:t>3.医保支付方式改革项目预算资金1800.99万元，其中：当年预算资金580万元；上年结余资金1220.99万元，占总预算比例10.65%；主要用于各统筹地区DRG/DIP支付方式改革，购买第三方服务和专业队伍建设，截至2024年12月31日，支出1416.47万元，执行率78.65%</w:t>
      </w:r>
      <w:bookmarkStart w:id="0" w:name="_Hlk152320539"/>
      <w:r>
        <w:rPr>
          <w:rFonts w:hint="eastAsia" w:ascii="仿宋_GB2312" w:hAnsi="仿宋_GB2312" w:eastAsia="仿宋_GB2312" w:cs="仿宋_GB2312"/>
          <w:color w:val="auto"/>
          <w:spacing w:val="1"/>
          <w:sz w:val="32"/>
          <w:szCs w:val="32"/>
          <w:highlight w:val="none"/>
          <w:lang w:eastAsia="zh-CN"/>
        </w:rPr>
        <w:t>；应支未支资金384.52万元主要原因如下：一为项目完工，部分尾款，尚未到付款节点。二是合同签订到期日为2025年，项目尚未完工，未到支付节点。三是个别地州预算精准度需要提升，预算资金高于中标资金，有结余资金。</w:t>
      </w:r>
    </w:p>
    <w:bookmarkEnd w:id="0"/>
    <w:p>
      <w:pPr>
        <w:pStyle w:val="7"/>
        <w:spacing w:line="560" w:lineRule="exact"/>
        <w:ind w:firstLine="644" w:firstLineChars="200"/>
        <w:jc w:val="both"/>
        <w:rPr>
          <w:rFonts w:hint="eastAsia"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lang w:eastAsia="zh-CN"/>
        </w:rPr>
        <w:t>4.价格采购（价格监测）预算资金1204.29万元，其中：当年预算资金760万元；上年结余资金444.29万元，占预算比例7.12%；主要用于加快推进各统筹地区医药价格监测能力提升，监测点覆盖范围由所辖医药机构向医药生产企业、配送企业拓展，截至2024年12月31日，支出1046.92万元，执行率86.93%；应支未支资金157.37万元主要是为项目尾款，尚未到付款节点。</w:t>
      </w:r>
    </w:p>
    <w:p>
      <w:pPr>
        <w:pStyle w:val="7"/>
        <w:spacing w:line="560" w:lineRule="exact"/>
        <w:ind w:firstLine="644" w:firstLineChars="200"/>
        <w:jc w:val="both"/>
        <w:rPr>
          <w:rFonts w:hint="eastAsia"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lang w:eastAsia="zh-CN"/>
        </w:rPr>
        <w:t>5.经办管理服务体系建设资金预算资金748.16万元，其中：当年预算资金595万元；上年结余资金153.16万元，占总预算比例4.43%；其中：主要用于医保宣传和档案数字化项目，全区医保经办系统练兵比武竞赛活动，全区教育培训等，截至2024年12月31日，支出744.02万元，执行率99.45%，应支未支资金4.14万元主要原因是尚未到付款节点。</w:t>
      </w:r>
    </w:p>
    <w:p>
      <w:pPr>
        <w:pStyle w:val="38"/>
        <w:jc w:val="both"/>
        <w:rPr>
          <w:rFonts w:ascii="Times New Roman" w:hAnsi="Times New Roman" w:eastAsia="楷体" w:cs="Times New Roman"/>
          <w:b/>
          <w:bCs/>
          <w:color w:val="auto"/>
          <w:sz w:val="32"/>
          <w:szCs w:val="32"/>
          <w:highlight w:val="none"/>
          <w:lang w:eastAsia="zh-CN"/>
        </w:rPr>
      </w:pPr>
    </w:p>
    <w:tbl>
      <w:tblPr>
        <w:tblStyle w:val="14"/>
        <w:tblW w:w="4998" w:type="pct"/>
        <w:tblInd w:w="0" w:type="dxa"/>
        <w:tblLayout w:type="fixed"/>
        <w:tblCellMar>
          <w:top w:w="0" w:type="dxa"/>
          <w:left w:w="108" w:type="dxa"/>
          <w:bottom w:w="0" w:type="dxa"/>
          <w:right w:w="108" w:type="dxa"/>
        </w:tblCellMar>
      </w:tblPr>
      <w:tblGrid>
        <w:gridCol w:w="919"/>
        <w:gridCol w:w="1621"/>
        <w:gridCol w:w="1170"/>
        <w:gridCol w:w="926"/>
        <w:gridCol w:w="1036"/>
        <w:gridCol w:w="1217"/>
        <w:gridCol w:w="1076"/>
        <w:gridCol w:w="979"/>
      </w:tblGrid>
      <w:tr>
        <w:tblPrEx>
          <w:tblCellMar>
            <w:top w:w="0" w:type="dxa"/>
            <w:left w:w="108" w:type="dxa"/>
            <w:bottom w:w="0" w:type="dxa"/>
            <w:right w:w="108" w:type="dxa"/>
          </w:tblCellMar>
        </w:tblPrEx>
        <w:trPr>
          <w:trHeight w:val="413" w:hRule="atLeast"/>
        </w:trPr>
        <w:tc>
          <w:tcPr>
            <w:tcW w:w="5000" w:type="pct"/>
            <w:gridSpan w:val="8"/>
            <w:tcBorders>
              <w:top w:val="nil"/>
              <w:left w:val="nil"/>
              <w:bottom w:val="nil"/>
              <w:right w:val="nil"/>
            </w:tcBorders>
            <w:shd w:val="clear" w:color="auto" w:fill="FFFFFF"/>
            <w:noWrap/>
            <w:vAlign w:val="center"/>
          </w:tcPr>
          <w:p>
            <w:pPr>
              <w:jc w:val="center"/>
              <w:textAlignment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2024年医疗服务与保障能力提升补助资金（医疗保障服务能力建设部分）</w:t>
            </w:r>
          </w:p>
          <w:p>
            <w:pPr>
              <w:jc w:val="center"/>
              <w:textAlignment w:val="center"/>
              <w:rPr>
                <w:rFonts w:ascii="方正小标宋_GBK" w:hAnsi="方正小标宋_GBK" w:eastAsia="方正小标宋_GBK" w:cs="方正小标宋_GBK"/>
                <w:color w:val="auto"/>
                <w:sz w:val="32"/>
                <w:szCs w:val="32"/>
                <w:highlight w:val="none"/>
              </w:rPr>
            </w:pPr>
            <w:r>
              <w:rPr>
                <w:rFonts w:hint="eastAsia" w:ascii="仿宋_GB2312" w:hAnsi="仿宋_GB2312" w:eastAsia="仿宋_GB2312" w:cs="仿宋_GB2312"/>
                <w:b/>
                <w:bCs/>
                <w:color w:val="auto"/>
                <w:sz w:val="24"/>
                <w:szCs w:val="24"/>
                <w:highlight w:val="none"/>
                <w:lang w:eastAsia="zh-CN"/>
              </w:rPr>
              <w:t>预算执行情况表</w:t>
            </w:r>
          </w:p>
        </w:tc>
      </w:tr>
      <w:tr>
        <w:tblPrEx>
          <w:tblCellMar>
            <w:top w:w="0" w:type="dxa"/>
            <w:left w:w="108" w:type="dxa"/>
            <w:bottom w:w="0" w:type="dxa"/>
            <w:right w:w="108" w:type="dxa"/>
          </w:tblCellMar>
        </w:tblPrEx>
        <w:trPr>
          <w:trHeight w:val="987"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地区</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当年中央财政补助资金下达数</w:t>
            </w:r>
            <w:r>
              <w:rPr>
                <w:rFonts w:hint="eastAsia" w:ascii="仿宋_GB2312" w:hAnsi="仿宋_GB2312" w:eastAsia="仿宋_GB2312" w:cs="仿宋_GB2312"/>
                <w:color w:val="auto"/>
                <w:sz w:val="18"/>
                <w:szCs w:val="18"/>
                <w:highlight w:val="none"/>
                <w:lang w:eastAsia="zh-CN"/>
              </w:rPr>
              <w:br w:type="textWrapping"/>
            </w:r>
            <w:r>
              <w:rPr>
                <w:rFonts w:hint="eastAsia" w:ascii="仿宋_GB2312" w:hAnsi="仿宋_GB2312" w:eastAsia="仿宋_GB2312" w:cs="仿宋_GB2312"/>
                <w:color w:val="auto"/>
                <w:sz w:val="18"/>
                <w:szCs w:val="18"/>
                <w:highlight w:val="none"/>
                <w:lang w:eastAsia="zh-CN"/>
              </w:rPr>
              <w:t>（万元）</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上年结转资金（万元）</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当年实际支出</w:t>
            </w:r>
            <w:r>
              <w:rPr>
                <w:rFonts w:hint="eastAsia" w:ascii="仿宋_GB2312" w:hAnsi="仿宋_GB2312" w:eastAsia="仿宋_GB2312" w:cs="仿宋_GB2312"/>
                <w:color w:val="auto"/>
                <w:sz w:val="18"/>
                <w:szCs w:val="18"/>
                <w:highlight w:val="none"/>
                <w:lang w:eastAsia="zh-CN"/>
              </w:rPr>
              <w:br w:type="textWrapping"/>
            </w:r>
            <w:r>
              <w:rPr>
                <w:rFonts w:hint="eastAsia" w:ascii="仿宋_GB2312" w:hAnsi="仿宋_GB2312" w:eastAsia="仿宋_GB2312" w:cs="仿宋_GB2312"/>
                <w:color w:val="auto"/>
                <w:sz w:val="18"/>
                <w:szCs w:val="18"/>
                <w:highlight w:val="none"/>
                <w:lang w:eastAsia="zh-CN"/>
              </w:rPr>
              <w:t>（万元）</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预算执行率（%）</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当年结余资金</w:t>
            </w:r>
          </w:p>
          <w:p>
            <w:pPr>
              <w:jc w:val="center"/>
              <w:textAlignment w:val="center"/>
              <w:rPr>
                <w:color w:val="auto"/>
                <w:highlight w:val="none"/>
                <w:lang w:eastAsia="zh-CN"/>
              </w:rPr>
            </w:pPr>
            <w:r>
              <w:rPr>
                <w:rFonts w:hint="eastAsia" w:ascii="仿宋_GB2312" w:hAnsi="仿宋_GB2312" w:eastAsia="仿宋_GB2312" w:cs="仿宋_GB2312"/>
                <w:color w:val="auto"/>
                <w:sz w:val="18"/>
                <w:szCs w:val="18"/>
                <w:highlight w:val="none"/>
                <w:lang w:eastAsia="zh-CN"/>
              </w:rPr>
              <w:t>（万元）</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最终确认金额</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仿宋_GB2312" w:hAnsi="仿宋_GB2312" w:eastAsia="仿宋_GB2312" w:cs="仿宋_GB2312"/>
                <w:color w:val="auto"/>
                <w:sz w:val="18"/>
                <w:szCs w:val="18"/>
                <w:highlight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仿宋_GB2312" w:hAnsi="仿宋_GB2312" w:eastAsia="仿宋_GB2312" w:cs="仿宋_GB2312"/>
                <w:color w:val="auto"/>
                <w:sz w:val="18"/>
                <w:szCs w:val="18"/>
                <w:highlight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A</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B</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C</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D=C/（A+B）</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E=A+B-C</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仿宋_GB2312" w:hAnsi="仿宋_GB2312" w:eastAsia="仿宋_GB2312" w:cs="仿宋_GB2312"/>
                <w:color w:val="auto"/>
                <w:sz w:val="18"/>
                <w:szCs w:val="18"/>
                <w:highlight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新疆维吾尔自治区</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10500.00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6408.44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hint="default" w:ascii="仿宋_GB2312" w:hAnsi="仿宋_GB2312" w:eastAsia="仿宋_GB2312" w:cs="仿宋_GB2312"/>
                <w:color w:val="auto"/>
                <w:sz w:val="18"/>
                <w:szCs w:val="18"/>
                <w:highlight w:val="none"/>
                <w:lang w:val="en-US"/>
              </w:rPr>
            </w:pPr>
            <w:r>
              <w:rPr>
                <w:rFonts w:hint="eastAsia" w:ascii="仿宋_GB2312" w:hAnsi="仿宋_GB2312" w:eastAsia="仿宋_GB2312" w:cs="仿宋_GB2312"/>
                <w:color w:val="auto"/>
                <w:sz w:val="18"/>
                <w:szCs w:val="18"/>
                <w:highlight w:val="none"/>
                <w:lang w:eastAsia="zh-CN"/>
              </w:rPr>
              <w:t>15150.6</w:t>
            </w:r>
            <w:r>
              <w:rPr>
                <w:rFonts w:hint="eastAsia" w:ascii="仿宋_GB2312" w:hAnsi="仿宋_GB2312" w:eastAsia="仿宋_GB2312" w:cs="仿宋_GB2312"/>
                <w:color w:val="auto"/>
                <w:sz w:val="18"/>
                <w:szCs w:val="18"/>
                <w:highlight w:val="none"/>
                <w:lang w:val="en-US" w:eastAsia="zh-CN"/>
              </w:rPr>
              <w:t>5</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89.60%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1757.78</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1588.17</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一</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8307.70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3605.80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10869.79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91.24%</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1043.71</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1043.71</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二</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地（市、州）合计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2192.30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2802.64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hint="default" w:ascii="仿宋_GB2312" w:hAnsi="仿宋_GB2312" w:eastAsia="仿宋_GB2312" w:cs="仿宋_GB2312"/>
                <w:color w:val="auto"/>
                <w:sz w:val="18"/>
                <w:szCs w:val="18"/>
                <w:highlight w:val="none"/>
                <w:lang w:val="en-US"/>
              </w:rPr>
            </w:pPr>
            <w:r>
              <w:rPr>
                <w:rFonts w:hint="eastAsia" w:ascii="仿宋_GB2312" w:hAnsi="仿宋_GB2312" w:eastAsia="仿宋_GB2312" w:cs="仿宋_GB2312"/>
                <w:color w:val="auto"/>
                <w:sz w:val="18"/>
                <w:szCs w:val="18"/>
                <w:highlight w:val="none"/>
                <w:lang w:eastAsia="zh-CN"/>
              </w:rPr>
              <w:t>4280.8</w:t>
            </w:r>
            <w:r>
              <w:rPr>
                <w:rFonts w:hint="eastAsia" w:ascii="仿宋_GB2312" w:hAnsi="仿宋_GB2312" w:eastAsia="仿宋_GB2312" w:cs="仿宋_GB2312"/>
                <w:color w:val="auto"/>
                <w:sz w:val="18"/>
                <w:szCs w:val="18"/>
                <w:highlight w:val="none"/>
                <w:lang w:val="en-US" w:eastAsia="zh-CN"/>
              </w:rPr>
              <w:t>6</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85.70%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714.07</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544.46</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(一）</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乌鲁木齐市合计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172.00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913.36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694.18</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63.96%</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391.18</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225.38</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172.00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839.93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621.94</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61.46%</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389.99</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223.48</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73.43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72.24</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98.38%</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1.19</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1.9</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（二）</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克拉玛依市合计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137.00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79.92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216.92</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137.00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73.36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210.36</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6.56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6.56</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（三）</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伊犁州合计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245.00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104.84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297.98</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85.18%</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51.86</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51.86</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245.00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104.84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297.98</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85.18%</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51.86</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51.86</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（四）</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塔城地区合计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109.00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229.16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338.16</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109.00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229.16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338.16</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（五）</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阿勒泰地区合计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152.60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72.13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190.39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84.72%</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34.34</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34.34</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152.60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72.13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190.39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84.72%</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34.34</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34.34</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（六）</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博州合计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133.00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84.60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206.86</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95.06%</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10.74</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10.74</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113.00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84.54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186.80</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94.56%</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10.74</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10.74</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20.06</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（七）</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昌吉州合计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204.00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237.92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391.38</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88.56%</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50.54</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50.54</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204.00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237.92</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391.38</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88.56%</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50.54</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50.54</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（八）</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吐鲁番市合计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137.70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88.14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177.72</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78.69%</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48.12</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48.12</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134.70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59.14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160.07</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82.58%</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33.77</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33.77</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29.00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17.65</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55.16%</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14.35</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14.35</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（九）</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哈密市合计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119.00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103.05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222.05</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119.00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83.05</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202.05</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20.00</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（十）</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巴州合计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104.00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99.10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184.65</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90.92%</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18.45</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14.64</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104.00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88.94</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174.49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90.44%</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18.45</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14.64</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10.16</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10.16</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（十一）</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阿克苏地区合计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126.10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378.08</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457.68</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90.78%</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46.5</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46.5</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126.10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357.09</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436.69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90.38%</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46.5</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46.5</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20.99</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20.99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（十二）</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克州合计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137.60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154.51</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292.11</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137.60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110.10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247.70</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44.41</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44.41</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（十三）</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喀什地区合计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304.00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262.39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86.31%</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41.61</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41.61</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304.00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262.39</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86.31%</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41.61</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41.61</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（十四）</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和田地区合计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111.30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257.83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348.40</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94.38%</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20.73</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20.73</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本级</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111.30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241.20</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342.84</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97.26%</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9.66</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9.66</w:t>
            </w:r>
          </w:p>
        </w:tc>
      </w:tr>
      <w:tr>
        <w:tblPrEx>
          <w:tblCellMar>
            <w:top w:w="0" w:type="dxa"/>
            <w:left w:w="108" w:type="dxa"/>
            <w:bottom w:w="0" w:type="dxa"/>
            <w:right w:w="108" w:type="dxa"/>
          </w:tblCellMar>
        </w:tblPrEx>
        <w:trPr>
          <w:trHeight w:val="286"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区县合计</w:t>
            </w:r>
          </w:p>
        </w:tc>
        <w:tc>
          <w:tcPr>
            <w:tcW w:w="6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16.63</w:t>
            </w:r>
          </w:p>
        </w:tc>
        <w:tc>
          <w:tcPr>
            <w:tcW w:w="5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5.56</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33.43%</w:t>
            </w: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11.07</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textAlignment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11.07</w:t>
            </w:r>
          </w:p>
        </w:tc>
      </w:tr>
    </w:tbl>
    <w:p>
      <w:pPr>
        <w:pStyle w:val="38"/>
        <w:spacing w:after="0" w:line="560" w:lineRule="exact"/>
        <w:ind w:firstLine="643" w:firstLineChars="200"/>
        <w:jc w:val="both"/>
        <w:rPr>
          <w:rFonts w:hint="eastAsia" w:ascii="仿宋_GB2312" w:hAnsi="仿宋_GB2312" w:eastAsia="仿宋_GB2312" w:cs="仿宋_GB2312"/>
          <w:snapToGrid w:val="0"/>
          <w:color w:val="auto"/>
          <w:spacing w:val="1"/>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eastAsia="zh-CN"/>
        </w:rPr>
        <w:t>注:</w:t>
      </w:r>
      <w:r>
        <w:rPr>
          <w:rFonts w:hint="eastAsia" w:ascii="仿宋_GB2312" w:hAnsi="仿宋_GB2312" w:eastAsia="仿宋_GB2312" w:cs="仿宋_GB2312"/>
          <w:snapToGrid w:val="0"/>
          <w:color w:val="auto"/>
          <w:spacing w:val="1"/>
          <w:sz w:val="32"/>
          <w:szCs w:val="32"/>
          <w:highlight w:val="none"/>
          <w:lang w:val="en-US" w:eastAsia="zh-CN" w:bidi="ar-SA"/>
        </w:rPr>
        <w:t>2024年结余资金中有169.61万元为地州结余资金超过2年未支付，当地财政收回，不再拨付当地医保部门，故2025年新疆医保局可用上年结余资金为1588.17万元。</w:t>
      </w:r>
    </w:p>
    <w:p>
      <w:pPr>
        <w:pStyle w:val="7"/>
        <w:numPr>
          <w:ilvl w:val="0"/>
          <w:numId w:val="2"/>
        </w:numPr>
        <w:spacing w:line="560" w:lineRule="exact"/>
        <w:ind w:firstLine="628" w:firstLineChars="200"/>
        <w:jc w:val="both"/>
        <w:rPr>
          <w:rFonts w:ascii="楷体_GB2312" w:hAnsi="楷体_GB2312" w:eastAsia="楷体_GB2312" w:cs="楷体_GB2312"/>
          <w:color w:val="auto"/>
          <w:spacing w:val="-3"/>
          <w:sz w:val="32"/>
          <w:szCs w:val="32"/>
          <w:highlight w:val="none"/>
          <w:lang w:eastAsia="zh-CN"/>
        </w:rPr>
      </w:pPr>
      <w:r>
        <w:rPr>
          <w:rFonts w:hint="eastAsia" w:ascii="楷体_GB2312" w:hAnsi="楷体_GB2312" w:eastAsia="楷体_GB2312" w:cs="楷体_GB2312"/>
          <w:color w:val="auto"/>
          <w:spacing w:val="-3"/>
          <w:sz w:val="32"/>
          <w:szCs w:val="32"/>
          <w:highlight w:val="none"/>
          <w:lang w:eastAsia="zh-CN"/>
        </w:rPr>
        <w:t>资金管理情况分析</w:t>
      </w:r>
    </w:p>
    <w:p>
      <w:pPr>
        <w:pStyle w:val="7"/>
        <w:spacing w:line="560" w:lineRule="exact"/>
        <w:ind w:firstLine="644" w:firstLineChars="200"/>
        <w:jc w:val="both"/>
        <w:rPr>
          <w:rFonts w:hint="eastAsia" w:ascii="仿宋_GB2312" w:hAnsi="仿宋_GB2312" w:eastAsia="仿宋_GB2312" w:cs="仿宋_GB2312"/>
          <w:b w:val="0"/>
          <w:bCs w:val="0"/>
          <w:color w:val="auto"/>
          <w:kern w:val="2"/>
          <w:sz w:val="32"/>
          <w:szCs w:val="32"/>
          <w:highlight w:val="none"/>
          <w:lang w:eastAsia="zh-CN"/>
        </w:rPr>
      </w:pPr>
      <w:r>
        <w:rPr>
          <w:rFonts w:hint="eastAsia" w:ascii="仿宋_GB2312" w:hAnsi="仿宋_GB2312" w:eastAsia="仿宋_GB2312" w:cs="仿宋_GB2312"/>
          <w:snapToGrid w:val="0"/>
          <w:color w:val="auto"/>
          <w:spacing w:val="1"/>
          <w:sz w:val="32"/>
          <w:szCs w:val="32"/>
          <w:highlight w:val="none"/>
          <w:lang w:val="en-US" w:eastAsia="zh-CN" w:bidi="ar-SA"/>
        </w:rPr>
        <w:t>按照《财政部 国家卫生健康委 国家医保局 国家中医药局 国家疾控局关于修订基本公共卫生服务等5项补助资金管理办法的通知》(财社〔2022〕31号)要求，出台了《关于印发基本公共卫生服务等5项补助资金管理办法的通知》（新财规〔2020〕7号）和《新疆维吾尔自治区医疗服务与保障补助资金(医疗保障服务能力建设部分)管理暂行办法》的通知（新医保办〔2023〕35 号）。具体做法是：一是补助资金主要用于医保信息化标准化、基金监管、医保支付方式改革、经办管理服务体系建设、药品和医用耗材集中带量采购、医疗服务价格改革、医保目录实施监管等方面；二是补助资金纳入直达资金管理。自治区医疗保障局接到中央财政直达资金预算指标发文或预通知后，在30个工作日内将资金分配方案报财政厅备案；三是每月月初各地（州、市）报送《2024年医疗服务与保障补助资金(医疗保障服务能力建设部分)预算执行情况表》，及时了解资金执行情况。总体来看，本项目资金的整体管理水平显著提升，做到了专款专用、及时拨付、规范支付，保障能力提升补助资金支付需求，确保能力提升补助资金项目顺利实施。</w:t>
      </w:r>
    </w:p>
    <w:p>
      <w:pPr>
        <w:pStyle w:val="7"/>
        <w:numPr>
          <w:ilvl w:val="0"/>
          <w:numId w:val="3"/>
        </w:numPr>
        <w:spacing w:line="560" w:lineRule="exact"/>
        <w:ind w:left="420" w:leftChars="200"/>
        <w:jc w:val="both"/>
        <w:rPr>
          <w:rFonts w:ascii="仿宋_GB2312" w:hAnsi="仿宋_GB2312" w:eastAsia="仿宋_GB2312" w:cs="仿宋_GB2312"/>
          <w:b/>
          <w:bCs/>
          <w:color w:val="auto"/>
          <w:spacing w:val="-3"/>
          <w:sz w:val="32"/>
          <w:szCs w:val="32"/>
          <w:highlight w:val="none"/>
          <w:lang w:eastAsia="zh-CN"/>
        </w:rPr>
      </w:pPr>
      <w:r>
        <w:rPr>
          <w:rFonts w:hint="eastAsia" w:ascii="仿宋_GB2312" w:hAnsi="仿宋_GB2312" w:eastAsia="仿宋_GB2312" w:cs="仿宋_GB2312"/>
          <w:b/>
          <w:bCs/>
          <w:color w:val="auto"/>
          <w:spacing w:val="-3"/>
          <w:sz w:val="32"/>
          <w:szCs w:val="32"/>
          <w:highlight w:val="none"/>
          <w:lang w:eastAsia="zh-CN"/>
        </w:rPr>
        <w:t>资金分配科学性</w:t>
      </w:r>
    </w:p>
    <w:p>
      <w:pPr>
        <w:pStyle w:val="7"/>
        <w:spacing w:line="560" w:lineRule="exact"/>
        <w:ind w:firstLine="644" w:firstLineChars="200"/>
        <w:jc w:val="both"/>
        <w:rPr>
          <w:rFonts w:hint="eastAsia" w:ascii="仿宋_GB2312" w:hAnsi="仿宋_GB2312" w:eastAsia="仿宋_GB2312" w:cs="仿宋_GB2312"/>
          <w:snapToGrid w:val="0"/>
          <w:color w:val="auto"/>
          <w:spacing w:val="1"/>
          <w:sz w:val="32"/>
          <w:szCs w:val="32"/>
          <w:highlight w:val="none"/>
          <w:lang w:val="en-US" w:eastAsia="zh-CN" w:bidi="ar-SA"/>
        </w:rPr>
      </w:pPr>
      <w:r>
        <w:rPr>
          <w:rFonts w:hint="eastAsia" w:ascii="仿宋_GB2312" w:hAnsi="仿宋_GB2312" w:eastAsia="仿宋_GB2312" w:cs="仿宋_GB2312"/>
          <w:snapToGrid w:val="0"/>
          <w:color w:val="auto"/>
          <w:spacing w:val="1"/>
          <w:sz w:val="32"/>
          <w:szCs w:val="32"/>
          <w:highlight w:val="none"/>
          <w:lang w:val="en-US" w:eastAsia="zh-CN" w:bidi="ar-SA"/>
        </w:rPr>
        <w:t>根据财政部、国家医保局《关于下达2024年中央财政医疗服务与保障能力提升补助资金(医疗保障服务能力建设部分)》(财社〔2024〕33号)和《关于提前下达2024年中央财政医疗服务与保障能力提升补助资金预算的通知(医疗保障服务能力建设部分)》(财社〔2023〕141 号)预算的通知，拨付我区专项资金10500万元。按照《财政部办公厅、国家医保局办公室关于切实做好医疗服务与保障能力提升补助资金(医疗保障服务能力建设部分)预算执行管理工作的通知》(财办社〔2022〕47号)要求，中央财政补助能力提升资金主要用于医保信息化标准化、基金监管、医保支付方式改革、经办管理服务体系建设、药品和医用耗材集中代量采购、医药服务价格改革、医保目录实施监管等方面。结合我区实际，严格按照转移支付管理制度以及资金管理办法规定的范围和标准科学分配资金。</w:t>
      </w:r>
    </w:p>
    <w:p>
      <w:pPr>
        <w:pStyle w:val="7"/>
        <w:numPr>
          <w:ilvl w:val="0"/>
          <w:numId w:val="3"/>
        </w:numPr>
        <w:spacing w:line="560" w:lineRule="exact"/>
        <w:ind w:left="420" w:leftChars="200"/>
        <w:jc w:val="both"/>
        <w:rPr>
          <w:rFonts w:ascii="仿宋_GB2312" w:hAnsi="仿宋_GB2312" w:eastAsia="仿宋_GB2312" w:cs="仿宋_GB2312"/>
          <w:b/>
          <w:bCs/>
          <w:color w:val="auto"/>
          <w:spacing w:val="-3"/>
          <w:sz w:val="32"/>
          <w:szCs w:val="32"/>
          <w:highlight w:val="none"/>
          <w:lang w:eastAsia="zh-CN"/>
        </w:rPr>
      </w:pPr>
      <w:r>
        <w:rPr>
          <w:rFonts w:hint="eastAsia" w:ascii="仿宋_GB2312" w:hAnsi="仿宋_GB2312" w:eastAsia="仿宋_GB2312" w:cs="仿宋_GB2312"/>
          <w:b/>
          <w:bCs/>
          <w:color w:val="auto"/>
          <w:spacing w:val="-3"/>
          <w:sz w:val="32"/>
          <w:szCs w:val="32"/>
          <w:highlight w:val="none"/>
          <w:lang w:eastAsia="zh-CN"/>
        </w:rPr>
        <w:t>资金下达及时性</w:t>
      </w:r>
    </w:p>
    <w:p>
      <w:pPr>
        <w:pStyle w:val="7"/>
        <w:spacing w:line="560" w:lineRule="exact"/>
        <w:ind w:firstLine="644" w:firstLineChars="200"/>
        <w:jc w:val="both"/>
        <w:rPr>
          <w:rFonts w:hint="eastAsia" w:ascii="仿宋_GB2312" w:hAnsi="仿宋_GB2312" w:eastAsia="仿宋_GB2312" w:cs="仿宋_GB2312"/>
          <w:snapToGrid w:val="0"/>
          <w:color w:val="auto"/>
          <w:spacing w:val="1"/>
          <w:sz w:val="32"/>
          <w:szCs w:val="32"/>
          <w:highlight w:val="none"/>
          <w:lang w:val="en-US" w:eastAsia="zh-CN" w:bidi="ar-SA"/>
        </w:rPr>
      </w:pPr>
      <w:r>
        <w:rPr>
          <w:rFonts w:hint="eastAsia" w:ascii="仿宋_GB2312" w:hAnsi="仿宋_GB2312" w:eastAsia="仿宋_GB2312" w:cs="仿宋_GB2312"/>
          <w:snapToGrid w:val="0"/>
          <w:color w:val="auto"/>
          <w:spacing w:val="1"/>
          <w:sz w:val="32"/>
          <w:szCs w:val="32"/>
          <w:highlight w:val="none"/>
          <w:lang w:val="en-US" w:eastAsia="zh-CN" w:bidi="ar-SA"/>
        </w:rPr>
        <w:t>自治区医保局在收到国家局资金拨付通知30个工作日内将资金及时下达个各地（州、市）。2023年12月16日，自治区《关于提前下达2024年中央财政医疗服务与保障能力提升补助资金(医疗保障服务能力建设部分)预算的通知》（新财社〔2023〕191号）分解下达中央资金8315万元；2024年5月24日，自治区《关于下达2024年中央财政医疗服务与保障能力提升补助资金(医疗保障服务能力建设部分)预算的通知》（新财社〔2024〕36号）分解下达中央资金2185万元。严格按照预算法及其实施条例、转移支付管理制度规定以及资金管理办法规定的时限要求及时下达资金。</w:t>
      </w:r>
    </w:p>
    <w:p>
      <w:pPr>
        <w:pStyle w:val="7"/>
        <w:numPr>
          <w:ilvl w:val="0"/>
          <w:numId w:val="3"/>
        </w:numPr>
        <w:spacing w:line="560" w:lineRule="exact"/>
        <w:ind w:left="420" w:leftChars="200"/>
        <w:jc w:val="both"/>
        <w:rPr>
          <w:rFonts w:ascii="仿宋_GB2312" w:hAnsi="仿宋_GB2312" w:eastAsia="仿宋_GB2312" w:cs="仿宋_GB2312"/>
          <w:b/>
          <w:bCs/>
          <w:color w:val="auto"/>
          <w:spacing w:val="-3"/>
          <w:sz w:val="32"/>
          <w:szCs w:val="32"/>
          <w:highlight w:val="none"/>
          <w:lang w:eastAsia="zh-CN"/>
        </w:rPr>
      </w:pPr>
      <w:r>
        <w:rPr>
          <w:rFonts w:hint="eastAsia" w:ascii="仿宋_GB2312" w:hAnsi="仿宋_GB2312" w:eastAsia="仿宋_GB2312" w:cs="仿宋_GB2312"/>
          <w:b/>
          <w:bCs/>
          <w:color w:val="auto"/>
          <w:spacing w:val="-3"/>
          <w:sz w:val="32"/>
          <w:szCs w:val="32"/>
          <w:highlight w:val="none"/>
          <w:lang w:eastAsia="zh-CN"/>
        </w:rPr>
        <w:t>资金拨付合规性</w:t>
      </w:r>
    </w:p>
    <w:p>
      <w:pPr>
        <w:pStyle w:val="7"/>
        <w:spacing w:line="560" w:lineRule="exact"/>
        <w:ind w:firstLine="644" w:firstLineChars="200"/>
        <w:jc w:val="both"/>
        <w:rPr>
          <w:rFonts w:hint="eastAsia" w:ascii="仿宋_GB2312" w:hAnsi="仿宋_GB2312" w:eastAsia="仿宋_GB2312" w:cs="仿宋_GB2312"/>
          <w:snapToGrid w:val="0"/>
          <w:color w:val="auto"/>
          <w:spacing w:val="1"/>
          <w:sz w:val="32"/>
          <w:szCs w:val="32"/>
          <w:highlight w:val="none"/>
          <w:lang w:val="en-US" w:eastAsia="zh-CN" w:bidi="ar-SA"/>
        </w:rPr>
      </w:pPr>
      <w:r>
        <w:rPr>
          <w:rFonts w:hint="eastAsia" w:ascii="仿宋_GB2312" w:hAnsi="仿宋_GB2312" w:eastAsia="仿宋_GB2312" w:cs="仿宋_GB2312"/>
          <w:snapToGrid w:val="0"/>
          <w:color w:val="auto"/>
          <w:spacing w:val="1"/>
          <w:sz w:val="32"/>
          <w:szCs w:val="32"/>
          <w:highlight w:val="none"/>
          <w:lang w:val="en-US" w:eastAsia="zh-CN" w:bidi="ar-SA"/>
        </w:rPr>
        <w:t>按照《新疆维吾尔自治区医疗服务与保障补助资金(医疗保障服务能力建设部分)管理暂行办法》的通知（新医保办〔2023〕35 号）要求，各主管部门严格按照规定分配资金，提出资金分配方案报财政厅主管业务处室审核后，报请自治区人民政府研究财政经费专题会议审核，审核通过后印发资金拨付文件。各主管部门、各级财政部门和资金使用单位加强项目监管、经费使用管理等工作，遵循“谁使用、谁负责”责任机制，加强专项经费管理，指导各地定期做好资金绩效监控，提高预算管理水平，加强资金跟踪监管。各级财政部门和主管部门单位严格按照国库集中支付制度有关规定支付资金，未出现违规将资金从国库转入财政专户或支付到预算单位实有资金账户等问题。</w:t>
      </w:r>
    </w:p>
    <w:p>
      <w:pPr>
        <w:pStyle w:val="7"/>
        <w:numPr>
          <w:ilvl w:val="0"/>
          <w:numId w:val="3"/>
        </w:numPr>
        <w:spacing w:line="560" w:lineRule="exact"/>
        <w:ind w:left="420" w:leftChars="200"/>
        <w:jc w:val="both"/>
        <w:rPr>
          <w:rFonts w:ascii="仿宋_GB2312" w:hAnsi="仿宋_GB2312" w:eastAsia="仿宋_GB2312" w:cs="仿宋_GB2312"/>
          <w:b/>
          <w:bCs/>
          <w:color w:val="auto"/>
          <w:spacing w:val="-3"/>
          <w:sz w:val="32"/>
          <w:szCs w:val="32"/>
          <w:highlight w:val="none"/>
          <w:lang w:eastAsia="zh-CN"/>
        </w:rPr>
      </w:pPr>
      <w:r>
        <w:rPr>
          <w:rFonts w:hint="eastAsia" w:ascii="仿宋_GB2312" w:hAnsi="仿宋_GB2312" w:eastAsia="仿宋_GB2312" w:cs="仿宋_GB2312"/>
          <w:b/>
          <w:bCs/>
          <w:color w:val="auto"/>
          <w:spacing w:val="-3"/>
          <w:sz w:val="32"/>
          <w:szCs w:val="32"/>
          <w:highlight w:val="none"/>
          <w:lang w:eastAsia="zh-CN"/>
        </w:rPr>
        <w:t>资金使用规范性</w:t>
      </w:r>
    </w:p>
    <w:p>
      <w:pPr>
        <w:pStyle w:val="7"/>
        <w:spacing w:line="560" w:lineRule="exact"/>
        <w:ind w:firstLine="644" w:firstLineChars="200"/>
        <w:jc w:val="both"/>
        <w:rPr>
          <w:rFonts w:hint="eastAsia" w:ascii="仿宋_GB2312" w:hAnsi="仿宋_GB2312" w:eastAsia="仿宋_GB2312" w:cs="仿宋_GB2312"/>
          <w:snapToGrid w:val="0"/>
          <w:color w:val="auto"/>
          <w:spacing w:val="1"/>
          <w:sz w:val="32"/>
          <w:szCs w:val="32"/>
          <w:highlight w:val="none"/>
          <w:lang w:val="en-US" w:eastAsia="zh-CN" w:bidi="ar-SA"/>
        </w:rPr>
      </w:pPr>
      <w:r>
        <w:rPr>
          <w:rFonts w:hint="eastAsia" w:ascii="仿宋_GB2312" w:hAnsi="仿宋_GB2312" w:eastAsia="仿宋_GB2312" w:cs="仿宋_GB2312"/>
          <w:snapToGrid w:val="0"/>
          <w:color w:val="auto"/>
          <w:spacing w:val="1"/>
          <w:sz w:val="32"/>
          <w:szCs w:val="32"/>
          <w:highlight w:val="none"/>
          <w:lang w:val="en-US" w:eastAsia="zh-CN" w:bidi="ar-SA"/>
        </w:rPr>
        <w:t>我局严格执行《财政部办公厅 国家医保局办公室关于切实做好医疗服务与保障能力提升补助资金（医疗保障服务能力建设部分）预算执行管理工作的通知》（财办社〔2022〕47号）要求，确保资金合规高效利用。严格按照下达预算的科目和项目执行，未出现截留、挤占、挪用或擅自调整等问题，资金使用规范。</w:t>
      </w:r>
    </w:p>
    <w:p>
      <w:pPr>
        <w:pStyle w:val="7"/>
        <w:numPr>
          <w:ilvl w:val="0"/>
          <w:numId w:val="0"/>
        </w:numPr>
        <w:spacing w:line="560" w:lineRule="exact"/>
        <w:ind w:firstLine="631" w:firstLineChars="200"/>
        <w:jc w:val="both"/>
        <w:rPr>
          <w:rFonts w:hint="eastAsia" w:ascii="仿宋_GB2312" w:hAnsi="仿宋_GB2312" w:eastAsia="仿宋_GB2312" w:cs="仿宋_GB2312"/>
          <w:b/>
          <w:bCs/>
          <w:color w:val="auto"/>
          <w:spacing w:val="-3"/>
          <w:sz w:val="32"/>
          <w:szCs w:val="32"/>
          <w:highlight w:val="none"/>
          <w:lang w:eastAsia="zh-CN"/>
        </w:rPr>
      </w:pPr>
      <w:r>
        <w:rPr>
          <w:rFonts w:hint="eastAsia" w:ascii="仿宋_GB2312" w:hAnsi="仿宋_GB2312" w:eastAsia="仿宋_GB2312" w:cs="仿宋_GB2312"/>
          <w:b/>
          <w:bCs/>
          <w:color w:val="auto"/>
          <w:spacing w:val="-3"/>
          <w:sz w:val="32"/>
          <w:szCs w:val="32"/>
          <w:highlight w:val="none"/>
          <w:lang w:val="en-US" w:eastAsia="zh-CN"/>
        </w:rPr>
        <w:t>5.</w:t>
      </w:r>
      <w:r>
        <w:rPr>
          <w:rFonts w:hint="eastAsia" w:ascii="仿宋_GB2312" w:hAnsi="仿宋_GB2312" w:eastAsia="仿宋_GB2312" w:cs="仿宋_GB2312"/>
          <w:b/>
          <w:bCs/>
          <w:color w:val="auto"/>
          <w:spacing w:val="-3"/>
          <w:sz w:val="32"/>
          <w:szCs w:val="32"/>
          <w:highlight w:val="none"/>
          <w:lang w:eastAsia="zh-CN"/>
        </w:rPr>
        <w:t>资金执行准确性</w:t>
      </w:r>
    </w:p>
    <w:p>
      <w:pPr>
        <w:pStyle w:val="7"/>
        <w:spacing w:line="560" w:lineRule="exact"/>
        <w:ind w:firstLine="644" w:firstLineChars="200"/>
        <w:jc w:val="both"/>
        <w:rPr>
          <w:rFonts w:hint="eastAsia" w:ascii="仿宋_GB2312" w:hAnsi="仿宋_GB2312" w:eastAsia="仿宋_GB2312" w:cs="仿宋_GB2312"/>
          <w:snapToGrid w:val="0"/>
          <w:color w:val="auto"/>
          <w:spacing w:val="1"/>
          <w:sz w:val="32"/>
          <w:szCs w:val="32"/>
          <w:highlight w:val="none"/>
          <w:lang w:val="en-US" w:eastAsia="zh-CN" w:bidi="ar-SA"/>
        </w:rPr>
      </w:pPr>
      <w:r>
        <w:rPr>
          <w:rFonts w:hint="eastAsia" w:ascii="仿宋_GB2312" w:hAnsi="仿宋_GB2312" w:eastAsia="仿宋_GB2312" w:cs="仿宋_GB2312"/>
          <w:snapToGrid w:val="0"/>
          <w:color w:val="auto"/>
          <w:spacing w:val="1"/>
          <w:sz w:val="32"/>
          <w:szCs w:val="32"/>
          <w:highlight w:val="none"/>
          <w:lang w:val="en-US" w:eastAsia="zh-CN" w:bidi="ar-SA"/>
        </w:rPr>
        <w:t>我局严格按照《关于印发《新疆维吾尔自治区医疗服务与保障补助资金(医疗保障服务能力建设部分)管理暂行办法》的通知》（新医保办〔2023〕35号）要求各级医疗保障部门按规定按时报送预算执行情况及分析报告；严格落实存量资金管理要求，督促和指导下级医保部门定期清理结余结转资金；要求各级医疗保障部门加强对资金使用情况的监督管理，认真开展能力提升补助资金管理和使用情况监督检查，及时发现和纠正有关问题。</w:t>
      </w:r>
    </w:p>
    <w:p>
      <w:pPr>
        <w:numPr>
          <w:ilvl w:val="0"/>
          <w:numId w:val="0"/>
        </w:numPr>
        <w:spacing w:line="560" w:lineRule="exact"/>
        <w:ind w:firstLine="644" w:firstLineChars="200"/>
        <w:jc w:val="both"/>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napToGrid w:val="0"/>
          <w:color w:val="auto"/>
          <w:spacing w:val="1"/>
          <w:sz w:val="32"/>
          <w:szCs w:val="32"/>
          <w:highlight w:val="none"/>
          <w:lang w:val="en-US" w:eastAsia="zh-CN" w:bidi="ar-SA"/>
        </w:rPr>
        <w:t>我局2024年度能力提升资金执行率为89.6%，</w:t>
      </w:r>
      <w:r>
        <w:rPr>
          <w:rFonts w:hint="eastAsia" w:ascii="仿宋_GB2312" w:hAnsi="仿宋_GB2312" w:eastAsia="仿宋_GB2312" w:cs="仿宋_GB2312"/>
          <w:b w:val="0"/>
          <w:bCs w:val="0"/>
          <w:color w:val="auto"/>
          <w:sz w:val="32"/>
          <w:szCs w:val="32"/>
          <w:highlight w:val="none"/>
          <w:lang w:val="en-US" w:eastAsia="zh-CN"/>
        </w:rPr>
        <w:t>存在主要问题是个别地（州、市）执行率低于90%，主要原因如下：（1）项目签订为跨年合同，2024年底未到支付节点，部分款项尚未支付；（2）低价中标，按照预算有结余资金。我们会积极督促各地州精准预算，按照工作计划及时完成各项工作，按照合同规定及时、准确支付，力争将此项工作推上新的台阶。</w:t>
      </w:r>
    </w:p>
    <w:p>
      <w:pPr>
        <w:pStyle w:val="7"/>
        <w:spacing w:line="560" w:lineRule="exact"/>
        <w:ind w:firstLine="631" w:firstLineChars="200"/>
        <w:jc w:val="both"/>
        <w:rPr>
          <w:rFonts w:ascii="仿宋_GB2312" w:hAnsi="仿宋_GB2312" w:eastAsia="仿宋_GB2312" w:cs="仿宋_GB2312"/>
          <w:b/>
          <w:bCs/>
          <w:color w:val="auto"/>
          <w:spacing w:val="-3"/>
          <w:sz w:val="32"/>
          <w:szCs w:val="32"/>
          <w:highlight w:val="none"/>
          <w:lang w:eastAsia="zh-CN"/>
        </w:rPr>
      </w:pPr>
      <w:r>
        <w:rPr>
          <w:rFonts w:hint="eastAsia" w:ascii="仿宋_GB2312" w:hAnsi="仿宋_GB2312" w:eastAsia="仿宋_GB2312" w:cs="仿宋_GB2312"/>
          <w:b/>
          <w:bCs/>
          <w:color w:val="auto"/>
          <w:spacing w:val="-3"/>
          <w:sz w:val="32"/>
          <w:szCs w:val="32"/>
          <w:highlight w:val="none"/>
          <w:lang w:val="en-US" w:eastAsia="zh-CN"/>
        </w:rPr>
        <w:t>6.</w:t>
      </w:r>
      <w:r>
        <w:rPr>
          <w:rFonts w:hint="eastAsia" w:ascii="仿宋_GB2312" w:hAnsi="仿宋_GB2312" w:eastAsia="仿宋_GB2312" w:cs="仿宋_GB2312"/>
          <w:b/>
          <w:bCs/>
          <w:color w:val="auto"/>
          <w:spacing w:val="-3"/>
          <w:sz w:val="32"/>
          <w:szCs w:val="32"/>
          <w:highlight w:val="none"/>
          <w:lang w:eastAsia="zh-CN"/>
        </w:rPr>
        <w:t>预算绩效管理情况</w:t>
      </w:r>
    </w:p>
    <w:p>
      <w:pPr>
        <w:pStyle w:val="7"/>
        <w:spacing w:line="560" w:lineRule="exact"/>
        <w:ind w:firstLine="644" w:firstLineChars="200"/>
        <w:jc w:val="both"/>
        <w:rPr>
          <w:rFonts w:hint="eastAsia" w:ascii="仿宋_GB2312" w:hAnsi="仿宋_GB2312" w:eastAsia="仿宋_GB2312" w:cs="仿宋_GB2312"/>
          <w:snapToGrid w:val="0"/>
          <w:color w:val="auto"/>
          <w:spacing w:val="1"/>
          <w:sz w:val="32"/>
          <w:szCs w:val="32"/>
          <w:highlight w:val="none"/>
          <w:lang w:val="en-US" w:eastAsia="zh-CN" w:bidi="ar-SA"/>
        </w:rPr>
      </w:pPr>
      <w:r>
        <w:rPr>
          <w:rFonts w:hint="eastAsia" w:ascii="仿宋_GB2312" w:hAnsi="仿宋_GB2312" w:eastAsia="仿宋_GB2312" w:cs="仿宋_GB2312"/>
          <w:snapToGrid w:val="0"/>
          <w:color w:val="auto"/>
          <w:spacing w:val="1"/>
          <w:sz w:val="32"/>
          <w:szCs w:val="32"/>
          <w:highlight w:val="none"/>
          <w:lang w:val="en-US" w:eastAsia="zh-CN" w:bidi="ar-SA"/>
        </w:rPr>
        <w:t>按照《中共中央国务院关于全面实施预算绩效管理的意见》《关于加强和规范自治区本级项目支出“全过程”预算绩效管理结果应用的通知》（新财预〔2022〕57号）等要求，自治区医疗保障局强化资金使用监管，严格执行有关财经制度，进一步加强预算绩效管理，预算执行中做到绩效监控，预算执行完做好绩效评价，财政资金使用效益充分提高，资金安全规范使用，年度绩效目标如期实现。</w:t>
      </w:r>
    </w:p>
    <w:p>
      <w:pPr>
        <w:pStyle w:val="7"/>
        <w:spacing w:line="560" w:lineRule="exact"/>
        <w:ind w:firstLine="644" w:firstLineChars="200"/>
        <w:jc w:val="both"/>
        <w:rPr>
          <w:rFonts w:hint="eastAsia" w:ascii="仿宋_GB2312" w:hAnsi="仿宋_GB2312" w:eastAsia="仿宋_GB2312" w:cs="仿宋_GB2312"/>
          <w:snapToGrid w:val="0"/>
          <w:color w:val="auto"/>
          <w:spacing w:val="1"/>
          <w:sz w:val="32"/>
          <w:szCs w:val="32"/>
          <w:highlight w:val="none"/>
          <w:lang w:val="en-US" w:eastAsia="zh-CN" w:bidi="ar-SA"/>
        </w:rPr>
      </w:pPr>
      <w:r>
        <w:rPr>
          <w:rFonts w:hint="eastAsia" w:ascii="仿宋_GB2312" w:hAnsi="仿宋_GB2312" w:eastAsia="仿宋_GB2312" w:cs="仿宋_GB2312"/>
          <w:snapToGrid w:val="0"/>
          <w:color w:val="auto"/>
          <w:spacing w:val="1"/>
          <w:sz w:val="32"/>
          <w:szCs w:val="32"/>
          <w:highlight w:val="none"/>
          <w:lang w:val="en-US" w:eastAsia="zh-CN" w:bidi="ar-SA"/>
        </w:rPr>
        <w:t>7.支出责任履行情况</w:t>
      </w:r>
    </w:p>
    <w:p>
      <w:pPr>
        <w:pStyle w:val="7"/>
        <w:spacing w:line="560" w:lineRule="exact"/>
        <w:ind w:firstLine="644"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napToGrid w:val="0"/>
          <w:color w:val="auto"/>
          <w:spacing w:val="1"/>
          <w:sz w:val="32"/>
          <w:szCs w:val="32"/>
          <w:highlight w:val="none"/>
          <w:lang w:val="en-US" w:eastAsia="zh-CN" w:bidi="ar-SA"/>
        </w:rPr>
        <w:t>按照《新疆维吾尔自治区医疗卫生领域财政事权和支出责任划分改革实施方案》》《关于印发基本公共卫生服务等5项补助资金管理办法的通知》（新财规〔2020〕7号）等要求，我局按照承担职责的相关职能部门及其所属机构隶属关系分别明确为自治区财政事权或地县财政事权，由同级财政承担支出责任，对共同财政事权转移支付资金，按照财政事权和支出责任划分有关规定，足额安排资金履行本级支出责任。</w:t>
      </w:r>
    </w:p>
    <w:p>
      <w:pPr>
        <w:pStyle w:val="7"/>
        <w:numPr>
          <w:ilvl w:val="0"/>
          <w:numId w:val="2"/>
        </w:numPr>
        <w:spacing w:line="560" w:lineRule="exact"/>
        <w:ind w:firstLine="628" w:firstLineChars="200"/>
        <w:jc w:val="both"/>
        <w:rPr>
          <w:rFonts w:ascii="楷体_GB2312" w:hAnsi="楷体_GB2312" w:eastAsia="楷体_GB2312" w:cs="楷体_GB2312"/>
          <w:color w:val="auto"/>
          <w:spacing w:val="-3"/>
          <w:sz w:val="32"/>
          <w:szCs w:val="32"/>
          <w:highlight w:val="none"/>
          <w:lang w:eastAsia="zh-CN"/>
        </w:rPr>
      </w:pPr>
      <w:r>
        <w:rPr>
          <w:rFonts w:hint="eastAsia" w:ascii="楷体_GB2312" w:hAnsi="楷体_GB2312" w:eastAsia="楷体_GB2312" w:cs="楷体_GB2312"/>
          <w:color w:val="auto"/>
          <w:spacing w:val="-3"/>
          <w:sz w:val="32"/>
          <w:szCs w:val="32"/>
          <w:highlight w:val="none"/>
          <w:lang w:eastAsia="zh-CN"/>
        </w:rPr>
        <w:t>总体绩效目标完成情况分析</w:t>
      </w:r>
    </w:p>
    <w:p>
      <w:pPr>
        <w:pStyle w:val="7"/>
        <w:spacing w:line="560" w:lineRule="exact"/>
        <w:ind w:firstLine="644" w:firstLineChars="200"/>
        <w:jc w:val="both"/>
        <w:rPr>
          <w:rFonts w:hint="eastAsia" w:ascii="仿宋_GB2312" w:hAnsi="仿宋_GB2312" w:eastAsia="仿宋_GB2312" w:cs="仿宋_GB2312"/>
          <w:snapToGrid w:val="0"/>
          <w:color w:val="auto"/>
          <w:spacing w:val="1"/>
          <w:sz w:val="32"/>
          <w:szCs w:val="32"/>
          <w:highlight w:val="none"/>
          <w:lang w:val="en-US" w:eastAsia="zh-CN" w:bidi="ar-SA"/>
        </w:rPr>
      </w:pPr>
      <w:r>
        <w:rPr>
          <w:rFonts w:hint="eastAsia" w:ascii="仿宋_GB2312" w:hAnsi="仿宋_GB2312" w:eastAsia="仿宋_GB2312" w:cs="仿宋_GB2312"/>
          <w:snapToGrid w:val="0"/>
          <w:color w:val="auto"/>
          <w:spacing w:val="1"/>
          <w:sz w:val="32"/>
          <w:szCs w:val="32"/>
          <w:highlight w:val="none"/>
          <w:lang w:val="en-US" w:eastAsia="zh-CN" w:bidi="ar-SA"/>
        </w:rPr>
        <w:t>医保治理效能实现系统性提升：国家医保信息平台全面落地应用；跨省异地就医直接结算覆盖全疆15个统筹地区。基金监管体系构建完成：监控系统实现全覆盖；飞行检查机制常态化。重点领域改革取得标志性成果：DRG/DIP支付方式全疆实现15个统筹地区全覆盖。招采制度改革成效显著:新疆推动集中带量采购品种提质扩面，着力构建多层次采购体系、多元化采购模式，实现药品耗材集中采购全覆盖，促进药品耗材线上采购、阳光透明。经办服务能力实现跨越式发展：经办服务标准化建设完成；全程网办率85.7%；医保服务窗口标准化覆盖率达99%。基金运行质量显著改善，群众获得感显著增强。</w:t>
      </w:r>
    </w:p>
    <w:p>
      <w:pPr>
        <w:pStyle w:val="7"/>
        <w:numPr>
          <w:ilvl w:val="0"/>
          <w:numId w:val="2"/>
        </w:numPr>
        <w:spacing w:line="560" w:lineRule="exact"/>
        <w:ind w:firstLine="628" w:firstLineChars="200"/>
        <w:jc w:val="both"/>
        <w:rPr>
          <w:rFonts w:ascii="楷体" w:hAnsi="楷体" w:eastAsia="楷体" w:cs="楷体"/>
          <w:color w:val="auto"/>
          <w:spacing w:val="5"/>
          <w:sz w:val="32"/>
          <w:szCs w:val="32"/>
          <w:highlight w:val="none"/>
        </w:rPr>
      </w:pPr>
      <w:r>
        <w:rPr>
          <w:rFonts w:hint="eastAsia" w:ascii="楷体_GB2312" w:hAnsi="楷体_GB2312" w:eastAsia="楷体_GB2312" w:cs="楷体_GB2312"/>
          <w:color w:val="auto"/>
          <w:spacing w:val="-3"/>
          <w:sz w:val="32"/>
          <w:szCs w:val="32"/>
          <w:highlight w:val="none"/>
          <w:lang w:eastAsia="zh-CN"/>
        </w:rPr>
        <w:t>绩效指标完成情况分析</w:t>
      </w:r>
    </w:p>
    <w:p>
      <w:pPr>
        <w:pStyle w:val="7"/>
        <w:spacing w:line="560" w:lineRule="exact"/>
        <w:ind w:firstLine="659" w:firstLineChars="200"/>
        <w:jc w:val="both"/>
        <w:rPr>
          <w:rFonts w:ascii="仿宋_GB2312" w:hAnsi="仿宋_GB2312" w:eastAsia="仿宋_GB2312" w:cs="仿宋_GB2312"/>
          <w:b/>
          <w:bCs/>
          <w:color w:val="auto"/>
          <w:spacing w:val="4"/>
          <w:sz w:val="32"/>
          <w:szCs w:val="32"/>
          <w:highlight w:val="none"/>
          <w:lang w:eastAsia="zh-CN"/>
        </w:rPr>
      </w:pPr>
      <w:r>
        <w:rPr>
          <w:rFonts w:hint="eastAsia" w:ascii="仿宋_GB2312" w:hAnsi="仿宋_GB2312" w:eastAsia="仿宋_GB2312" w:cs="仿宋_GB2312"/>
          <w:b/>
          <w:bCs/>
          <w:color w:val="auto"/>
          <w:spacing w:val="4"/>
          <w:sz w:val="32"/>
          <w:szCs w:val="32"/>
          <w:highlight w:val="none"/>
          <w:lang w:eastAsia="zh-CN"/>
        </w:rPr>
        <w:t>1.</w:t>
      </w:r>
      <w:r>
        <w:rPr>
          <w:rFonts w:hint="eastAsia" w:ascii="仿宋_GB2312" w:hAnsi="仿宋_GB2312" w:eastAsia="仿宋_GB2312" w:cs="仿宋_GB2312"/>
          <w:b/>
          <w:bCs/>
          <w:color w:val="auto"/>
          <w:spacing w:val="4"/>
          <w:sz w:val="32"/>
          <w:szCs w:val="32"/>
          <w:highlight w:val="none"/>
          <w:lang w:val="en-US" w:eastAsia="zh-CN"/>
        </w:rPr>
        <w:t>项目</w:t>
      </w:r>
      <w:r>
        <w:rPr>
          <w:rFonts w:hint="eastAsia" w:ascii="仿宋_GB2312" w:hAnsi="仿宋_GB2312" w:eastAsia="仿宋_GB2312" w:cs="仿宋_GB2312"/>
          <w:b/>
          <w:bCs/>
          <w:color w:val="auto"/>
          <w:spacing w:val="4"/>
          <w:sz w:val="32"/>
          <w:szCs w:val="32"/>
          <w:highlight w:val="none"/>
          <w:lang w:eastAsia="zh-CN"/>
        </w:rPr>
        <w:t>产出指标</w:t>
      </w:r>
    </w:p>
    <w:p>
      <w:pPr>
        <w:pStyle w:val="7"/>
        <w:spacing w:line="560" w:lineRule="exact"/>
        <w:ind w:firstLine="659" w:firstLineChars="200"/>
        <w:jc w:val="both"/>
        <w:rPr>
          <w:rFonts w:ascii="仿宋_GB2312" w:hAnsi="仿宋_GB2312" w:eastAsia="仿宋_GB2312" w:cs="仿宋_GB2312"/>
          <w:b/>
          <w:bCs/>
          <w:color w:val="auto"/>
          <w:spacing w:val="4"/>
          <w:sz w:val="32"/>
          <w:szCs w:val="32"/>
          <w:highlight w:val="none"/>
        </w:rPr>
      </w:pPr>
      <w:r>
        <w:rPr>
          <w:rFonts w:hint="eastAsia" w:ascii="仿宋_GB2312" w:hAnsi="仿宋_GB2312" w:eastAsia="仿宋_GB2312" w:cs="仿宋_GB2312"/>
          <w:b/>
          <w:bCs/>
          <w:color w:val="auto"/>
          <w:spacing w:val="4"/>
          <w:sz w:val="32"/>
          <w:szCs w:val="32"/>
          <w:highlight w:val="none"/>
          <w:lang w:eastAsia="zh-CN"/>
        </w:rPr>
        <w:t>（1）数量指标</w:t>
      </w:r>
    </w:p>
    <w:p>
      <w:pPr>
        <w:pStyle w:val="7"/>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a.财政部随文下达的</w:t>
      </w:r>
      <w:r>
        <w:rPr>
          <w:rFonts w:hint="eastAsia" w:ascii="仿宋_GB2312" w:hAnsi="仿宋_GB2312" w:eastAsia="仿宋_GB2312" w:cs="仿宋_GB2312"/>
          <w:b w:val="0"/>
          <w:bCs w:val="0"/>
          <w:color w:val="auto"/>
          <w:sz w:val="32"/>
          <w:szCs w:val="32"/>
          <w:highlight w:val="none"/>
          <w:lang w:eastAsia="zh-CN"/>
        </w:rPr>
        <w:t>基本医保参保人数</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w:t>
      </w:r>
      <w:r>
        <w:rPr>
          <w:rFonts w:hint="eastAsia" w:ascii="仿宋_GB2312" w:hAnsi="仿宋_GB2312" w:eastAsia="仿宋_GB2312" w:cs="仿宋_GB2312"/>
          <w:color w:val="auto"/>
          <w:sz w:val="32"/>
          <w:szCs w:val="32"/>
          <w:highlight w:val="none"/>
          <w:lang w:eastAsia="zh-CN"/>
        </w:rPr>
        <w:t>值为</w:t>
      </w:r>
      <w:r>
        <w:rPr>
          <w:rFonts w:hint="eastAsia" w:ascii="仿宋_GB2312" w:hAnsi="仿宋_GB2312" w:eastAsia="仿宋_GB2312" w:cs="仿宋_GB2312"/>
          <w:color w:val="auto"/>
          <w:sz w:val="32"/>
          <w:szCs w:val="32"/>
          <w:highlight w:val="none"/>
          <w:lang w:val="en-US" w:eastAsia="zh-CN"/>
        </w:rPr>
        <w:t>大于等于</w:t>
      </w:r>
      <w:r>
        <w:rPr>
          <w:rFonts w:hint="eastAsia" w:ascii="仿宋_GB2312" w:hAnsi="仿宋_GB2312" w:eastAsia="仿宋_GB2312" w:cs="仿宋_GB2312"/>
          <w:color w:val="auto"/>
          <w:sz w:val="32"/>
          <w:szCs w:val="32"/>
          <w:highlight w:val="none"/>
          <w:lang w:eastAsia="zh-CN"/>
        </w:rPr>
        <w:t>2084万人，据2024年医疗保障年报统计数据显示,截至2024年12月底，我区基本医疗保险参保人数</w:t>
      </w:r>
      <w:r>
        <w:rPr>
          <w:rFonts w:hint="eastAsia" w:ascii="仿宋_GB2312" w:hAnsi="仿宋_GB2312" w:eastAsia="仿宋_GB2312" w:cs="仿宋_GB2312"/>
          <w:color w:val="auto"/>
          <w:sz w:val="32"/>
          <w:szCs w:val="32"/>
          <w:highlight w:val="none"/>
          <w:lang w:val="en-US" w:eastAsia="zh-CN"/>
        </w:rPr>
        <w:t>实际完成值为</w:t>
      </w:r>
      <w:r>
        <w:rPr>
          <w:rFonts w:hint="eastAsia" w:ascii="仿宋_GB2312" w:hAnsi="仿宋_GB2312" w:eastAsia="仿宋_GB2312" w:cs="仿宋_GB2312"/>
          <w:color w:val="auto"/>
          <w:sz w:val="32"/>
          <w:szCs w:val="32"/>
          <w:highlight w:val="none"/>
          <w:lang w:eastAsia="zh-CN"/>
        </w:rPr>
        <w:t>2088.09万人，完成率100.20%，偏差率0.20%。</w:t>
      </w:r>
    </w:p>
    <w:p>
      <w:pPr>
        <w:pStyle w:val="7"/>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b.财政部随文下达的</w:t>
      </w:r>
      <w:r>
        <w:rPr>
          <w:rFonts w:hint="eastAsia" w:ascii="仿宋_GB2312" w:hAnsi="仿宋_GB2312" w:eastAsia="仿宋_GB2312" w:cs="仿宋_GB2312"/>
          <w:b w:val="0"/>
          <w:bCs w:val="0"/>
          <w:color w:val="auto"/>
          <w:sz w:val="32"/>
          <w:szCs w:val="32"/>
          <w:highlight w:val="none"/>
          <w:lang w:eastAsia="zh-CN"/>
        </w:rPr>
        <w:t>每个县(区)范围内开通门诊慢特病相关治疗费用跨省联网定点医疗机构数量</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lang w:eastAsia="zh-CN"/>
        </w:rPr>
        <w:t>指标值为大于等于1，实际完成值为1，完成率100%，偏差率0%。</w:t>
      </w:r>
    </w:p>
    <w:p>
      <w:pPr>
        <w:pStyle w:val="7"/>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截至2023年7月31日，全区开通高血压、糖尿病、恶性肿瘤门诊放化疗、尿毒症透析、器官移植术后抗排异治疗等5种门诊慢特病相关治疗费用跨省直接结算定点医药机构1306家，已完成每个县（市、区）至少有1家及以上普通门诊。</w:t>
      </w:r>
    </w:p>
    <w:p>
      <w:pPr>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napToGrid w:val="0"/>
          <w:color w:val="auto"/>
          <w:sz w:val="32"/>
          <w:szCs w:val="32"/>
          <w:highlight w:val="none"/>
          <w:lang w:val="en-US" w:eastAsia="zh-CN" w:bidi="ar-SA"/>
        </w:rPr>
        <w:t>c.</w:t>
      </w:r>
      <w:r>
        <w:rPr>
          <w:rFonts w:hint="eastAsia" w:ascii="仿宋_GB2312" w:hAnsi="仿宋_GB2312" w:eastAsia="仿宋_GB2312" w:cs="仿宋_GB2312"/>
          <w:b w:val="0"/>
          <w:bCs w:val="0"/>
          <w:color w:val="auto"/>
          <w:sz w:val="32"/>
          <w:szCs w:val="32"/>
          <w:highlight w:val="none"/>
          <w:lang w:eastAsia="zh-CN"/>
        </w:rPr>
        <w:t>财政部随文下达的短缺药品异常高价和异常配送核查处置情况</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w:t>
      </w:r>
      <w:r>
        <w:rPr>
          <w:rFonts w:hint="eastAsia" w:ascii="仿宋_GB2312" w:hAnsi="仿宋_GB2312" w:eastAsia="仿宋_GB2312" w:cs="仿宋_GB2312"/>
          <w:color w:val="auto"/>
          <w:sz w:val="32"/>
          <w:szCs w:val="32"/>
          <w:highlight w:val="none"/>
          <w:lang w:eastAsia="zh-CN"/>
        </w:rPr>
        <w:t>为处置率达100%，实际完成值为100%，完成率100%，偏差率0%。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是根据1月、2月、6月、9月、10月收到国家医保局共计异常数据13条（其余月份我区无异常数据）。收到异常数据后约谈相关生产企业13次，督促5家企业及时保障供应产品，成功约谈降价短缺药品1个；二是2024年12月，我局商请自治区卫健委牵头重新评估9个品规纳入短缺、易短缺药品清单的必要性，卫健委拟于2025年重新评估短缺药目录。同时，对涉及高价企业进行了逐一约谈，1个产品主动完成降价，4个产品进行黄标风险预警处置，4个产品进行红标风险警示处置，处置率达100%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d.财政部随文下达的</w:t>
      </w:r>
      <w:r>
        <w:rPr>
          <w:rFonts w:hint="eastAsia" w:ascii="仿宋_GB2312" w:hAnsi="仿宋_GB2312" w:eastAsia="仿宋_GB2312" w:cs="仿宋_GB2312"/>
          <w:b w:val="0"/>
          <w:bCs w:val="0"/>
          <w:color w:val="auto"/>
          <w:sz w:val="32"/>
          <w:szCs w:val="32"/>
          <w:highlight w:val="none"/>
          <w:lang w:eastAsia="zh-CN"/>
        </w:rPr>
        <w:t>每年开展药品挂网价格联动次数</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w:t>
      </w:r>
      <w:r>
        <w:rPr>
          <w:rFonts w:hint="eastAsia" w:ascii="仿宋_GB2312" w:hAnsi="仿宋_GB2312" w:eastAsia="仿宋_GB2312" w:cs="仿宋_GB2312"/>
          <w:color w:val="auto"/>
          <w:sz w:val="32"/>
          <w:szCs w:val="32"/>
          <w:highlight w:val="none"/>
          <w:lang w:eastAsia="zh-CN"/>
        </w:rPr>
        <w:t>标值为</w:t>
      </w:r>
      <w:r>
        <w:rPr>
          <w:rFonts w:hint="eastAsia" w:ascii="仿宋_GB2312" w:hAnsi="仿宋_GB2312" w:eastAsia="仿宋_GB2312" w:cs="仿宋_GB2312"/>
          <w:color w:val="auto"/>
          <w:sz w:val="32"/>
          <w:szCs w:val="32"/>
          <w:highlight w:val="none"/>
          <w:lang w:val="en-US" w:eastAsia="zh-CN"/>
        </w:rPr>
        <w:t>大于等于</w:t>
      </w:r>
      <w:r>
        <w:rPr>
          <w:rFonts w:hint="eastAsia" w:ascii="仿宋_GB2312" w:hAnsi="仿宋_GB2312" w:eastAsia="仿宋_GB2312" w:cs="仿宋_GB2312"/>
          <w:color w:val="auto"/>
          <w:sz w:val="32"/>
          <w:szCs w:val="32"/>
          <w:highlight w:val="none"/>
          <w:lang w:eastAsia="zh-CN"/>
        </w:rPr>
        <w:t>1，实际完成值为1，完成率100%，偏差率为0%。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2024年新疆医保局开展药品挂网价格联动工作，</w:t>
      </w:r>
      <w:r>
        <w:rPr>
          <w:rFonts w:hint="eastAsia" w:ascii="仿宋_GB2312" w:hAnsi="仿宋_GB2312" w:eastAsia="仿宋_GB2312" w:cs="仿宋_GB2312"/>
          <w:color w:val="auto"/>
          <w:sz w:val="32"/>
          <w:szCs w:val="32"/>
          <w:highlight w:val="none"/>
          <w:lang w:val="en-US" w:eastAsia="zh-CN"/>
        </w:rPr>
        <w:t>主要</w:t>
      </w:r>
      <w:r>
        <w:rPr>
          <w:rFonts w:hint="eastAsia" w:ascii="仿宋_GB2312" w:hAnsi="仿宋_GB2312" w:eastAsia="仿宋_GB2312" w:cs="仿宋_GB2312"/>
          <w:color w:val="auto"/>
          <w:sz w:val="32"/>
          <w:szCs w:val="32"/>
          <w:highlight w:val="none"/>
          <w:lang w:eastAsia="zh-CN"/>
        </w:rPr>
        <w:t>包括：（1）开展自治区招采子系统药品阳光挂网动态调整工作；（2）开展自治区招采子系统2024年第一批阳光挂网药品专项动态调整工作；（3）自治区规范药品阳光挂网价格动态调整工作。</w:t>
      </w:r>
    </w:p>
    <w:p>
      <w:pPr>
        <w:pStyle w:val="7"/>
        <w:spacing w:line="560" w:lineRule="exact"/>
        <w:ind w:firstLine="659" w:firstLineChars="200"/>
        <w:jc w:val="both"/>
        <w:rPr>
          <w:rFonts w:ascii="仿宋_GB2312" w:hAnsi="仿宋_GB2312" w:eastAsia="仿宋_GB2312" w:cs="仿宋_GB2312"/>
          <w:b/>
          <w:bCs/>
          <w:color w:val="auto"/>
          <w:spacing w:val="4"/>
          <w:sz w:val="32"/>
          <w:szCs w:val="32"/>
          <w:highlight w:val="none"/>
          <w:lang w:eastAsia="zh-CN"/>
        </w:rPr>
      </w:pPr>
      <w:r>
        <w:rPr>
          <w:rFonts w:hint="eastAsia" w:ascii="仿宋_GB2312" w:hAnsi="仿宋_GB2312" w:eastAsia="仿宋_GB2312" w:cs="仿宋_GB2312"/>
          <w:b/>
          <w:bCs/>
          <w:color w:val="auto"/>
          <w:spacing w:val="4"/>
          <w:sz w:val="32"/>
          <w:szCs w:val="32"/>
          <w:highlight w:val="none"/>
          <w:lang w:eastAsia="zh-CN"/>
        </w:rPr>
        <w:t>（</w:t>
      </w:r>
      <w:r>
        <w:rPr>
          <w:rFonts w:hint="eastAsia" w:ascii="仿宋_GB2312" w:hAnsi="仿宋_GB2312" w:eastAsia="仿宋_GB2312" w:cs="仿宋_GB2312"/>
          <w:b/>
          <w:bCs/>
          <w:color w:val="auto"/>
          <w:spacing w:val="4"/>
          <w:sz w:val="32"/>
          <w:szCs w:val="32"/>
          <w:highlight w:val="none"/>
          <w:lang w:val="en-US" w:eastAsia="zh-CN"/>
        </w:rPr>
        <w:t>2）</w:t>
      </w:r>
      <w:r>
        <w:rPr>
          <w:rFonts w:hint="eastAsia" w:ascii="仿宋_GB2312" w:hAnsi="仿宋_GB2312" w:eastAsia="仿宋_GB2312" w:cs="仿宋_GB2312"/>
          <w:b/>
          <w:bCs/>
          <w:color w:val="auto"/>
          <w:spacing w:val="4"/>
          <w:sz w:val="32"/>
          <w:szCs w:val="32"/>
          <w:highlight w:val="none"/>
          <w:lang w:eastAsia="zh-CN"/>
        </w:rPr>
        <w:t>质量指标</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a.</w:t>
      </w:r>
      <w:r>
        <w:rPr>
          <w:rFonts w:hint="eastAsia" w:ascii="仿宋_GB2312" w:hAnsi="仿宋_GB2312" w:eastAsia="仿宋_GB2312" w:cs="仿宋_GB2312"/>
          <w:b w:val="0"/>
          <w:bCs w:val="0"/>
          <w:color w:val="auto"/>
          <w:sz w:val="32"/>
          <w:szCs w:val="32"/>
          <w:highlight w:val="none"/>
          <w:lang w:eastAsia="zh-CN"/>
        </w:rPr>
        <w:t>财政部随文下达的重复参保治理情况</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w:t>
      </w:r>
      <w:r>
        <w:rPr>
          <w:rFonts w:hint="eastAsia" w:ascii="仿宋_GB2312" w:hAnsi="仿宋_GB2312" w:eastAsia="仿宋_GB2312" w:cs="仿宋_GB2312"/>
          <w:color w:val="auto"/>
          <w:sz w:val="32"/>
          <w:szCs w:val="32"/>
          <w:highlight w:val="none"/>
          <w:lang w:eastAsia="zh-CN"/>
        </w:rPr>
        <w:t>标值为依托医保信息平台实施参保信息强制校验，实际完成值为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经自查，一是存在跨制度重复参保4088人，其中：自治区重复参保58人，与兵团重复参保4030人；二是参保人员死亡后未及时办理暂停及清退，导致该期间仍继续缴纳基本医疗保险费，经自查发现此类人群涉及15人，剔除上述情况后，城乡居民医疗保险参保人数15415919人。因行政区划与地理位置特殊，发生跨制度重复缴费时系统仅有提醒但非强制，故造成跨省、跨制度重复参保。居民与居民间已实现强校验，不存在居民制度内重复参保。关于兵地重复参保情况对发现的4030人重复参保人员，根据《国家医保局 财政部 国家税务总局关于加强和改进基本医疗保险参保工作的指导意见》(医保发〔2020〕33号)，我区在申报并提供居民医保参保信息比对有关材料中，已主动剔除以上全部人员。</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b.</w:t>
      </w:r>
      <w:r>
        <w:rPr>
          <w:rFonts w:hint="eastAsia" w:ascii="仿宋_GB2312" w:hAnsi="仿宋_GB2312" w:eastAsia="仿宋_GB2312" w:cs="仿宋_GB2312"/>
          <w:b w:val="0"/>
          <w:bCs w:val="0"/>
          <w:color w:val="auto"/>
          <w:sz w:val="32"/>
          <w:szCs w:val="32"/>
          <w:highlight w:val="none"/>
          <w:lang w:eastAsia="zh-CN"/>
        </w:rPr>
        <w:t>财政部随文下达的医保基金综合监管能力</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w:t>
      </w:r>
      <w:r>
        <w:rPr>
          <w:rFonts w:hint="eastAsia" w:ascii="仿宋_GB2312" w:hAnsi="仿宋_GB2312" w:eastAsia="仿宋_GB2312" w:cs="仿宋_GB2312"/>
          <w:color w:val="auto"/>
          <w:sz w:val="32"/>
          <w:szCs w:val="32"/>
          <w:highlight w:val="none"/>
          <w:lang w:eastAsia="zh-CN"/>
        </w:rPr>
        <w:t>为有所提升，实际完成值为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新疆医保局2024年列入医疗保障基金监督检查对象名录库的定点医药机构共计11840家，检查覆盖同比增长13.7%;处理违法违规医药机构9412家，处理机构家数同比增长25.8%;暂停医保服务协议/结算1519家、暂停医保服务家数同比增长83%;解除医保服务协议1004家、解除医保服务家数同比增长622.3%,移交司法机关33家、移交司法家数同比增长371.4%;移交纪检监察机关549家、移交纪检监察机关家数同比增长103.3%;移交其他行政部门1435家，移交其他行政部门家数同比增长23.7%;处罚和追回资金8.64亿元，处罚和追回资金同比增长146.85%。</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c.</w:t>
      </w:r>
      <w:r>
        <w:rPr>
          <w:rFonts w:hint="eastAsia" w:ascii="仿宋_GB2312" w:hAnsi="仿宋_GB2312" w:eastAsia="仿宋_GB2312" w:cs="仿宋_GB2312"/>
          <w:b w:val="0"/>
          <w:bCs w:val="0"/>
          <w:color w:val="auto"/>
          <w:sz w:val="32"/>
          <w:szCs w:val="32"/>
          <w:highlight w:val="none"/>
          <w:lang w:eastAsia="zh-CN"/>
        </w:rPr>
        <w:t>财政部随文下达的基金预警和风险防控能力</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w:t>
      </w:r>
      <w:r>
        <w:rPr>
          <w:rFonts w:hint="eastAsia" w:ascii="仿宋_GB2312" w:hAnsi="仿宋_GB2312" w:eastAsia="仿宋_GB2312" w:cs="仿宋_GB2312"/>
          <w:color w:val="auto"/>
          <w:sz w:val="32"/>
          <w:szCs w:val="32"/>
          <w:highlight w:val="none"/>
          <w:lang w:eastAsia="zh-CN"/>
        </w:rPr>
        <w:t>值为有所提高，实际完成值为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中华人民共和国社会保险法》《社会保险基金监管条例》等法律规范和国家医疗保险基金管理政策，建立健全新疆维吾尔自治区基本医疗保险基金运行监测风险预警及动态调整机制，制定《新疆维吾尔自治区基本医疗保险基金运行监测及风险预警应对办法（试行）》。一是定期进行医保基金运行分析，各统筹地区按季度向自治区医疗保障局报送基金运行风险预警情况表及分析报告，对出现基金运行风险二级和一级预警的统筹区，还需同时向同级政府和自治区医疗保障局报送基金风险调控措施报告以及处置情况；二是建立医保基金风险防控机制，根据基金累计结余可支付月数和当期基金结余率可控性及影响范围，将基本医疗保险基金支出风险预警确定为四个级别，即四级风险预警(风险提醒)、三级风险预警(一般预警)、 二级风险预警(中等预警)、 一级风险预警(严重预警)。各统筹地区按季报送基金运行监测及风险预警情况表及分析报告至自治区医疗保障局规划财务法规处，报送时间为季度末次月20日前。自治区医疗保障局规划财务与法规处汇总各统筹地区情况后按季度形成全区的基金运行监测及风险预警分析报告。</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d.</w:t>
      </w:r>
      <w:r>
        <w:rPr>
          <w:rFonts w:hint="eastAsia" w:ascii="仿宋_GB2312" w:hAnsi="仿宋_GB2312" w:eastAsia="仿宋_GB2312" w:cs="仿宋_GB2312"/>
          <w:b w:val="0"/>
          <w:bCs w:val="0"/>
          <w:color w:val="auto"/>
          <w:sz w:val="32"/>
          <w:szCs w:val="32"/>
          <w:highlight w:val="none"/>
          <w:lang w:eastAsia="zh-CN"/>
        </w:rPr>
        <w:t>财政部随文下达的推进医保支付方式改革</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指标值为省</w:t>
      </w:r>
      <w:r>
        <w:rPr>
          <w:rFonts w:hint="eastAsia" w:ascii="仿宋_GB2312" w:hAnsi="仿宋_GB2312" w:eastAsia="仿宋_GB2312" w:cs="仿宋_GB2312"/>
          <w:color w:val="auto"/>
          <w:sz w:val="32"/>
          <w:szCs w:val="32"/>
          <w:highlight w:val="none"/>
          <w:lang w:eastAsia="zh-CN"/>
        </w:rPr>
        <w:t>级出台支付方式改革文件并落实到位，</w:t>
      </w:r>
      <w:r>
        <w:rPr>
          <w:rFonts w:hint="eastAsia" w:ascii="仿宋_GB2312" w:hAnsi="仿宋_GB2312" w:eastAsia="仿宋_GB2312" w:cs="仿宋_GB2312"/>
          <w:color w:val="auto"/>
          <w:sz w:val="32"/>
          <w:szCs w:val="32"/>
          <w:highlight w:val="none"/>
          <w:lang w:val="en-US" w:eastAsia="zh-CN"/>
        </w:rPr>
        <w:t>实际完成值为100%</w:t>
      </w:r>
      <w:r>
        <w:rPr>
          <w:rFonts w:hint="eastAsia" w:ascii="仿宋_GB2312" w:hAnsi="仿宋_GB2312" w:eastAsia="仿宋_GB2312" w:cs="仿宋_GB2312"/>
          <w:color w:val="auto"/>
          <w:sz w:val="32"/>
          <w:szCs w:val="32"/>
          <w:highlight w:val="none"/>
          <w:lang w:eastAsia="zh-CN"/>
        </w:rPr>
        <w:t>，完成率100%，偏差率0%。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新疆医保局按照《国家医疗保障局办公室关于印发按病组病种分值付费2.0版分组方案并深入推进相关工作的通知》（医保办发〔2024〕9号）要求制定印发《关于贯彻落实按病组病种分值付费2.0版分组方案并深入推进相关工作的通知》（新医保发〔2024〕60号）文件，在全疆范围内推进自治区DRG 2.0分组方案切换工作。按照国家医疗保障疾病诊断相关分组（CHS-DRG）分组方案（2.0）要求，完成分组本地化。建立并完善特例单议、预付金周转、谈判协商、意见收集和数据工作组等五大工作机制，并开展相应工作。</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e.</w:t>
      </w:r>
      <w:r>
        <w:rPr>
          <w:rFonts w:hint="eastAsia" w:ascii="仿宋_GB2312" w:hAnsi="仿宋_GB2312" w:eastAsia="仿宋_GB2312" w:cs="仿宋_GB2312"/>
          <w:b w:val="0"/>
          <w:bCs w:val="0"/>
          <w:color w:val="auto"/>
          <w:sz w:val="32"/>
          <w:szCs w:val="32"/>
          <w:highlight w:val="none"/>
          <w:lang w:eastAsia="zh-CN"/>
        </w:rPr>
        <w:t>财政部随文下达的医保经办服务能力</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指标值为有</w:t>
      </w:r>
      <w:r>
        <w:rPr>
          <w:rFonts w:hint="eastAsia" w:ascii="仿宋_GB2312" w:hAnsi="仿宋_GB2312" w:eastAsia="仿宋_GB2312" w:cs="仿宋_GB2312"/>
          <w:color w:val="auto"/>
          <w:sz w:val="32"/>
          <w:szCs w:val="32"/>
          <w:highlight w:val="none"/>
          <w:lang w:eastAsia="zh-CN"/>
        </w:rPr>
        <w:t>所提升，实际完成值为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是全疆医保经办机构共计15个，根据自治区党委编委关于印发《新疆维吾尔自治区医疗保障局所属事业单位改革方案》的通知（新党编委〔2024〕133号）文件规定，全疆经办机构归口自治区医保局（全区医保经办机构情况表）管理、独立运行；二是医疗保障经办政务服务事项清单全面落实，实行综合柜员制和一窗办理《新疆维吾尔自治区医疗保障经办政务服务事项清单及办事指南(2023年版)》的通知（新医保发〔2023〕66 号）中明确新疆维吾尔自治区医疗保障经办政务服务事项清单、新疆维吾尔自治区医疗保障经办政务服务办事指南，以及医疗保障经办政务服务事项清单参考样表。根据关于印发《自治区医疗保障政务服务“疆内通办”实施方案》的通知（新医保发〔2023〕34号），落实服务清单和“疆内通办”。</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f.</w:t>
      </w:r>
      <w:r>
        <w:rPr>
          <w:rFonts w:hint="eastAsia" w:ascii="仿宋_GB2312" w:hAnsi="仿宋_GB2312" w:eastAsia="仿宋_GB2312" w:cs="仿宋_GB2312"/>
          <w:b w:val="0"/>
          <w:bCs w:val="0"/>
          <w:color w:val="auto"/>
          <w:sz w:val="32"/>
          <w:szCs w:val="32"/>
          <w:highlight w:val="none"/>
          <w:lang w:eastAsia="zh-CN"/>
        </w:rPr>
        <w:t>财政部随文下达的医保标准化水平</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指标值为显</w:t>
      </w:r>
      <w:r>
        <w:rPr>
          <w:rFonts w:hint="eastAsia" w:ascii="仿宋_GB2312" w:hAnsi="仿宋_GB2312" w:eastAsia="仿宋_GB2312" w:cs="仿宋_GB2312"/>
          <w:color w:val="auto"/>
          <w:sz w:val="32"/>
          <w:szCs w:val="32"/>
          <w:highlight w:val="none"/>
          <w:lang w:eastAsia="zh-CN"/>
        </w:rPr>
        <w:t>著提升，实际完成值为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截至2022年年末，全区15个统筹区均已完成15项医疗保障信息业务编码贯标工作，并通过国家医疗保障局的贯标验收。2024年所有贯标动态维护正常，标准化水平显著提升。截止目前，新疆医保信息平台医保信息业务编码中有西药中成药215435条、中药饮片13545条、医疗机构制剂750条、医用耗材21615170条、医疗服务项目10539条、门诊慢特病病种163条、按病种结算病种253条、日间手术治疗项目2779条、医保系统单位赋码208家、医保系统工作人员赋码3815人、定点医疗机构赋码3098家、医保医师赋码67173人、医保护士赋码83131人、医保药学人员赋码3608人、医技人员赋码4842人、定点零售药店赋码7478家、医保药师赋码7711人。</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g.</w:t>
      </w:r>
      <w:r>
        <w:rPr>
          <w:rFonts w:hint="eastAsia" w:ascii="仿宋_GB2312" w:hAnsi="仿宋_GB2312" w:eastAsia="仿宋_GB2312" w:cs="仿宋_GB2312"/>
          <w:b w:val="0"/>
          <w:bCs w:val="0"/>
          <w:color w:val="auto"/>
          <w:sz w:val="32"/>
          <w:szCs w:val="32"/>
          <w:highlight w:val="none"/>
          <w:lang w:eastAsia="zh-CN"/>
        </w:rPr>
        <w:t>财政部随文下达的开展村(社区)级医保服务、有网点提供帮办、代办服务的村(社区)覆盖率</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指标值为</w:t>
      </w:r>
      <w:r>
        <w:rPr>
          <w:rFonts w:hint="eastAsia" w:ascii="仿宋_GB2312" w:hAnsi="仿宋_GB2312" w:eastAsia="仿宋_GB2312" w:cs="仿宋_GB2312"/>
          <w:b w:val="0"/>
          <w:bCs w:val="0"/>
          <w:color w:val="auto"/>
          <w:sz w:val="32"/>
          <w:szCs w:val="32"/>
          <w:highlight w:val="none"/>
          <w:lang w:val="en-US" w:eastAsia="zh-CN"/>
        </w:rPr>
        <w:t>大于等于</w:t>
      </w:r>
      <w:r>
        <w:rPr>
          <w:rFonts w:hint="eastAsia" w:ascii="仿宋_GB2312" w:hAnsi="仿宋_GB2312" w:eastAsia="仿宋_GB2312" w:cs="仿宋_GB2312"/>
          <w:b w:val="0"/>
          <w:bCs w:val="0"/>
          <w:color w:val="auto"/>
          <w:sz w:val="32"/>
          <w:szCs w:val="32"/>
          <w:highlight w:val="none"/>
          <w:lang w:eastAsia="zh-CN"/>
        </w:rPr>
        <w:t>60%，</w:t>
      </w:r>
      <w:r>
        <w:rPr>
          <w:rFonts w:hint="eastAsia" w:ascii="仿宋_GB2312" w:hAnsi="仿宋_GB2312" w:eastAsia="仿宋_GB2312" w:cs="仿宋_GB2312"/>
          <w:color w:val="auto"/>
          <w:sz w:val="32"/>
          <w:szCs w:val="32"/>
          <w:highlight w:val="none"/>
          <w:lang w:eastAsia="zh-CN"/>
        </w:rPr>
        <w:t>实际完成值为</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eastAsia="zh-CN"/>
        </w:rPr>
        <w:t>%，完成率100%，偏差率0%。</w:t>
      </w:r>
    </w:p>
    <w:p>
      <w:pPr>
        <w:pStyle w:val="38"/>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h.</w:t>
      </w:r>
      <w:r>
        <w:rPr>
          <w:rFonts w:hint="eastAsia" w:ascii="仿宋_GB2312" w:hAnsi="仿宋_GB2312" w:eastAsia="仿宋_GB2312" w:cs="仿宋_GB2312"/>
          <w:b w:val="0"/>
          <w:bCs w:val="0"/>
          <w:color w:val="auto"/>
          <w:sz w:val="32"/>
          <w:szCs w:val="32"/>
          <w:highlight w:val="none"/>
          <w:lang w:eastAsia="zh-CN"/>
        </w:rPr>
        <w:t>财政部随文下达的提升公立医疗机构平台采购药品耗材比例</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指标值为药品网采率≥85%；高值医用耗材网采率≥75%，药品网采率、高值医用耗材网采率按照我区现有计算公式得出，实际完成值为药品网采率85%；高值医用耗材网采率75%，完</w:t>
      </w:r>
      <w:r>
        <w:rPr>
          <w:rFonts w:hint="eastAsia" w:ascii="仿宋_GB2312" w:hAnsi="仿宋_GB2312" w:eastAsia="仿宋_GB2312" w:cs="仿宋_GB2312"/>
          <w:color w:val="auto"/>
          <w:sz w:val="32"/>
          <w:szCs w:val="32"/>
          <w:highlight w:val="none"/>
          <w:lang w:eastAsia="zh-CN"/>
        </w:rPr>
        <w:t>成率为100%，偏差率为0%。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i.</w:t>
      </w:r>
      <w:r>
        <w:rPr>
          <w:rFonts w:hint="eastAsia" w:ascii="仿宋_GB2312" w:hAnsi="仿宋_GB2312" w:eastAsia="仿宋_GB2312" w:cs="仿宋_GB2312"/>
          <w:b w:val="0"/>
          <w:bCs w:val="0"/>
          <w:color w:val="auto"/>
          <w:sz w:val="32"/>
          <w:szCs w:val="32"/>
          <w:highlight w:val="none"/>
          <w:lang w:eastAsia="zh-CN"/>
        </w:rPr>
        <w:t>财政部随文下达的医保信息系统正常运行率</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w:t>
      </w:r>
      <w:r>
        <w:rPr>
          <w:rFonts w:hint="eastAsia" w:ascii="仿宋_GB2312" w:hAnsi="仿宋_GB2312" w:eastAsia="仿宋_GB2312" w:cs="仿宋_GB2312"/>
          <w:color w:val="auto"/>
          <w:sz w:val="32"/>
          <w:szCs w:val="32"/>
          <w:highlight w:val="none"/>
          <w:lang w:eastAsia="zh-CN"/>
        </w:rPr>
        <w:t>值为</w:t>
      </w:r>
      <w:r>
        <w:rPr>
          <w:rFonts w:hint="eastAsia" w:ascii="仿宋_GB2312" w:hAnsi="仿宋_GB2312" w:eastAsia="仿宋_GB2312" w:cs="仿宋_GB2312"/>
          <w:color w:val="auto"/>
          <w:sz w:val="32"/>
          <w:szCs w:val="32"/>
          <w:highlight w:val="none"/>
          <w:lang w:val="en-US" w:eastAsia="zh-CN"/>
        </w:rPr>
        <w:t>大于等于</w:t>
      </w:r>
      <w:r>
        <w:rPr>
          <w:rFonts w:hint="eastAsia" w:ascii="仿宋_GB2312" w:hAnsi="仿宋_GB2312" w:eastAsia="仿宋_GB2312" w:cs="仿宋_GB2312"/>
          <w:color w:val="auto"/>
          <w:sz w:val="32"/>
          <w:szCs w:val="32"/>
          <w:highlight w:val="none"/>
          <w:lang w:eastAsia="zh-CN"/>
        </w:rPr>
        <w:t>90%，实际完成值为100%，完成率</w:t>
      </w:r>
      <w:r>
        <w:rPr>
          <w:rFonts w:hint="eastAsia" w:ascii="仿宋_GB2312" w:hAnsi="仿宋_GB2312" w:eastAsia="仿宋_GB2312" w:cs="仿宋_GB2312"/>
          <w:color w:val="auto"/>
          <w:sz w:val="32"/>
          <w:szCs w:val="32"/>
          <w:highlight w:val="none"/>
          <w:lang w:val="en-US" w:eastAsia="zh-CN"/>
        </w:rPr>
        <w:t>111.11</w:t>
      </w:r>
      <w:r>
        <w:rPr>
          <w:rFonts w:hint="eastAsia" w:ascii="仿宋_GB2312" w:hAnsi="仿宋_GB2312" w:eastAsia="仿宋_GB2312" w:cs="仿宋_GB2312"/>
          <w:color w:val="auto"/>
          <w:sz w:val="32"/>
          <w:szCs w:val="32"/>
          <w:highlight w:val="none"/>
          <w:lang w:eastAsia="zh-CN"/>
        </w:rPr>
        <w:t>%，偏差率</w:t>
      </w:r>
      <w:r>
        <w:rPr>
          <w:rFonts w:hint="eastAsia" w:ascii="仿宋_GB2312" w:hAnsi="仿宋_GB2312" w:eastAsia="仿宋_GB2312" w:cs="仿宋_GB2312"/>
          <w:color w:val="auto"/>
          <w:sz w:val="32"/>
          <w:szCs w:val="32"/>
          <w:highlight w:val="none"/>
          <w:lang w:val="en-US" w:eastAsia="zh-CN"/>
        </w:rPr>
        <w:t>11.11</w:t>
      </w:r>
      <w:r>
        <w:rPr>
          <w:rFonts w:hint="eastAsia" w:ascii="仿宋_GB2312" w:hAnsi="仿宋_GB2312" w:eastAsia="仿宋_GB2312" w:cs="仿宋_GB2312"/>
          <w:color w:val="auto"/>
          <w:sz w:val="32"/>
          <w:szCs w:val="32"/>
          <w:highlight w:val="none"/>
          <w:lang w:eastAsia="zh-CN"/>
        </w:rPr>
        <w:t>%。</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自治区医疗保障局完成了《自治区医疗保障局网络安全工作责任制实施办法》、《医保信息平台运维管理制度》等七项制度，信息系统主要包括20个应用子系统（本地自建4个）、核心业务区业务中台21个、公共服务区业务中台12个、数据中台1个，并配套制定安全运营保障应急预案、安全监测制度、各类指南等，各系统正常运行率100%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j.</w:t>
      </w:r>
      <w:r>
        <w:rPr>
          <w:rFonts w:hint="eastAsia" w:ascii="仿宋_GB2312" w:hAnsi="仿宋_GB2312" w:eastAsia="仿宋_GB2312" w:cs="仿宋_GB2312"/>
          <w:b w:val="0"/>
          <w:bCs w:val="0"/>
          <w:color w:val="auto"/>
          <w:sz w:val="32"/>
          <w:szCs w:val="32"/>
          <w:highlight w:val="none"/>
          <w:lang w:eastAsia="zh-CN"/>
        </w:rPr>
        <w:t>财政部随文下达的国谈药等相关药品落地及统计监测情况</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w:t>
      </w:r>
      <w:r>
        <w:rPr>
          <w:rFonts w:hint="eastAsia" w:ascii="仿宋_GB2312" w:hAnsi="仿宋_GB2312" w:eastAsia="仿宋_GB2312" w:cs="仿宋_GB2312"/>
          <w:color w:val="auto"/>
          <w:sz w:val="32"/>
          <w:szCs w:val="32"/>
          <w:highlight w:val="none"/>
          <w:lang w:eastAsia="zh-CN"/>
        </w:rPr>
        <w:t>标值为国谈药品落地数据报送及时率100%，实际完成值为100%，完成率100%，偏差率0%。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局印发《关于动态调整“双通道”管理药品名单的通知》（新医保发〔2023〕70号），动态调整“双通道”药品，将229种药品纳入“双通道”管理。2024年1-12月，全区谈判药使用总人次共计381.6万，使用总费用共计23.58亿元，医保基金支出共计18.85亿元。我局按照国家医保局服务司工作要求，每月结束后次月开始调取谈判药品使用数量和结算金额（注：精确到每一个谈判药品）的情况并按时上报相关信息。2024年新疆医保局国谈药落地数据及时报送率100%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k.</w:t>
      </w:r>
      <w:r>
        <w:rPr>
          <w:rFonts w:hint="eastAsia" w:ascii="仿宋_GB2312" w:hAnsi="仿宋_GB2312" w:eastAsia="仿宋_GB2312" w:cs="仿宋_GB2312"/>
          <w:b w:val="0"/>
          <w:bCs w:val="0"/>
          <w:color w:val="auto"/>
          <w:sz w:val="32"/>
          <w:szCs w:val="32"/>
          <w:highlight w:val="none"/>
          <w:lang w:eastAsia="zh-CN"/>
        </w:rPr>
        <w:t>财政部随文下达的医疗服务价格动态调整与深化医疗服务价格改革试点执行情况</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指标值为按</w:t>
      </w:r>
      <w:r>
        <w:rPr>
          <w:rFonts w:hint="eastAsia" w:ascii="仿宋_GB2312" w:hAnsi="仿宋_GB2312" w:eastAsia="仿宋_GB2312" w:cs="仿宋_GB2312"/>
          <w:color w:val="auto"/>
          <w:sz w:val="32"/>
          <w:szCs w:val="32"/>
          <w:highlight w:val="none"/>
          <w:lang w:eastAsia="zh-CN"/>
        </w:rPr>
        <w:t>要求开展调价评估并进行调价，确保医疗服务价格管理与深化医疗服务价格改革方向一致，实际完成值为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按照《国家医疗保障局办公室关于建立医疗服务价格重要事项报告制度的通知》（医保办函〔2021〕18号）要求，新疆维吾尔自治区医疗保障局和新疆生产建设兵团医疗保障局于6月前共同开展了2024年度医疗服务价格动态调整评估工作。根据《关于印发《新疆维吾尔自治区、新疆生产建设兵团医疗服务价格动态调整机制（试行）》的通知》（新医保发〔2022〕15号），按照“符合任一启动条件同时未触发任一约束条件的实施价格动态调整；启动条件均未符合或触发任一约束条件的，暂停价格动态调整”的要求，2024年新疆维吾尔自治区和新疆生产建设兵团不符合调价启动条件，本年度医疗服务价格不实施动态调整。</w:t>
      </w:r>
    </w:p>
    <w:p>
      <w:pPr>
        <w:pStyle w:val="38"/>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l.</w:t>
      </w:r>
      <w:r>
        <w:rPr>
          <w:rFonts w:hint="eastAsia" w:ascii="仿宋_GB2312" w:hAnsi="仿宋_GB2312" w:eastAsia="仿宋_GB2312" w:cs="仿宋_GB2312"/>
          <w:color w:val="auto"/>
          <w:sz w:val="32"/>
          <w:szCs w:val="32"/>
          <w:highlight w:val="none"/>
          <w:lang w:eastAsia="zh-CN"/>
        </w:rPr>
        <w:t>财政部随文下达的集中带量采购落实情况</w:t>
      </w:r>
      <w:r>
        <w:rPr>
          <w:rFonts w:hint="eastAsia" w:ascii="仿宋_GB2312" w:hAnsi="仿宋_GB2312" w:eastAsia="仿宋_GB2312" w:cs="仿宋_GB2312"/>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lang w:eastAsia="zh-CN"/>
        </w:rPr>
        <w:t>指标值为完成国家组织集中采购中选产品约定采购量，</w:t>
      </w:r>
      <w:r>
        <w:rPr>
          <w:rFonts w:hint="eastAsia" w:ascii="仿宋_GB2312" w:hAnsi="仿宋_GB2312" w:eastAsia="仿宋_GB2312" w:cs="仿宋_GB2312"/>
          <w:color w:val="auto"/>
          <w:sz w:val="32"/>
          <w:szCs w:val="32"/>
          <w:highlight w:val="none"/>
          <w:lang w:val="en-US" w:eastAsia="zh-CN"/>
        </w:rPr>
        <w:t>实际完成值为100%，</w:t>
      </w:r>
      <w:r>
        <w:rPr>
          <w:rFonts w:hint="eastAsia" w:ascii="仿宋_GB2312" w:hAnsi="仿宋_GB2312" w:eastAsia="仿宋_GB2312" w:cs="仿宋_GB2312"/>
          <w:color w:val="auto"/>
          <w:sz w:val="32"/>
          <w:szCs w:val="32"/>
          <w:highlight w:val="none"/>
          <w:lang w:eastAsia="zh-CN"/>
        </w:rPr>
        <w:t>完成率为100%，偏差率为0%。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m.</w:t>
      </w:r>
      <w:r>
        <w:rPr>
          <w:rFonts w:hint="eastAsia" w:ascii="仿宋_GB2312" w:hAnsi="仿宋_GB2312" w:eastAsia="仿宋_GB2312" w:cs="仿宋_GB2312"/>
          <w:b w:val="0"/>
          <w:bCs w:val="0"/>
          <w:color w:val="auto"/>
          <w:sz w:val="32"/>
          <w:szCs w:val="32"/>
          <w:highlight w:val="none"/>
          <w:lang w:eastAsia="zh-CN"/>
        </w:rPr>
        <w:t>财政部随文下达的医药价格和招采信用评价制度建立和实施情况</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w:t>
      </w:r>
      <w:r>
        <w:rPr>
          <w:rFonts w:hint="eastAsia" w:ascii="仿宋_GB2312" w:hAnsi="仿宋_GB2312" w:eastAsia="仿宋_GB2312" w:cs="仿宋_GB2312"/>
          <w:color w:val="auto"/>
          <w:sz w:val="32"/>
          <w:szCs w:val="32"/>
          <w:highlight w:val="none"/>
          <w:lang w:eastAsia="zh-CN"/>
        </w:rPr>
        <w:t>标值为限定时限内反馈案源处理情况，实际完成值为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，完成率100%，偏差率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由新疆维吾尔自治区医疗保障局及新疆维吾尔自治区政务服务和公共资源交易中心共同制定《关于建立自治区医药价格和招采信用评价制度的通知》（新医保〔2020〕136号），政策已落实并指导自治区常态化实施医药价格和招采信用评价制度。限定时限内反馈案源处理情况，根据国家局每季度推送的案源信息，开展具体信用评级工作并反馈国家局工作情况，其中第二季评级和第一季度评级结果相同，已完成了第一、三、四季度的信用评级工作。</w:t>
      </w:r>
    </w:p>
    <w:p>
      <w:pPr>
        <w:pStyle w:val="38"/>
        <w:spacing w:line="560" w:lineRule="exact"/>
        <w:ind w:firstLine="640" w:firstLineChars="200"/>
        <w:jc w:val="both"/>
        <w:rPr>
          <w:rFonts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n.财政部随文下达的</w:t>
      </w:r>
      <w:r>
        <w:rPr>
          <w:rFonts w:hint="eastAsia" w:ascii="仿宋_GB2312" w:hAnsi="仿宋_GB2312" w:eastAsia="仿宋_GB2312" w:cs="仿宋_GB2312"/>
          <w:b w:val="0"/>
          <w:bCs w:val="0"/>
          <w:color w:val="auto"/>
          <w:sz w:val="32"/>
          <w:szCs w:val="32"/>
          <w:highlight w:val="none"/>
          <w:lang w:eastAsia="zh-CN"/>
        </w:rPr>
        <w:t>招采子系统落地应用情况</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指标值为实现交易、采购等核心功能应用，目前</w:t>
      </w:r>
      <w:r>
        <w:rPr>
          <w:rFonts w:hint="eastAsia" w:ascii="仿宋_GB2312" w:hAnsi="仿宋_GB2312" w:eastAsia="仿宋_GB2312" w:cs="仿宋_GB2312"/>
          <w:b w:val="0"/>
          <w:bCs w:val="0"/>
          <w:color w:val="auto"/>
          <w:sz w:val="32"/>
          <w:szCs w:val="32"/>
          <w:highlight w:val="none"/>
          <w:lang w:val="en-US" w:eastAsia="zh-CN"/>
        </w:rPr>
        <w:t>我区</w:t>
      </w:r>
      <w:r>
        <w:rPr>
          <w:rFonts w:hint="eastAsia" w:ascii="仿宋_GB2312" w:hAnsi="仿宋_GB2312" w:eastAsia="仿宋_GB2312" w:cs="仿宋_GB2312"/>
          <w:b w:val="0"/>
          <w:bCs w:val="0"/>
          <w:color w:val="auto"/>
          <w:sz w:val="32"/>
          <w:szCs w:val="32"/>
          <w:highlight w:val="none"/>
          <w:lang w:eastAsia="zh-CN"/>
        </w:rPr>
        <w:t>招采子系统已全面落地应用，实现交易采购等核心功能应用，实际完成值为</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lang w:eastAsia="zh-CN"/>
        </w:rPr>
        <w:t>，完成率100%，偏差率0%。</w:t>
      </w:r>
    </w:p>
    <w:p>
      <w:pPr>
        <w:pStyle w:val="38"/>
        <w:spacing w:line="560" w:lineRule="exact"/>
        <w:ind w:firstLine="640" w:firstLineChars="200"/>
        <w:jc w:val="both"/>
        <w:rPr>
          <w:rFonts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o.财政部随文下达的</w:t>
      </w:r>
      <w:r>
        <w:rPr>
          <w:rFonts w:hint="eastAsia" w:ascii="仿宋_GB2312" w:hAnsi="仿宋_GB2312" w:eastAsia="仿宋_GB2312" w:cs="仿宋_GB2312"/>
          <w:b w:val="0"/>
          <w:bCs w:val="0"/>
          <w:color w:val="auto"/>
          <w:sz w:val="32"/>
          <w:szCs w:val="32"/>
          <w:highlight w:val="none"/>
          <w:lang w:eastAsia="zh-CN"/>
        </w:rPr>
        <w:t>医保目录管理规范性情况</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指标值为年内未出现违反目录管理政策情况，实际完成值为</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lang w:eastAsia="zh-CN"/>
        </w:rPr>
        <w:t>，完成率100%，偏差率0%。</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1月，新疆医保局联合新疆生产建设兵团医保局印发《关于执行《国家基本医疗保险、工伤保险和生育保险药品目录（2023年）》的通知》，自2024年1月1日起，全区统一执行“2023版药品目录”，共3088种，其中西药1698种、中成药1390种，协议期内谈判药品397种，医保目录管理规范。我区年内未出现违反目录管理政策情况。</w:t>
      </w:r>
    </w:p>
    <w:p>
      <w:pPr>
        <w:pStyle w:val="7"/>
        <w:spacing w:line="560" w:lineRule="exact"/>
        <w:ind w:firstLine="659" w:firstLineChars="200"/>
        <w:jc w:val="both"/>
        <w:rPr>
          <w:rFonts w:ascii="仿宋_GB2312" w:hAnsi="仿宋_GB2312" w:eastAsia="仿宋_GB2312" w:cs="仿宋_GB2312"/>
          <w:b/>
          <w:bCs/>
          <w:color w:val="auto"/>
          <w:spacing w:val="4"/>
          <w:sz w:val="32"/>
          <w:szCs w:val="32"/>
          <w:highlight w:val="none"/>
          <w:lang w:eastAsia="zh-CN"/>
        </w:rPr>
      </w:pPr>
      <w:r>
        <w:rPr>
          <w:rFonts w:hint="eastAsia" w:ascii="仿宋_GB2312" w:hAnsi="仿宋_GB2312" w:eastAsia="仿宋_GB2312" w:cs="仿宋_GB2312"/>
          <w:b/>
          <w:bCs/>
          <w:color w:val="auto"/>
          <w:spacing w:val="4"/>
          <w:sz w:val="32"/>
          <w:szCs w:val="32"/>
          <w:highlight w:val="none"/>
          <w:lang w:eastAsia="zh-CN"/>
        </w:rPr>
        <w:t>（</w:t>
      </w:r>
      <w:r>
        <w:rPr>
          <w:rFonts w:hint="eastAsia" w:ascii="仿宋_GB2312" w:hAnsi="仿宋_GB2312" w:eastAsia="仿宋_GB2312" w:cs="仿宋_GB2312"/>
          <w:b/>
          <w:bCs/>
          <w:color w:val="auto"/>
          <w:spacing w:val="4"/>
          <w:sz w:val="32"/>
          <w:szCs w:val="32"/>
          <w:highlight w:val="none"/>
          <w:lang w:val="en-US" w:eastAsia="zh-CN"/>
        </w:rPr>
        <w:t>3</w:t>
      </w:r>
      <w:r>
        <w:rPr>
          <w:rFonts w:hint="eastAsia" w:ascii="仿宋_GB2312" w:hAnsi="仿宋_GB2312" w:eastAsia="仿宋_GB2312" w:cs="仿宋_GB2312"/>
          <w:b/>
          <w:bCs/>
          <w:color w:val="auto"/>
          <w:spacing w:val="4"/>
          <w:sz w:val="32"/>
          <w:szCs w:val="32"/>
          <w:highlight w:val="none"/>
          <w:lang w:eastAsia="zh-CN"/>
        </w:rPr>
        <w:t>）时效指标</w:t>
      </w:r>
    </w:p>
    <w:p>
      <w:pPr>
        <w:pStyle w:val="38"/>
        <w:spacing w:line="560" w:lineRule="exact"/>
        <w:ind w:firstLine="640" w:firstLineChars="200"/>
        <w:jc w:val="both"/>
        <w:rPr>
          <w:rFonts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a.</w:t>
      </w:r>
      <w:r>
        <w:rPr>
          <w:rFonts w:hint="eastAsia" w:ascii="仿宋_GB2312" w:hAnsi="仿宋_GB2312" w:eastAsia="仿宋_GB2312" w:cs="仿宋_GB2312"/>
          <w:b w:val="0"/>
          <w:bCs w:val="0"/>
          <w:color w:val="auto"/>
          <w:sz w:val="32"/>
          <w:szCs w:val="32"/>
          <w:highlight w:val="none"/>
          <w:lang w:eastAsia="zh-CN"/>
        </w:rPr>
        <w:t>财政部随文下达的医保信息系统重大安全事件响应时间</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 xml:space="preserve">指标值为小于等于60分钟，实际完成值为60分钟，完成率100%，偏差率0%。  </w:t>
      </w:r>
    </w:p>
    <w:p>
      <w:pPr>
        <w:pStyle w:val="38"/>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自治区医疗保障信息平台分A、B两个数据中心，业务验证正常，数据一致；经过容灾演练测试，证明自治区医疗保障局在A或B数据中心故障场景下，具备业务切换，测试预期相符，RTO&lt;30分钟，满足医保行业5级容灾要求。对照《地方医疗保障信息平台验收指南》自查及检查，全部符合要求。此外。自治区医疗保障局定期开展网络安全攻防演练和渗透测试，开展常态化监测管理工作。每周对全平台漏洞扫描，每月对安全巡检工作进行总结，形成安全月报，并进行信息安全等级保护、密码测评整改工作，截至目前，所有网络安全攻击均有效及时处置，未出现重大安全隐患。我区医保信息系统重大安全事件响应时间未超过60分钟。</w:t>
      </w:r>
    </w:p>
    <w:p>
      <w:pPr>
        <w:pStyle w:val="38"/>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b.</w:t>
      </w:r>
      <w:r>
        <w:rPr>
          <w:rFonts w:hint="eastAsia" w:ascii="仿宋_GB2312" w:hAnsi="仿宋_GB2312" w:eastAsia="仿宋_GB2312" w:cs="仿宋_GB2312"/>
          <w:b w:val="0"/>
          <w:bCs w:val="0"/>
          <w:color w:val="auto"/>
          <w:sz w:val="32"/>
          <w:szCs w:val="32"/>
          <w:highlight w:val="none"/>
          <w:lang w:eastAsia="zh-CN"/>
        </w:rPr>
        <w:t>财政部随文下达的医保信息系统运行维护响应时间</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lang w:eastAsia="zh-CN"/>
        </w:rPr>
        <w:t>指标值为小于等于30分钟，实际完成值为30分钟，完成率为100%，偏差率0%。</w:t>
      </w:r>
    </w:p>
    <w:p>
      <w:pPr>
        <w:pStyle w:val="38"/>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通过统一需求和问题反馈平台，统一资产和配置运维管理平台，统一业务连续性监测和运维智能客服平台，医保信息系统出现故障可在30分钟内做到正常运行。</w:t>
      </w:r>
    </w:p>
    <w:p>
      <w:pPr>
        <w:pStyle w:val="38"/>
        <w:spacing w:line="560" w:lineRule="exact"/>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成本指标</w:t>
      </w:r>
    </w:p>
    <w:p>
      <w:pPr>
        <w:pStyle w:val="38"/>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财政部随文下达的绩效目标未设定</w:t>
      </w:r>
      <w:r>
        <w:rPr>
          <w:rFonts w:hint="eastAsia" w:ascii="仿宋_GB2312" w:hAnsi="仿宋_GB2312" w:eastAsia="仿宋_GB2312" w:cs="仿宋_GB2312"/>
          <w:color w:val="auto"/>
          <w:sz w:val="32"/>
          <w:szCs w:val="32"/>
          <w:highlight w:val="none"/>
          <w:lang w:val="en-US" w:eastAsia="zh-CN"/>
        </w:rPr>
        <w:t>成本</w:t>
      </w:r>
      <w:r>
        <w:rPr>
          <w:rFonts w:hint="eastAsia" w:ascii="仿宋_GB2312" w:hAnsi="仿宋_GB2312" w:eastAsia="仿宋_GB2312" w:cs="仿宋_GB2312"/>
          <w:color w:val="auto"/>
          <w:sz w:val="32"/>
          <w:szCs w:val="32"/>
          <w:highlight w:val="none"/>
          <w:lang w:eastAsia="zh-CN"/>
        </w:rPr>
        <w:t>指标。</w:t>
      </w:r>
    </w:p>
    <w:p>
      <w:pPr>
        <w:pStyle w:val="38"/>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2.效益指标</w:t>
      </w:r>
    </w:p>
    <w:p>
      <w:pPr>
        <w:pStyle w:val="3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（1）经济效益指标</w:t>
      </w:r>
    </w:p>
    <w:p>
      <w:pPr>
        <w:pStyle w:val="3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财政部随文下达绩效目标中未</w:t>
      </w:r>
      <w:r>
        <w:rPr>
          <w:rFonts w:hint="eastAsia" w:ascii="仿宋_GB2312" w:hAnsi="仿宋_GB2312" w:eastAsia="仿宋_GB2312" w:cs="仿宋_GB2312"/>
          <w:color w:val="auto"/>
          <w:sz w:val="32"/>
          <w:szCs w:val="32"/>
          <w:highlight w:val="none"/>
          <w:lang w:val="en-US" w:eastAsia="zh-CN"/>
        </w:rPr>
        <w:t>设定</w:t>
      </w:r>
      <w:r>
        <w:rPr>
          <w:rFonts w:hint="default" w:ascii="仿宋_GB2312" w:hAnsi="仿宋_GB2312" w:eastAsia="仿宋_GB2312" w:cs="仿宋_GB2312"/>
          <w:color w:val="auto"/>
          <w:sz w:val="32"/>
          <w:szCs w:val="32"/>
          <w:highlight w:val="none"/>
          <w:lang w:val="en-US" w:eastAsia="zh-CN"/>
        </w:rPr>
        <w:t>经济效益指标。</w:t>
      </w:r>
    </w:p>
    <w:p>
      <w:pPr>
        <w:pStyle w:val="3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（2）社会效益指标</w:t>
      </w:r>
    </w:p>
    <w:p>
      <w:pPr>
        <w:pStyle w:val="3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财政部随文下达绩效目标中未</w:t>
      </w:r>
      <w:r>
        <w:rPr>
          <w:rFonts w:hint="eastAsia" w:ascii="仿宋_GB2312" w:hAnsi="仿宋_GB2312" w:eastAsia="仿宋_GB2312" w:cs="仿宋_GB2312"/>
          <w:color w:val="auto"/>
          <w:sz w:val="32"/>
          <w:szCs w:val="32"/>
          <w:highlight w:val="none"/>
          <w:lang w:val="en-US" w:eastAsia="zh-CN"/>
        </w:rPr>
        <w:t>设定</w:t>
      </w:r>
      <w:r>
        <w:rPr>
          <w:rFonts w:hint="default" w:ascii="仿宋_GB2312" w:hAnsi="仿宋_GB2312" w:eastAsia="仿宋_GB2312" w:cs="仿宋_GB2312"/>
          <w:color w:val="auto"/>
          <w:sz w:val="32"/>
          <w:szCs w:val="32"/>
          <w:highlight w:val="none"/>
          <w:lang w:val="en-US" w:eastAsia="zh-CN"/>
        </w:rPr>
        <w:t>社会效益指标。</w:t>
      </w:r>
    </w:p>
    <w:p>
      <w:pPr>
        <w:pStyle w:val="3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（3）生态效益指标</w:t>
      </w:r>
    </w:p>
    <w:p>
      <w:pPr>
        <w:pStyle w:val="3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财政部随文下达绩效目标中未</w:t>
      </w:r>
      <w:r>
        <w:rPr>
          <w:rFonts w:hint="eastAsia" w:ascii="仿宋_GB2312" w:hAnsi="仿宋_GB2312" w:eastAsia="仿宋_GB2312" w:cs="仿宋_GB2312"/>
          <w:color w:val="auto"/>
          <w:sz w:val="32"/>
          <w:szCs w:val="32"/>
          <w:highlight w:val="none"/>
          <w:lang w:val="en-US" w:eastAsia="zh-CN"/>
        </w:rPr>
        <w:t>设定</w:t>
      </w:r>
      <w:r>
        <w:rPr>
          <w:rFonts w:hint="default" w:ascii="仿宋_GB2312" w:hAnsi="仿宋_GB2312" w:eastAsia="仿宋_GB2312" w:cs="仿宋_GB2312"/>
          <w:color w:val="auto"/>
          <w:sz w:val="32"/>
          <w:szCs w:val="32"/>
          <w:highlight w:val="none"/>
          <w:lang w:val="en-US" w:eastAsia="zh-CN"/>
        </w:rPr>
        <w:t>生态效益指标。</w:t>
      </w:r>
    </w:p>
    <w:p>
      <w:pPr>
        <w:pStyle w:val="3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（4）可持续影响指标</w:t>
      </w:r>
    </w:p>
    <w:p>
      <w:pPr>
        <w:pStyle w:val="38"/>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财政部随文下达绩效目标中未</w:t>
      </w:r>
      <w:r>
        <w:rPr>
          <w:rFonts w:hint="eastAsia" w:ascii="仿宋_GB2312" w:hAnsi="仿宋_GB2312" w:eastAsia="仿宋_GB2312" w:cs="仿宋_GB2312"/>
          <w:color w:val="auto"/>
          <w:sz w:val="32"/>
          <w:szCs w:val="32"/>
          <w:highlight w:val="none"/>
          <w:lang w:val="en-US" w:eastAsia="zh-CN"/>
        </w:rPr>
        <w:t>设定</w:t>
      </w:r>
      <w:r>
        <w:rPr>
          <w:rFonts w:hint="default" w:ascii="仿宋_GB2312" w:hAnsi="仿宋_GB2312" w:eastAsia="仿宋_GB2312" w:cs="仿宋_GB2312"/>
          <w:color w:val="auto"/>
          <w:sz w:val="32"/>
          <w:szCs w:val="32"/>
          <w:highlight w:val="none"/>
          <w:lang w:val="en-US" w:eastAsia="zh-CN"/>
        </w:rPr>
        <w:t>可持续影响指标。</w:t>
      </w:r>
    </w:p>
    <w:p>
      <w:pPr>
        <w:pStyle w:val="7"/>
        <w:keepNext w:val="0"/>
        <w:keepLines w:val="0"/>
        <w:pageBreakBefore w:val="0"/>
        <w:widowControl/>
        <w:kinsoku w:val="0"/>
        <w:wordWrap/>
        <w:overflowPunct/>
        <w:topLinePunct w:val="0"/>
        <w:autoSpaceDE w:val="0"/>
        <w:autoSpaceDN w:val="0"/>
        <w:bidi w:val="0"/>
        <w:adjustRightInd w:val="0"/>
        <w:snapToGrid w:val="0"/>
        <w:spacing w:line="560" w:lineRule="exact"/>
        <w:ind w:firstLine="659" w:firstLineChars="200"/>
        <w:jc w:val="both"/>
        <w:textAlignment w:val="baseline"/>
        <w:rPr>
          <w:rFonts w:hint="default" w:ascii="仿宋_GB2312" w:hAnsi="仿宋_GB2312" w:eastAsia="仿宋_GB2312" w:cs="仿宋_GB2312"/>
          <w:b/>
          <w:bCs/>
          <w:color w:val="auto"/>
          <w:spacing w:val="4"/>
          <w:sz w:val="32"/>
          <w:szCs w:val="32"/>
          <w:highlight w:val="none"/>
          <w:lang w:val="en-US" w:eastAsia="zh-CN"/>
        </w:rPr>
      </w:pPr>
      <w:r>
        <w:rPr>
          <w:rFonts w:hint="eastAsia" w:ascii="仿宋_GB2312" w:hAnsi="仿宋_GB2312" w:eastAsia="仿宋_GB2312" w:cs="仿宋_GB2312"/>
          <w:b/>
          <w:bCs/>
          <w:color w:val="auto"/>
          <w:spacing w:val="4"/>
          <w:sz w:val="32"/>
          <w:szCs w:val="32"/>
          <w:highlight w:val="none"/>
          <w:lang w:val="en-US" w:eastAsia="zh-CN"/>
        </w:rPr>
        <w:t>3.项目满意度指标</w:t>
      </w:r>
    </w:p>
    <w:p>
      <w:pPr>
        <w:pStyle w:val="7"/>
        <w:spacing w:line="560" w:lineRule="exact"/>
        <w:ind w:firstLine="656" w:firstLineChars="200"/>
        <w:jc w:val="both"/>
        <w:rPr>
          <w:rFonts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服务对象满意度指标</w:t>
      </w:r>
    </w:p>
    <w:p>
      <w:pPr>
        <w:spacing w:line="560" w:lineRule="exact"/>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财政部随文下达的参保人员对医保服务的满意度</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指标值为</w:t>
      </w:r>
      <w:r>
        <w:rPr>
          <w:rFonts w:hint="eastAsia" w:ascii="仿宋_GB2312" w:hAnsi="仿宋_GB2312" w:eastAsia="仿宋_GB2312" w:cs="仿宋_GB2312"/>
          <w:b w:val="0"/>
          <w:bCs w:val="0"/>
          <w:color w:val="auto"/>
          <w:sz w:val="32"/>
          <w:szCs w:val="32"/>
          <w:highlight w:val="none"/>
          <w:lang w:val="en-US" w:eastAsia="zh-CN"/>
        </w:rPr>
        <w:t>大于等于</w:t>
      </w:r>
      <w:r>
        <w:rPr>
          <w:rFonts w:hint="eastAsia" w:ascii="仿宋_GB2312" w:hAnsi="仿宋_GB2312" w:eastAsia="仿宋_GB2312" w:cs="仿宋_GB2312"/>
          <w:b w:val="0"/>
          <w:bCs w:val="0"/>
          <w:color w:val="auto"/>
          <w:sz w:val="32"/>
          <w:szCs w:val="32"/>
          <w:highlight w:val="none"/>
          <w:lang w:eastAsia="zh-CN"/>
        </w:rPr>
        <w:t>8</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lang w:val="en-US" w:eastAsia="zh-CN"/>
        </w:rPr>
        <w:t>实际完成值99.99%，</w:t>
      </w:r>
      <w:r>
        <w:rPr>
          <w:rFonts w:hint="eastAsia" w:ascii="仿宋_GB2312" w:hAnsi="仿宋_GB2312" w:eastAsia="仿宋_GB2312" w:cs="仿宋_GB2312"/>
          <w:color w:val="auto"/>
          <w:sz w:val="32"/>
          <w:szCs w:val="32"/>
          <w:highlight w:val="none"/>
          <w:lang w:eastAsia="zh-CN"/>
        </w:rPr>
        <w:t>完成率</w:t>
      </w:r>
      <w:r>
        <w:rPr>
          <w:rFonts w:hint="eastAsia" w:ascii="仿宋_GB2312" w:hAnsi="仿宋_GB2312" w:eastAsia="仿宋_GB2312" w:cs="仿宋_GB2312"/>
          <w:color w:val="auto"/>
          <w:sz w:val="32"/>
          <w:szCs w:val="32"/>
          <w:highlight w:val="none"/>
          <w:lang w:val="en-US" w:eastAsia="zh-CN"/>
        </w:rPr>
        <w:t>117.64</w:t>
      </w:r>
      <w:r>
        <w:rPr>
          <w:rFonts w:hint="eastAsia" w:ascii="仿宋_GB2312" w:hAnsi="仿宋_GB2312" w:eastAsia="仿宋_GB2312" w:cs="仿宋_GB2312"/>
          <w:color w:val="auto"/>
          <w:sz w:val="32"/>
          <w:szCs w:val="32"/>
          <w:highlight w:val="none"/>
          <w:lang w:eastAsia="zh-CN"/>
        </w:rPr>
        <w:t>%，偏差率</w:t>
      </w:r>
      <w:r>
        <w:rPr>
          <w:rFonts w:hint="eastAsia" w:ascii="仿宋_GB2312" w:hAnsi="仿宋_GB2312" w:eastAsia="仿宋_GB2312" w:cs="仿宋_GB2312"/>
          <w:color w:val="auto"/>
          <w:sz w:val="32"/>
          <w:szCs w:val="32"/>
          <w:highlight w:val="none"/>
          <w:lang w:val="en-US" w:eastAsia="zh-CN"/>
        </w:rPr>
        <w:t>17.64</w:t>
      </w:r>
      <w:r>
        <w:rPr>
          <w:rFonts w:hint="eastAsia" w:ascii="仿宋_GB2312" w:hAnsi="仿宋_GB2312" w:eastAsia="仿宋_GB2312" w:cs="仿宋_GB2312"/>
          <w:color w:val="auto"/>
          <w:sz w:val="32"/>
          <w:szCs w:val="32"/>
          <w:highlight w:val="none"/>
          <w:lang w:eastAsia="zh-CN"/>
        </w:rPr>
        <w:t>%。</w:t>
      </w:r>
    </w:p>
    <w:p>
      <w:pPr>
        <w:pStyle w:val="38"/>
        <w:jc w:val="both"/>
        <w:rPr>
          <w:color w:val="auto"/>
          <w:sz w:val="32"/>
          <w:szCs w:val="32"/>
          <w:highlight w:val="none"/>
          <w:lang w:eastAsia="zh-CN"/>
        </w:rPr>
      </w:pPr>
    </w:p>
    <w:p>
      <w:pPr>
        <w:autoSpaceDE/>
        <w:autoSpaceDN/>
        <w:adjustRightInd/>
        <w:spacing w:line="560" w:lineRule="exact"/>
        <w:ind w:firstLine="310" w:firstLineChars="100"/>
        <w:jc w:val="both"/>
        <w:outlineLvl w:val="0"/>
        <w:rPr>
          <w:rFonts w:ascii="黑体" w:hAnsi="黑体" w:eastAsia="黑体" w:cs="黑体"/>
          <w:color w:val="auto"/>
          <w:spacing w:val="-5"/>
          <w:sz w:val="32"/>
          <w:szCs w:val="32"/>
          <w:highlight w:val="none"/>
          <w:lang w:eastAsia="zh-CN"/>
        </w:rPr>
      </w:pPr>
      <w:r>
        <w:rPr>
          <w:rFonts w:hint="eastAsia" w:ascii="黑体" w:hAnsi="黑体" w:eastAsia="黑体" w:cs="黑体"/>
          <w:color w:val="auto"/>
          <w:spacing w:val="-5"/>
          <w:sz w:val="32"/>
          <w:szCs w:val="32"/>
          <w:highlight w:val="none"/>
          <w:lang w:eastAsia="zh-CN"/>
        </w:rPr>
        <w:t>三 、偏离绩效目标的原因和下一步改进措施</w:t>
      </w:r>
    </w:p>
    <w:p>
      <w:pPr>
        <w:numPr>
          <w:ilvl w:val="0"/>
          <w:numId w:val="0"/>
        </w:numPr>
        <w:spacing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1.偏离的绩效目标</w:t>
      </w:r>
    </w:p>
    <w:p>
      <w:pPr>
        <w:numPr>
          <w:ilvl w:val="0"/>
          <w:numId w:val="0"/>
        </w:numPr>
        <w:spacing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新疆维吾尔自治区医疗服务与保障能力提升补助资金（医疗保障服务能力建设部分）经过自评，按照财政部设定的绩效目标均已全部完成，未出现偏离情况。</w:t>
      </w:r>
    </w:p>
    <w:p>
      <w:pPr>
        <w:numPr>
          <w:ilvl w:val="0"/>
          <w:numId w:val="0"/>
        </w:numPr>
        <w:spacing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2.下一步改进措施</w:t>
      </w:r>
    </w:p>
    <w:p>
      <w:pPr>
        <w:numPr>
          <w:ilvl w:val="0"/>
          <w:numId w:val="0"/>
        </w:numPr>
        <w:spacing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a.项目实施过程中存在不足</w:t>
      </w:r>
    </w:p>
    <w:p>
      <w:pPr>
        <w:numPr>
          <w:ilvl w:val="0"/>
          <w:numId w:val="0"/>
        </w:numPr>
        <w:spacing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度新疆医保局能力提升资金执行率89.6%，存在主要问题是个别地（州、市）执行率低于90%，主要原因如下：（1）项目签订为跨年合同，2024年底未到支付节点，部分款项尚未支付；（2）低价中标，按照预算有结余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b.下一步改进措施</w:t>
      </w:r>
    </w:p>
    <w:p>
      <w:pPr>
        <w:numPr>
          <w:ilvl w:val="0"/>
          <w:numId w:val="0"/>
        </w:numPr>
        <w:spacing w:line="560" w:lineRule="exact"/>
        <w:ind w:firstLine="640" w:firstLineChars="200"/>
        <w:jc w:val="both"/>
        <w:rPr>
          <w:rFonts w:hint="eastAsia" w:ascii="方正仿宋_GB2312" w:hAnsi="方正仿宋_GB2312" w:eastAsia="方正仿宋_GB2312" w:cs="方正仿宋_GB2312"/>
          <w:b w:val="0"/>
          <w:bCs w:val="0"/>
          <w:snapToGrid w:val="0"/>
          <w:color w:val="auto"/>
          <w:sz w:val="32"/>
          <w:szCs w:val="32"/>
          <w:highlight w:val="none"/>
          <w:lang w:val="en-US" w:eastAsia="zh-CN" w:bidi="ar-SA"/>
        </w:rPr>
      </w:pPr>
      <w:r>
        <w:rPr>
          <w:rFonts w:hint="eastAsia" w:ascii="方正仿宋_GB2312" w:hAnsi="方正仿宋_GB2312" w:eastAsia="方正仿宋_GB2312" w:cs="方正仿宋_GB2312"/>
          <w:b w:val="0"/>
          <w:bCs w:val="0"/>
          <w:snapToGrid w:val="0"/>
          <w:color w:val="auto"/>
          <w:sz w:val="32"/>
          <w:szCs w:val="32"/>
          <w:highlight w:val="none"/>
          <w:lang w:val="en-US" w:eastAsia="zh-CN" w:bidi="ar-SA"/>
        </w:rPr>
        <w:t>一强化预算的精准性；二是定期统计执行率，从而及时掌握和推动各项工作的开展，将全区医疗保障工作推上新的台阶，更好服务广大人民群众。</w:t>
      </w:r>
    </w:p>
    <w:p>
      <w:pPr>
        <w:autoSpaceDE/>
        <w:autoSpaceDN/>
        <w:adjustRightInd/>
        <w:spacing w:line="560" w:lineRule="exact"/>
        <w:ind w:firstLine="620" w:firstLineChars="200"/>
        <w:jc w:val="both"/>
        <w:outlineLvl w:val="0"/>
        <w:rPr>
          <w:rFonts w:ascii="黑体" w:hAnsi="黑体" w:eastAsia="黑体" w:cs="黑体"/>
          <w:color w:val="auto"/>
          <w:spacing w:val="-5"/>
          <w:sz w:val="32"/>
          <w:szCs w:val="32"/>
          <w:highlight w:val="none"/>
          <w:lang w:eastAsia="zh-CN"/>
        </w:rPr>
      </w:pPr>
      <w:r>
        <w:rPr>
          <w:rFonts w:hint="eastAsia" w:ascii="黑体" w:hAnsi="黑体" w:eastAsia="黑体" w:cs="黑体"/>
          <w:color w:val="auto"/>
          <w:spacing w:val="-5"/>
          <w:sz w:val="32"/>
          <w:szCs w:val="32"/>
          <w:highlight w:val="none"/>
          <w:lang w:eastAsia="zh-CN"/>
        </w:rPr>
        <w:t>四 、绩效自评结果拟应用和公开情况</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按照财政部《项目支出绩效评价管理办法》（财预〔2020〕10号）规定，单位自评标准是：预算执行10分、产出指标50分、效益指标30分、服务对象满意度指标10分。经自评，202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年度新疆维吾尔自治区医疗服务与保障能力提升补助资金（医疗保障服务能力建设部分）绩效自评价得分为</w:t>
      </w:r>
      <w:r>
        <w:rPr>
          <w:rFonts w:hint="eastAsia" w:ascii="仿宋_GB2312" w:hAnsi="仿宋_GB2312" w:eastAsia="仿宋_GB2312" w:cs="仿宋_GB2312"/>
          <w:color w:val="auto"/>
          <w:sz w:val="32"/>
          <w:szCs w:val="32"/>
          <w:highlight w:val="none"/>
          <w:lang w:val="en-US" w:eastAsia="zh-CN"/>
        </w:rPr>
        <w:t>98.96</w:t>
      </w:r>
      <w:r>
        <w:rPr>
          <w:rFonts w:hint="eastAsia" w:ascii="仿宋_GB2312" w:hAnsi="仿宋_GB2312" w:eastAsia="仿宋_GB2312" w:cs="仿宋_GB2312"/>
          <w:color w:val="auto"/>
          <w:sz w:val="32"/>
          <w:szCs w:val="32"/>
          <w:highlight w:val="none"/>
          <w:lang w:eastAsia="zh-CN"/>
        </w:rPr>
        <w:t>分，其中：预算执行</w:t>
      </w:r>
      <w:r>
        <w:rPr>
          <w:rFonts w:hint="eastAsia" w:ascii="仿宋_GB2312" w:hAnsi="仿宋_GB2312" w:eastAsia="仿宋_GB2312" w:cs="仿宋_GB2312"/>
          <w:color w:val="auto"/>
          <w:sz w:val="32"/>
          <w:szCs w:val="32"/>
          <w:highlight w:val="none"/>
          <w:lang w:val="en-US" w:eastAsia="zh-CN"/>
        </w:rPr>
        <w:t>8.96</w:t>
      </w:r>
      <w:r>
        <w:rPr>
          <w:rFonts w:hint="eastAsia" w:ascii="仿宋_GB2312" w:hAnsi="仿宋_GB2312" w:eastAsia="仿宋_GB2312" w:cs="仿宋_GB2312"/>
          <w:color w:val="auto"/>
          <w:sz w:val="32"/>
          <w:szCs w:val="32"/>
          <w:highlight w:val="none"/>
          <w:lang w:eastAsia="zh-CN"/>
        </w:rPr>
        <w:t>分、产出指标</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lang w:eastAsia="zh-CN"/>
        </w:rPr>
        <w:t>分、效益指标30分、服务对象满意度指标</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分，自评结果为“优”。</w:t>
      </w:r>
    </w:p>
    <w:p>
      <w:pPr>
        <w:pStyle w:val="7"/>
        <w:numPr>
          <w:ilvl w:val="0"/>
          <w:numId w:val="0"/>
        </w:numPr>
        <w:spacing w:line="560" w:lineRule="exact"/>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将自评结果作为全过程预算绩效管理的落脚点，及时整理、归纳、分析、反馈绩效自评结果，绩效评价结束后，将绩效评价结果及时反馈给各地市，要求其针对存在问题，完善制度，改进措施，提高管理水平。将绩效评价结果与预算挂钩，结果作为重要因素直接参与能力提升补助资金分配。</w:t>
      </w:r>
    </w:p>
    <w:p>
      <w:pPr>
        <w:pStyle w:val="7"/>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公开情况：评价结果在自治区医保局、自治区财政门户网站进行公开，回应社会关切，接受社会监督。</w:t>
      </w:r>
    </w:p>
    <w:p>
      <w:pPr>
        <w:autoSpaceDE/>
        <w:autoSpaceDN/>
        <w:adjustRightInd/>
        <w:spacing w:line="560" w:lineRule="exact"/>
        <w:ind w:firstLine="620" w:firstLineChars="200"/>
        <w:jc w:val="both"/>
        <w:outlineLvl w:val="0"/>
        <w:rPr>
          <w:rFonts w:ascii="黑体" w:hAnsi="黑体" w:eastAsia="黑体" w:cs="黑体"/>
          <w:color w:val="auto"/>
          <w:spacing w:val="-5"/>
          <w:sz w:val="32"/>
          <w:szCs w:val="32"/>
          <w:highlight w:val="none"/>
          <w:lang w:eastAsia="zh-CN"/>
        </w:rPr>
      </w:pPr>
      <w:r>
        <w:rPr>
          <w:rFonts w:hint="eastAsia" w:ascii="黑体" w:hAnsi="黑体" w:eastAsia="黑体" w:cs="黑体"/>
          <w:color w:val="auto"/>
          <w:spacing w:val="-5"/>
          <w:sz w:val="32"/>
          <w:szCs w:val="32"/>
          <w:highlight w:val="none"/>
          <w:lang w:eastAsia="zh-CN"/>
        </w:rPr>
        <w:t>五、其他需要说明的问题</w:t>
      </w:r>
    </w:p>
    <w:p>
      <w:pPr>
        <w:spacing w:line="560" w:lineRule="exact"/>
        <w:ind w:firstLine="640" w:firstLineChars="200"/>
        <w:jc w:val="both"/>
        <w:outlineLvl w:val="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在中央巡视、各级审计和财政监督中未发现问题。</w:t>
      </w:r>
    </w:p>
    <w:p>
      <w:pPr>
        <w:autoSpaceDE/>
        <w:autoSpaceDN/>
        <w:adjustRightInd/>
        <w:spacing w:line="560" w:lineRule="exact"/>
        <w:ind w:firstLine="620" w:firstLineChars="200"/>
        <w:jc w:val="both"/>
        <w:outlineLvl w:val="0"/>
        <w:rPr>
          <w:rFonts w:ascii="黑体" w:hAnsi="黑体" w:eastAsia="黑体" w:cs="黑体"/>
          <w:color w:val="auto"/>
          <w:spacing w:val="-5"/>
          <w:sz w:val="32"/>
          <w:szCs w:val="32"/>
          <w:highlight w:val="none"/>
        </w:rPr>
      </w:pPr>
      <w:r>
        <w:rPr>
          <w:rFonts w:hint="eastAsia" w:ascii="黑体" w:hAnsi="黑体" w:eastAsia="黑体" w:cs="黑体"/>
          <w:color w:val="auto"/>
          <w:spacing w:val="-5"/>
          <w:sz w:val="32"/>
          <w:szCs w:val="32"/>
          <w:highlight w:val="none"/>
        </w:rPr>
        <w:t>六 、附件</w:t>
      </w:r>
    </w:p>
    <w:p>
      <w:pPr>
        <w:rPr>
          <w:color w:val="auto"/>
          <w:sz w:val="32"/>
          <w:szCs w:val="32"/>
          <w:highlight w:val="none"/>
        </w:rPr>
      </w:pPr>
      <w:r>
        <w:rPr>
          <w:color w:val="auto"/>
          <w:sz w:val="32"/>
          <w:szCs w:val="32"/>
          <w:highlight w:val="none"/>
        </w:rPr>
        <w:br w:type="page"/>
      </w:r>
    </w:p>
    <w:p>
      <w:pPr>
        <w:pStyle w:val="38"/>
        <w:rPr>
          <w:color w:val="auto"/>
          <w:highlight w:val="none"/>
        </w:rPr>
      </w:pPr>
    </w:p>
    <w:tbl>
      <w:tblPr>
        <w:tblStyle w:val="14"/>
        <w:tblW w:w="5000" w:type="pct"/>
        <w:tblInd w:w="0" w:type="dxa"/>
        <w:tblLayout w:type="autofit"/>
        <w:tblCellMar>
          <w:top w:w="0" w:type="dxa"/>
          <w:left w:w="108" w:type="dxa"/>
          <w:bottom w:w="0" w:type="dxa"/>
          <w:right w:w="108" w:type="dxa"/>
        </w:tblCellMar>
      </w:tblPr>
      <w:tblGrid>
        <w:gridCol w:w="528"/>
        <w:gridCol w:w="528"/>
        <w:gridCol w:w="1282"/>
        <w:gridCol w:w="1441"/>
        <w:gridCol w:w="1016"/>
        <w:gridCol w:w="1384"/>
        <w:gridCol w:w="1412"/>
        <w:gridCol w:w="1357"/>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jc w:val="center"/>
              <w:textAlignment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新疆维吾尔自治区医疗服务与保障能力提升补助资金</w:t>
            </w:r>
            <w:r>
              <w:rPr>
                <w:rStyle w:val="41"/>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 w:val="28"/>
                <w:szCs w:val="28"/>
                <w:highlight w:val="none"/>
                <w:lang w:eastAsia="zh-CN"/>
              </w:rPr>
              <w:t>医疗保障服务能力建设部分）项目绩效自评表</w:t>
            </w:r>
          </w:p>
        </w:tc>
      </w:tr>
      <w:tr>
        <w:tblPrEx>
          <w:tblCellMar>
            <w:top w:w="0" w:type="dxa"/>
            <w:left w:w="108" w:type="dxa"/>
            <w:bottom w:w="0" w:type="dxa"/>
            <w:right w:w="108" w:type="dxa"/>
          </w:tblCellMar>
        </w:tblPrEx>
        <w:trPr>
          <w:trHeight w:val="464" w:hRule="atLeast"/>
        </w:trPr>
        <w:tc>
          <w:tcPr>
            <w:tcW w:w="5000" w:type="pct"/>
            <w:gridSpan w:val="8"/>
            <w:tcBorders>
              <w:top w:val="nil"/>
              <w:left w:val="nil"/>
              <w:bottom w:val="nil"/>
              <w:right w:val="nil"/>
            </w:tcBorders>
            <w:shd w:val="clear" w:color="auto" w:fill="auto"/>
            <w:noWrap/>
            <w:vAlign w:val="center"/>
          </w:tcPr>
          <w:p>
            <w:pPr>
              <w:ind w:firstLine="210" w:firstLineChars="100"/>
              <w:jc w:val="center"/>
              <w:textAlignment w:val="top"/>
              <w:rPr>
                <w:rFonts w:hint="eastAsia" w:ascii="仿宋_GB2312" w:hAnsi="仿宋_GB2312" w:eastAsia="仿宋_GB2312" w:cs="仿宋_GB2312"/>
                <w:color w:val="auto"/>
                <w:sz w:val="18"/>
                <w:szCs w:val="18"/>
                <w:highlight w:val="none"/>
              </w:rPr>
            </w:pPr>
            <w:r>
              <w:rPr>
                <w:rStyle w:val="42"/>
                <w:rFonts w:hint="eastAsia" w:ascii="仿宋_GB2312" w:hAnsi="仿宋_GB2312" w:eastAsia="仿宋_GB2312" w:cs="仿宋_GB2312"/>
                <w:color w:val="auto"/>
                <w:sz w:val="21"/>
                <w:szCs w:val="21"/>
                <w:highlight w:val="none"/>
                <w:lang w:eastAsia="zh-CN"/>
              </w:rPr>
              <w:t>(2024年度)</w:t>
            </w:r>
          </w:p>
        </w:tc>
      </w:tr>
      <w:tr>
        <w:tblPrEx>
          <w:tblCellMar>
            <w:top w:w="0" w:type="dxa"/>
            <w:left w:w="108" w:type="dxa"/>
            <w:bottom w:w="0" w:type="dxa"/>
            <w:right w:w="108" w:type="dxa"/>
          </w:tblCellMar>
        </w:tblPrEx>
        <w:trPr>
          <w:trHeight w:val="485" w:hRule="atLeast"/>
        </w:trPr>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转移支付(项目)名称</w:t>
            </w:r>
          </w:p>
        </w:tc>
        <w:tc>
          <w:tcPr>
            <w:tcW w:w="37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医疗服务与保障能力提升补助资金(医疗保障服务能力建设部分）项目</w:t>
            </w:r>
          </w:p>
        </w:tc>
      </w:tr>
      <w:tr>
        <w:tblPrEx>
          <w:tblCellMar>
            <w:top w:w="0" w:type="dxa"/>
            <w:left w:w="108" w:type="dxa"/>
            <w:bottom w:w="0" w:type="dxa"/>
            <w:right w:w="108" w:type="dxa"/>
          </w:tblCellMar>
        </w:tblPrEx>
        <w:trPr>
          <w:trHeight w:val="280" w:hRule="atLeast"/>
        </w:trPr>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中央主管部门</w:t>
            </w:r>
          </w:p>
        </w:tc>
        <w:tc>
          <w:tcPr>
            <w:tcW w:w="37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国家医疗保障局</w:t>
            </w:r>
          </w:p>
        </w:tc>
      </w:tr>
      <w:tr>
        <w:tblPrEx>
          <w:tblCellMar>
            <w:top w:w="0" w:type="dxa"/>
            <w:left w:w="108" w:type="dxa"/>
            <w:bottom w:w="0" w:type="dxa"/>
            <w:right w:w="108" w:type="dxa"/>
          </w:tblCellMar>
        </w:tblPrEx>
        <w:trPr>
          <w:trHeight w:val="300" w:hRule="atLeast"/>
        </w:trPr>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地方主管部门</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新疆维吾尔自治区财政厅</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资金使用单位</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289" w:hRule="atLeast"/>
        </w:trPr>
        <w:tc>
          <w:tcPr>
            <w:tcW w:w="12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资金投入情况</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(万元)</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全年预算数(A)</w:t>
            </w:r>
          </w:p>
        </w:tc>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全年执行数(B)</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预算执行率</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(B/A×100%)</w:t>
            </w:r>
          </w:p>
        </w:tc>
      </w:tr>
      <w:tr>
        <w:tblPrEx>
          <w:tblCellMar>
            <w:top w:w="0" w:type="dxa"/>
            <w:left w:w="108" w:type="dxa"/>
            <w:bottom w:w="0" w:type="dxa"/>
            <w:right w:w="108" w:type="dxa"/>
          </w:tblCellMar>
        </w:tblPrEx>
        <w:trPr>
          <w:trHeight w:val="289"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年度资金总额：</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16908.44</w:t>
            </w:r>
          </w:p>
        </w:tc>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eastAsia="zh-CN"/>
              </w:rPr>
              <w:t>15150.6</w:t>
            </w:r>
            <w:r>
              <w:rPr>
                <w:rFonts w:hint="eastAsia" w:ascii="仿宋_GB2312" w:hAnsi="仿宋_GB2312" w:eastAsia="仿宋_GB2312" w:cs="仿宋_GB2312"/>
                <w:color w:val="auto"/>
                <w:sz w:val="20"/>
                <w:szCs w:val="20"/>
                <w:highlight w:val="none"/>
                <w:lang w:val="en-US" w:eastAsia="zh-CN"/>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89.60%</w:t>
            </w:r>
          </w:p>
        </w:tc>
      </w:tr>
      <w:tr>
        <w:tblPrEx>
          <w:tblCellMar>
            <w:top w:w="0" w:type="dxa"/>
            <w:left w:w="108" w:type="dxa"/>
            <w:bottom w:w="0" w:type="dxa"/>
            <w:right w:w="108" w:type="dxa"/>
          </w:tblCellMar>
        </w:tblPrEx>
        <w:trPr>
          <w:trHeight w:val="289"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其中：中央财政资金</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10500</w:t>
            </w:r>
          </w:p>
        </w:tc>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9207.59</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87.69%</w:t>
            </w:r>
          </w:p>
        </w:tc>
      </w:tr>
      <w:tr>
        <w:tblPrEx>
          <w:tblCellMar>
            <w:top w:w="0" w:type="dxa"/>
            <w:left w:w="108" w:type="dxa"/>
            <w:bottom w:w="0" w:type="dxa"/>
            <w:right w:w="108" w:type="dxa"/>
          </w:tblCellMar>
        </w:tblPrEx>
        <w:trPr>
          <w:trHeight w:val="289"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地方财政资金</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540"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其他资金</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6408.44</w:t>
            </w:r>
          </w:p>
        </w:tc>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eastAsia="zh-CN"/>
              </w:rPr>
              <w:t>5943.0</w:t>
            </w:r>
            <w:r>
              <w:rPr>
                <w:rFonts w:hint="eastAsia" w:ascii="仿宋_GB2312" w:hAnsi="仿宋_GB2312" w:eastAsia="仿宋_GB2312" w:cs="仿宋_GB2312"/>
                <w:color w:val="auto"/>
                <w:sz w:val="20"/>
                <w:szCs w:val="20"/>
                <w:highlight w:val="none"/>
                <w:lang w:val="en-US" w:eastAsia="zh-CN"/>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92.74%</w:t>
            </w:r>
          </w:p>
        </w:tc>
      </w:tr>
      <w:tr>
        <w:tblPrEx>
          <w:tblCellMar>
            <w:top w:w="0" w:type="dxa"/>
            <w:left w:w="108" w:type="dxa"/>
            <w:bottom w:w="0" w:type="dxa"/>
            <w:right w:w="108" w:type="dxa"/>
          </w:tblCellMar>
        </w:tblPrEx>
        <w:trPr>
          <w:trHeight w:val="290" w:hRule="atLeast"/>
        </w:trPr>
        <w:tc>
          <w:tcPr>
            <w:tcW w:w="12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资金管理情况</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情况说明</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存在问题和改进措施</w:t>
            </w:r>
          </w:p>
        </w:tc>
      </w:tr>
      <w:tr>
        <w:tblPrEx>
          <w:tblCellMar>
            <w:top w:w="0" w:type="dxa"/>
            <w:left w:w="108" w:type="dxa"/>
            <w:bottom w:w="0" w:type="dxa"/>
            <w:right w:w="108" w:type="dxa"/>
          </w:tblCellMar>
        </w:tblPrEx>
        <w:trPr>
          <w:trHeight w:val="560"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分配科学性</w:t>
            </w: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top"/>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严格按照转移支付管理制度以及资金管理办法规定的范围和标准分配资金，资金分配科学。</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560"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下达及时性</w:t>
            </w: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top"/>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严格按照预算法及其实施条例、转移支付管理制度规定以及资金管理办法规定的时限要求分解下达，资金下达及时。</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560"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拨付合规性</w:t>
            </w: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top"/>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严格按照国库集中支付制度有关规定支付资金，未出现违规将资金从国库转入财政专户或支付到预算单位实有资金账户等问题，资金拨付合规。</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560"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使用规范性</w:t>
            </w: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top"/>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严格按照下达预算的科目和项目执行，未出现截留、挤占、挪用或擅自调整等问题，资金使用规范。</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560"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执行准确性</w:t>
            </w: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top"/>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按照上级下达和本级预算安排的金额执行，不存在执行数偏离预算数较多的问题，资金执行准确。</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560"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预算绩效管理情况</w:t>
            </w: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top"/>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在细化下达预算时同步下达绩效目标，将有关资金纳入本级预算或对下转移支付绩效管理，开展绩效监控和绩效评价。</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560" w:hRule="atLeast"/>
        </w:trPr>
        <w:tc>
          <w:tcPr>
            <w:tcW w:w="12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支出责任履行情况</w:t>
            </w: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top"/>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对共同财政事权转移支付，按照财政事权和支出责任划分有关规定，足额安排资金履行本级支出责任。</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313"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总体</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目 标</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完成</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情况</w:t>
            </w:r>
          </w:p>
        </w:tc>
        <w:tc>
          <w:tcPr>
            <w:tcW w:w="2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总体目标</w:t>
            </w:r>
          </w:p>
        </w:tc>
        <w:tc>
          <w:tcPr>
            <w:tcW w:w="2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全年实际完成情况</w:t>
            </w:r>
          </w:p>
        </w:tc>
      </w:tr>
      <w:tr>
        <w:tblPrEx>
          <w:tblCellMar>
            <w:top w:w="0" w:type="dxa"/>
            <w:left w:w="108" w:type="dxa"/>
            <w:bottom w:w="0" w:type="dxa"/>
            <w:right w:w="108" w:type="dxa"/>
          </w:tblCellMar>
        </w:tblPrEx>
        <w:trPr>
          <w:trHeight w:val="18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2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有效提升医保信息化标准化、基金监管、经办管理、目录监管水平，推进医保支付方式、药品和医用耗材集中带量采购、医疗服务价格等改革任务。</w:t>
            </w:r>
          </w:p>
        </w:tc>
        <w:tc>
          <w:tcPr>
            <w:tcW w:w="2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top"/>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治理效能实现系统性提升：国家医保信息平台全面落地应用；跨省异地就医直接结算覆盖全疆15个统筹地区。基金监管体系构建完成：智能监控系统实现全覆盖；飞行检查机制常态化。重点领域改革取得标志性成果：DRG/DIP支付方式全疆实现15个统筹地区全覆盖。招采制度改革成效显著:新疆推动集中带量采购品种提质扩面，着力构建多层次采购体系、多元化采购模式，实现药品耗材集中采购全覆盖，促进药品耗材线上采购、阳光透明。经办服务能力实现跨越式发展：经办服务标准化建设完成；全程网办率85.7%；医保服务窗口标准化覆盖率达99%。基金运行质量显著改善，群众获得感显著增强。</w:t>
            </w:r>
          </w:p>
        </w:tc>
      </w:tr>
      <w:tr>
        <w:tblPrEx>
          <w:tblCellMar>
            <w:top w:w="0" w:type="dxa"/>
            <w:left w:w="108" w:type="dxa"/>
            <w:bottom w:w="0" w:type="dxa"/>
            <w:right w:w="108" w:type="dxa"/>
          </w:tblCellMar>
        </w:tblPrEx>
        <w:trPr>
          <w:trHeight w:val="56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绩效指标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一级</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二级指标</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三级指标</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指标值</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全年实际完</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成值</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未完成原因和改进措施</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lang w:eastAsia="zh-CN"/>
              </w:rPr>
            </w:pP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产出指标</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基本医保参保人数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≥2084万人</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2088.09万人</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每个县(区)范围内开通门诊慢特病相关治疗费用跨省联网定点医疗机构数量</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短缺药品异常高价和异常配送核查处置情况</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处置率达100%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每年开展药品挂网价格联动次数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质量指标</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重复参保治理情况</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依托医保信息平台实施参保信息强制校验</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医保基金综合监管能力</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有所提升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基金预警和风险防控能力</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有所提高</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推进医保支付方式改革</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省级出台支付方式改革文件并落实到位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医保经办服务能力</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有所提升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医保标准化水平</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显著提升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开展村(社区)级医保服务、有网点提供帮办、代办服务的村(社区)覆盖率</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提升公立医疗机构平台采购药品耗材比例</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药品网采率≥85%，高值医用耗材网采率≥75%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药品网采率85%，高值医用耗材网采率75%</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医保信息系统正常运行率</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国谈药等相关药品落地及统计监测情况</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国谈药品落地数据报送及时率100%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12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医疗服务价格动态调整与深化医疗服务价格改革试点执行情况</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按要求开展调价评估并进行调价，确保医疗服务价格管理与深化医疗服务价格改革方向一致</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集中带量采购落实情况</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完成国家组织集中采购中选产品约定采购量</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医药价格和招采信用评价制度建立和实施情况</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限定时限内反馈案源处理情况</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招采子系统落地应用情况</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实现交易、采购等核心功能应用</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医保目录管理规范性情况</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年内未出现违反目录管理政策情况</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时效指标</w:t>
            </w:r>
          </w:p>
        </w:tc>
        <w:tc>
          <w:tcPr>
            <w:tcW w:w="1379" w:type="pct"/>
            <w:gridSpan w:val="2"/>
            <w:tcBorders>
              <w:top w:val="single" w:color="auto" w:sz="4" w:space="0"/>
              <w:left w:val="single" w:color="000000" w:sz="4" w:space="0"/>
              <w:bottom w:val="single" w:color="000000" w:sz="4" w:space="0"/>
              <w:right w:val="single" w:color="auto"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医保信息系统重大安全事件响应时间</w:t>
            </w:r>
          </w:p>
        </w:tc>
        <w:tc>
          <w:tcPr>
            <w:tcW w:w="786"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&lt;=60分钟</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60分钟</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728" w:type="pct"/>
            <w:vMerge w:val="continue"/>
            <w:tcBorders>
              <w:top w:val="nil"/>
              <w:left w:val="single" w:color="auto" w:sz="4" w:space="0"/>
              <w:bottom w:val="single" w:color="auto"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0"/>
                <w:szCs w:val="20"/>
                <w:highlight w:val="none"/>
              </w:rPr>
            </w:pPr>
          </w:p>
        </w:tc>
        <w:tc>
          <w:tcPr>
            <w:tcW w:w="1379" w:type="pct"/>
            <w:gridSpan w:val="2"/>
            <w:tcBorders>
              <w:top w:val="single" w:color="000000" w:sz="4" w:space="0"/>
              <w:left w:val="single" w:color="000000" w:sz="4" w:space="0"/>
              <w:bottom w:val="single" w:color="auto" w:sz="4" w:space="0"/>
              <w:right w:val="single" w:color="auto"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医保信息系统运行维护响应时间</w:t>
            </w:r>
          </w:p>
        </w:tc>
        <w:tc>
          <w:tcPr>
            <w:tcW w:w="786"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&lt;=30分钟</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30分钟</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color w:val="auto"/>
                <w:sz w:val="20"/>
                <w:szCs w:val="20"/>
                <w:highlight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满意</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度指</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标</w:t>
            </w:r>
          </w:p>
        </w:tc>
        <w:tc>
          <w:tcPr>
            <w:tcW w:w="728"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服务对象满意度指标</w:t>
            </w:r>
          </w:p>
        </w:tc>
        <w:tc>
          <w:tcPr>
            <w:tcW w:w="137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参保人员对医保服务的满意度</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99.99%</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56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说明</w:t>
            </w:r>
          </w:p>
        </w:tc>
        <w:tc>
          <w:tcPr>
            <w:tcW w:w="473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bl>
    <w:p>
      <w:pPr>
        <w:pStyle w:val="38"/>
        <w:jc w:val="both"/>
        <w:rPr>
          <w:color w:val="auto"/>
          <w:highlight w:val="none"/>
        </w:rPr>
      </w:pPr>
    </w:p>
    <w:p>
      <w:pPr>
        <w:jc w:val="both"/>
        <w:rPr>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sz w:val="24"/>
          <w:szCs w:val="24"/>
        </w:rPr>
      </w:pPr>
    </w:p>
    <w:p>
      <w:pPr>
        <w:pStyle w:val="12"/>
        <w:rPr>
          <w:rFonts w:hint="default" w:ascii="Times New Roman" w:hAnsi="Times New Roman" w:cs="Times New Roman"/>
          <w:color w:val="auto"/>
          <w:sz w:val="21"/>
          <w:szCs w:val="21"/>
          <w:highlight w:val="none"/>
        </w:rPr>
      </w:pPr>
    </w:p>
    <w:sectPr>
      <w:footerReference r:id="rId5" w:type="default"/>
      <w:pgSz w:w="11906" w:h="16838"/>
      <w:pgMar w:top="2098" w:right="1587"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3E0E6A2-8B58-4279-8458-87E66319733E}"/>
  </w:font>
  <w:font w:name="黑体">
    <w:panose1 w:val="02010609060101010101"/>
    <w:charset w:val="86"/>
    <w:family w:val="auto"/>
    <w:pitch w:val="default"/>
    <w:sig w:usb0="800002BF" w:usb1="38CF7CFA" w:usb2="00000016" w:usb3="00000000" w:csb0="00040001" w:csb1="00000000"/>
    <w:embedRegular r:id="rId2" w:fontKey="{AF85A549-8F14-4ECC-89F2-6277099CC3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C568FCF0-F18F-45F9-9F3D-A021BD384BF6}"/>
  </w:font>
  <w:font w:name="Cambria Math">
    <w:panose1 w:val="02040503050406030204"/>
    <w:charset w:val="00"/>
    <w:family w:val="auto"/>
    <w:pitch w:val="default"/>
    <w:sig w:usb0="E00002FF" w:usb1="420024FF" w:usb2="00000000" w:usb3="00000000" w:csb0="2000019F" w:csb1="00000000"/>
  </w:font>
  <w:font w:name="宋体-简">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B4E9FB9D-5BC9-4D4B-BB42-6D7E598A6766}"/>
  </w:font>
  <w:font w:name="方正小标宋_GBK">
    <w:panose1 w:val="03000509000000000000"/>
    <w:charset w:val="86"/>
    <w:family w:val="auto"/>
    <w:pitch w:val="default"/>
    <w:sig w:usb0="00000001" w:usb1="080E0000" w:usb2="00000000" w:usb3="00000000" w:csb0="00040000" w:csb1="00000000"/>
    <w:embedRegular r:id="rId5" w:fontKey="{E9246C99-B330-4475-BE36-C9CDC31182A5}"/>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embedRegular r:id="rId6" w:fontKey="{6501CC2A-A7D2-4384-A4BB-D2B014E0CC98}"/>
  </w:font>
  <w:font w:name="方正仿宋_GBK">
    <w:panose1 w:val="03000509000000000000"/>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7" w:fontKey="{0DD1C89F-BCD0-4D42-A1AD-120CCB7DB034}"/>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650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1" name="文本框 7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3Q0Q7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829C9"/>
    <w:multiLevelType w:val="singleLevel"/>
    <w:tmpl w:val="9B4829C9"/>
    <w:lvl w:ilvl="0" w:tentative="0">
      <w:start w:val="1"/>
      <w:numFmt w:val="chineseCounting"/>
      <w:suff w:val="nothing"/>
      <w:lvlText w:val="（%1）"/>
      <w:lvlJc w:val="left"/>
      <w:rPr>
        <w:rFonts w:hint="eastAsia"/>
      </w:rPr>
    </w:lvl>
  </w:abstractNum>
  <w:abstractNum w:abstractNumId="1">
    <w:nsid w:val="A9444475"/>
    <w:multiLevelType w:val="singleLevel"/>
    <w:tmpl w:val="A9444475"/>
    <w:lvl w:ilvl="0" w:tentative="0">
      <w:start w:val="1"/>
      <w:numFmt w:val="decimal"/>
      <w:lvlText w:val="%1."/>
      <w:lvlJc w:val="left"/>
      <w:pPr>
        <w:tabs>
          <w:tab w:val="left" w:pos="312"/>
        </w:tabs>
      </w:pPr>
    </w:lvl>
  </w:abstractNum>
  <w:abstractNum w:abstractNumId="2">
    <w:nsid w:val="7D8DAC73"/>
    <w:multiLevelType w:val="singleLevel"/>
    <w:tmpl w:val="7D8DAC7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D55800"/>
    <w:rsid w:val="00075B50"/>
    <w:rsid w:val="00176C83"/>
    <w:rsid w:val="00220784"/>
    <w:rsid w:val="00232961"/>
    <w:rsid w:val="002961D2"/>
    <w:rsid w:val="003D4B38"/>
    <w:rsid w:val="00500937"/>
    <w:rsid w:val="00597BEC"/>
    <w:rsid w:val="005D69FE"/>
    <w:rsid w:val="006700BF"/>
    <w:rsid w:val="00677C98"/>
    <w:rsid w:val="00700496"/>
    <w:rsid w:val="007A5FC6"/>
    <w:rsid w:val="008024AA"/>
    <w:rsid w:val="00841245"/>
    <w:rsid w:val="00893176"/>
    <w:rsid w:val="008E1A89"/>
    <w:rsid w:val="00906204"/>
    <w:rsid w:val="009C5871"/>
    <w:rsid w:val="00AB41F7"/>
    <w:rsid w:val="00B1743E"/>
    <w:rsid w:val="00BB18C1"/>
    <w:rsid w:val="00C13271"/>
    <w:rsid w:val="00C20279"/>
    <w:rsid w:val="00D04BC9"/>
    <w:rsid w:val="00D260DA"/>
    <w:rsid w:val="00D55800"/>
    <w:rsid w:val="00D9033C"/>
    <w:rsid w:val="00DF2AF6"/>
    <w:rsid w:val="00E27879"/>
    <w:rsid w:val="00E345C8"/>
    <w:rsid w:val="00E7664D"/>
    <w:rsid w:val="00EE5D96"/>
    <w:rsid w:val="010F2FA5"/>
    <w:rsid w:val="012F3BE7"/>
    <w:rsid w:val="013F0C73"/>
    <w:rsid w:val="01430E08"/>
    <w:rsid w:val="01716545"/>
    <w:rsid w:val="019C05D1"/>
    <w:rsid w:val="01E220BD"/>
    <w:rsid w:val="02166EA2"/>
    <w:rsid w:val="021C640D"/>
    <w:rsid w:val="02473816"/>
    <w:rsid w:val="025D18B7"/>
    <w:rsid w:val="026C20C7"/>
    <w:rsid w:val="02716A7E"/>
    <w:rsid w:val="028F4A7C"/>
    <w:rsid w:val="02971543"/>
    <w:rsid w:val="03090DF4"/>
    <w:rsid w:val="03233F50"/>
    <w:rsid w:val="0331607D"/>
    <w:rsid w:val="03D1620A"/>
    <w:rsid w:val="04057ACB"/>
    <w:rsid w:val="043175C0"/>
    <w:rsid w:val="043C7325"/>
    <w:rsid w:val="043F7567"/>
    <w:rsid w:val="04563A1F"/>
    <w:rsid w:val="04F06F7C"/>
    <w:rsid w:val="05386485"/>
    <w:rsid w:val="05815E14"/>
    <w:rsid w:val="05BD510D"/>
    <w:rsid w:val="05E50DEF"/>
    <w:rsid w:val="061E4834"/>
    <w:rsid w:val="063F1F05"/>
    <w:rsid w:val="06E85F4D"/>
    <w:rsid w:val="06F11B9E"/>
    <w:rsid w:val="06F77F96"/>
    <w:rsid w:val="0748732D"/>
    <w:rsid w:val="07ED50F6"/>
    <w:rsid w:val="081F50F4"/>
    <w:rsid w:val="08852F02"/>
    <w:rsid w:val="090A76FC"/>
    <w:rsid w:val="0A1228C5"/>
    <w:rsid w:val="0ABF65E6"/>
    <w:rsid w:val="0ADC5A4C"/>
    <w:rsid w:val="0AE40214"/>
    <w:rsid w:val="0AE620BB"/>
    <w:rsid w:val="0B2B7F0C"/>
    <w:rsid w:val="0B323A27"/>
    <w:rsid w:val="0B4247FA"/>
    <w:rsid w:val="0B9660B9"/>
    <w:rsid w:val="0BB16B80"/>
    <w:rsid w:val="0CD21C7B"/>
    <w:rsid w:val="0D03300E"/>
    <w:rsid w:val="0D093355"/>
    <w:rsid w:val="0D0F4816"/>
    <w:rsid w:val="0D6D6013"/>
    <w:rsid w:val="0D7336B7"/>
    <w:rsid w:val="0E597ED8"/>
    <w:rsid w:val="0EF32D02"/>
    <w:rsid w:val="0F0C28B9"/>
    <w:rsid w:val="0F255F6D"/>
    <w:rsid w:val="0F493BEC"/>
    <w:rsid w:val="0F4946DB"/>
    <w:rsid w:val="0F7320B6"/>
    <w:rsid w:val="0F7D165B"/>
    <w:rsid w:val="0FCB2853"/>
    <w:rsid w:val="100770BC"/>
    <w:rsid w:val="100C4E0A"/>
    <w:rsid w:val="102172BF"/>
    <w:rsid w:val="10256291"/>
    <w:rsid w:val="10502DE1"/>
    <w:rsid w:val="106A1279"/>
    <w:rsid w:val="107163FC"/>
    <w:rsid w:val="1086284E"/>
    <w:rsid w:val="10B52845"/>
    <w:rsid w:val="10F225BB"/>
    <w:rsid w:val="111D6FEC"/>
    <w:rsid w:val="113E28A9"/>
    <w:rsid w:val="11551DC9"/>
    <w:rsid w:val="11996697"/>
    <w:rsid w:val="12003EA1"/>
    <w:rsid w:val="12566CC4"/>
    <w:rsid w:val="12C41296"/>
    <w:rsid w:val="12C61B21"/>
    <w:rsid w:val="13432146"/>
    <w:rsid w:val="135D6CC4"/>
    <w:rsid w:val="136455E5"/>
    <w:rsid w:val="13BB3C62"/>
    <w:rsid w:val="13F5417E"/>
    <w:rsid w:val="14057CF9"/>
    <w:rsid w:val="14407D83"/>
    <w:rsid w:val="144162BD"/>
    <w:rsid w:val="147A3864"/>
    <w:rsid w:val="155A43D8"/>
    <w:rsid w:val="155D4A58"/>
    <w:rsid w:val="15DE0D07"/>
    <w:rsid w:val="15E23F84"/>
    <w:rsid w:val="15E74E37"/>
    <w:rsid w:val="16F07B27"/>
    <w:rsid w:val="17112266"/>
    <w:rsid w:val="175736BC"/>
    <w:rsid w:val="17720520"/>
    <w:rsid w:val="17721AEC"/>
    <w:rsid w:val="17B54C4F"/>
    <w:rsid w:val="17B62373"/>
    <w:rsid w:val="17BB77F0"/>
    <w:rsid w:val="1813407D"/>
    <w:rsid w:val="185465F0"/>
    <w:rsid w:val="19376266"/>
    <w:rsid w:val="193A09AA"/>
    <w:rsid w:val="194752D9"/>
    <w:rsid w:val="19786DB1"/>
    <w:rsid w:val="197F1C0E"/>
    <w:rsid w:val="198B1CC1"/>
    <w:rsid w:val="19C65E5F"/>
    <w:rsid w:val="19D82A9A"/>
    <w:rsid w:val="19EB66D2"/>
    <w:rsid w:val="19EC4A75"/>
    <w:rsid w:val="19F920F4"/>
    <w:rsid w:val="1A2125AE"/>
    <w:rsid w:val="1A4423A5"/>
    <w:rsid w:val="1A860614"/>
    <w:rsid w:val="1A9F4685"/>
    <w:rsid w:val="1B0C1B19"/>
    <w:rsid w:val="1B514AA2"/>
    <w:rsid w:val="1B931C85"/>
    <w:rsid w:val="1B995899"/>
    <w:rsid w:val="1BA7430C"/>
    <w:rsid w:val="1BC86F19"/>
    <w:rsid w:val="1BC90814"/>
    <w:rsid w:val="1BCE7474"/>
    <w:rsid w:val="1BD758E1"/>
    <w:rsid w:val="1BDF2082"/>
    <w:rsid w:val="1C3E6AF6"/>
    <w:rsid w:val="1C631CF2"/>
    <w:rsid w:val="1CC15C8B"/>
    <w:rsid w:val="1CC83127"/>
    <w:rsid w:val="1D0F3BD9"/>
    <w:rsid w:val="1DC80C5F"/>
    <w:rsid w:val="1DCF52AC"/>
    <w:rsid w:val="1DD705CD"/>
    <w:rsid w:val="1F266A48"/>
    <w:rsid w:val="1F6D2BBE"/>
    <w:rsid w:val="1FBA6F24"/>
    <w:rsid w:val="1FFF98CC"/>
    <w:rsid w:val="20266D8A"/>
    <w:rsid w:val="207849BB"/>
    <w:rsid w:val="208A2911"/>
    <w:rsid w:val="208F2612"/>
    <w:rsid w:val="21132153"/>
    <w:rsid w:val="211B6058"/>
    <w:rsid w:val="217F7D78"/>
    <w:rsid w:val="22626F49"/>
    <w:rsid w:val="22A43D66"/>
    <w:rsid w:val="22C065C2"/>
    <w:rsid w:val="236D7CC0"/>
    <w:rsid w:val="239116F9"/>
    <w:rsid w:val="24535B2D"/>
    <w:rsid w:val="248236F0"/>
    <w:rsid w:val="249042FA"/>
    <w:rsid w:val="24A628F3"/>
    <w:rsid w:val="24B347B6"/>
    <w:rsid w:val="24C82971"/>
    <w:rsid w:val="24F60CEE"/>
    <w:rsid w:val="25004743"/>
    <w:rsid w:val="25034794"/>
    <w:rsid w:val="254E0D95"/>
    <w:rsid w:val="25B65C32"/>
    <w:rsid w:val="25BC4207"/>
    <w:rsid w:val="260F621B"/>
    <w:rsid w:val="262C606D"/>
    <w:rsid w:val="265943AA"/>
    <w:rsid w:val="265D5639"/>
    <w:rsid w:val="26672631"/>
    <w:rsid w:val="269A0BFA"/>
    <w:rsid w:val="26AD6E48"/>
    <w:rsid w:val="26E72DA5"/>
    <w:rsid w:val="26F33AE5"/>
    <w:rsid w:val="27065F43"/>
    <w:rsid w:val="274C00F3"/>
    <w:rsid w:val="27A675FA"/>
    <w:rsid w:val="27E513D5"/>
    <w:rsid w:val="28557A48"/>
    <w:rsid w:val="288A5559"/>
    <w:rsid w:val="290C745E"/>
    <w:rsid w:val="291B6A5F"/>
    <w:rsid w:val="29436065"/>
    <w:rsid w:val="29AB3369"/>
    <w:rsid w:val="2A28471A"/>
    <w:rsid w:val="2A684F32"/>
    <w:rsid w:val="2AD52040"/>
    <w:rsid w:val="2AFA6952"/>
    <w:rsid w:val="2B8A543C"/>
    <w:rsid w:val="2BEF29AB"/>
    <w:rsid w:val="2BEF3F2E"/>
    <w:rsid w:val="2C6C5618"/>
    <w:rsid w:val="2C9E690D"/>
    <w:rsid w:val="2C9F7FD7"/>
    <w:rsid w:val="2CC27479"/>
    <w:rsid w:val="2CD47BC0"/>
    <w:rsid w:val="2D2C25D8"/>
    <w:rsid w:val="2D4C786A"/>
    <w:rsid w:val="2DB634BD"/>
    <w:rsid w:val="2E051E03"/>
    <w:rsid w:val="2E434D33"/>
    <w:rsid w:val="2E4A5073"/>
    <w:rsid w:val="2E5936BD"/>
    <w:rsid w:val="2E7E02A9"/>
    <w:rsid w:val="2E851AB0"/>
    <w:rsid w:val="2EA700BB"/>
    <w:rsid w:val="2EA76ACE"/>
    <w:rsid w:val="2EBBA20D"/>
    <w:rsid w:val="2EEE0D1E"/>
    <w:rsid w:val="2F3CAEE1"/>
    <w:rsid w:val="2F56DC52"/>
    <w:rsid w:val="2F691F8F"/>
    <w:rsid w:val="2F7D6BA5"/>
    <w:rsid w:val="2F94264F"/>
    <w:rsid w:val="301C42C4"/>
    <w:rsid w:val="302765C7"/>
    <w:rsid w:val="305A2CB0"/>
    <w:rsid w:val="30C84E61"/>
    <w:rsid w:val="30D63D2C"/>
    <w:rsid w:val="30D95E3D"/>
    <w:rsid w:val="31262D68"/>
    <w:rsid w:val="319E6326"/>
    <w:rsid w:val="321275D6"/>
    <w:rsid w:val="323A0EF7"/>
    <w:rsid w:val="32EB8238"/>
    <w:rsid w:val="331770B1"/>
    <w:rsid w:val="33705686"/>
    <w:rsid w:val="33BA013E"/>
    <w:rsid w:val="33BF3EFE"/>
    <w:rsid w:val="33DA3D91"/>
    <w:rsid w:val="33E330A3"/>
    <w:rsid w:val="3408433A"/>
    <w:rsid w:val="340D7B12"/>
    <w:rsid w:val="344A2B14"/>
    <w:rsid w:val="345A238E"/>
    <w:rsid w:val="34655CC5"/>
    <w:rsid w:val="34C374C3"/>
    <w:rsid w:val="35384806"/>
    <w:rsid w:val="359E24B7"/>
    <w:rsid w:val="35E3279E"/>
    <w:rsid w:val="35FF5E38"/>
    <w:rsid w:val="366148E4"/>
    <w:rsid w:val="3707583F"/>
    <w:rsid w:val="37D64B34"/>
    <w:rsid w:val="37FA5CA2"/>
    <w:rsid w:val="380363FC"/>
    <w:rsid w:val="3846223E"/>
    <w:rsid w:val="38604D4F"/>
    <w:rsid w:val="38616E0F"/>
    <w:rsid w:val="388F429F"/>
    <w:rsid w:val="38910E1B"/>
    <w:rsid w:val="38ED4565"/>
    <w:rsid w:val="391F5708"/>
    <w:rsid w:val="394728E3"/>
    <w:rsid w:val="394936D4"/>
    <w:rsid w:val="39820393"/>
    <w:rsid w:val="399932B9"/>
    <w:rsid w:val="39B67A5A"/>
    <w:rsid w:val="39EB6B47"/>
    <w:rsid w:val="3A2443AC"/>
    <w:rsid w:val="3A357178"/>
    <w:rsid w:val="3A5C7A1E"/>
    <w:rsid w:val="3A8223BA"/>
    <w:rsid w:val="3A837EF1"/>
    <w:rsid w:val="3A954AAB"/>
    <w:rsid w:val="3AAF5FED"/>
    <w:rsid w:val="3B0C4B6A"/>
    <w:rsid w:val="3B7B7FEA"/>
    <w:rsid w:val="3B8471D7"/>
    <w:rsid w:val="3B88474A"/>
    <w:rsid w:val="3BAE2D70"/>
    <w:rsid w:val="3BBB761A"/>
    <w:rsid w:val="3C0959BF"/>
    <w:rsid w:val="3C351412"/>
    <w:rsid w:val="3C79117D"/>
    <w:rsid w:val="3CA11A4F"/>
    <w:rsid w:val="3CBF2BDF"/>
    <w:rsid w:val="3D56282D"/>
    <w:rsid w:val="3D5903BA"/>
    <w:rsid w:val="3D6E33D0"/>
    <w:rsid w:val="3D814536"/>
    <w:rsid w:val="3DAFE6AB"/>
    <w:rsid w:val="3DEA61A3"/>
    <w:rsid w:val="3DFB0A7A"/>
    <w:rsid w:val="3E07208F"/>
    <w:rsid w:val="3E314596"/>
    <w:rsid w:val="3E5C2E13"/>
    <w:rsid w:val="3EBB12F8"/>
    <w:rsid w:val="3F136F08"/>
    <w:rsid w:val="3F1453E2"/>
    <w:rsid w:val="3F575009"/>
    <w:rsid w:val="3F6E03EA"/>
    <w:rsid w:val="3F875451"/>
    <w:rsid w:val="3FB47851"/>
    <w:rsid w:val="3FF0495B"/>
    <w:rsid w:val="40266BC0"/>
    <w:rsid w:val="4100148C"/>
    <w:rsid w:val="424779B1"/>
    <w:rsid w:val="4265120D"/>
    <w:rsid w:val="42B811BA"/>
    <w:rsid w:val="43311772"/>
    <w:rsid w:val="437A6AAC"/>
    <w:rsid w:val="43912142"/>
    <w:rsid w:val="43A538C3"/>
    <w:rsid w:val="43B17632"/>
    <w:rsid w:val="43BB6137"/>
    <w:rsid w:val="448977E1"/>
    <w:rsid w:val="44DD3637"/>
    <w:rsid w:val="44EC245B"/>
    <w:rsid w:val="451930DF"/>
    <w:rsid w:val="45A07594"/>
    <w:rsid w:val="45B7611D"/>
    <w:rsid w:val="45C649C8"/>
    <w:rsid w:val="45DD4EEC"/>
    <w:rsid w:val="45F20916"/>
    <w:rsid w:val="46193601"/>
    <w:rsid w:val="467811B4"/>
    <w:rsid w:val="468E49CF"/>
    <w:rsid w:val="46CE3DAE"/>
    <w:rsid w:val="46D96B01"/>
    <w:rsid w:val="46FB228A"/>
    <w:rsid w:val="4710514F"/>
    <w:rsid w:val="47401BD9"/>
    <w:rsid w:val="47767B6B"/>
    <w:rsid w:val="47776128"/>
    <w:rsid w:val="47B91949"/>
    <w:rsid w:val="480109E1"/>
    <w:rsid w:val="48084421"/>
    <w:rsid w:val="487D67F8"/>
    <w:rsid w:val="49601DCE"/>
    <w:rsid w:val="49806FDD"/>
    <w:rsid w:val="499C5A5B"/>
    <w:rsid w:val="49E807BE"/>
    <w:rsid w:val="4A6F7701"/>
    <w:rsid w:val="4A7605B0"/>
    <w:rsid w:val="4A8F3EEC"/>
    <w:rsid w:val="4AB56533"/>
    <w:rsid w:val="4AFFDB99"/>
    <w:rsid w:val="4B035E4E"/>
    <w:rsid w:val="4B314FEE"/>
    <w:rsid w:val="4B484922"/>
    <w:rsid w:val="4B6D5936"/>
    <w:rsid w:val="4B8B1A51"/>
    <w:rsid w:val="4BA979DE"/>
    <w:rsid w:val="4BF45AF4"/>
    <w:rsid w:val="4C224452"/>
    <w:rsid w:val="4C3860BD"/>
    <w:rsid w:val="4C830CBE"/>
    <w:rsid w:val="4CC94B9E"/>
    <w:rsid w:val="4D0F5EE4"/>
    <w:rsid w:val="4D4774EB"/>
    <w:rsid w:val="4D6B26AB"/>
    <w:rsid w:val="4D7F70A0"/>
    <w:rsid w:val="4DD11B63"/>
    <w:rsid w:val="4DFB78AB"/>
    <w:rsid w:val="4E1C1E4A"/>
    <w:rsid w:val="4E440C4B"/>
    <w:rsid w:val="4E736E8F"/>
    <w:rsid w:val="4F0B3991"/>
    <w:rsid w:val="4F18074C"/>
    <w:rsid w:val="4F460E16"/>
    <w:rsid w:val="4F4A1B7A"/>
    <w:rsid w:val="4F8922EB"/>
    <w:rsid w:val="4FC70E2B"/>
    <w:rsid w:val="4FEB0650"/>
    <w:rsid w:val="4FFF06FB"/>
    <w:rsid w:val="50287AB7"/>
    <w:rsid w:val="503C4BB7"/>
    <w:rsid w:val="506643DA"/>
    <w:rsid w:val="50770396"/>
    <w:rsid w:val="507B5D4B"/>
    <w:rsid w:val="508323A3"/>
    <w:rsid w:val="509C5C2D"/>
    <w:rsid w:val="50CD1010"/>
    <w:rsid w:val="510A5A45"/>
    <w:rsid w:val="510B5604"/>
    <w:rsid w:val="511E6B60"/>
    <w:rsid w:val="514A52A4"/>
    <w:rsid w:val="517404FD"/>
    <w:rsid w:val="519D788E"/>
    <w:rsid w:val="51AA43D8"/>
    <w:rsid w:val="51E731FC"/>
    <w:rsid w:val="51EF049E"/>
    <w:rsid w:val="520E4BF9"/>
    <w:rsid w:val="52142D37"/>
    <w:rsid w:val="52440E17"/>
    <w:rsid w:val="524E6243"/>
    <w:rsid w:val="525A01F6"/>
    <w:rsid w:val="526D68B8"/>
    <w:rsid w:val="5274067B"/>
    <w:rsid w:val="52AB09A4"/>
    <w:rsid w:val="53012D86"/>
    <w:rsid w:val="536336AD"/>
    <w:rsid w:val="5365566B"/>
    <w:rsid w:val="53686091"/>
    <w:rsid w:val="53715433"/>
    <w:rsid w:val="54104DB2"/>
    <w:rsid w:val="547634B0"/>
    <w:rsid w:val="548B076D"/>
    <w:rsid w:val="549D0F92"/>
    <w:rsid w:val="54D75AAC"/>
    <w:rsid w:val="54E41682"/>
    <w:rsid w:val="556F4303"/>
    <w:rsid w:val="55C721AD"/>
    <w:rsid w:val="55E170C6"/>
    <w:rsid w:val="56550E29"/>
    <w:rsid w:val="5678590F"/>
    <w:rsid w:val="56870C86"/>
    <w:rsid w:val="56B52D59"/>
    <w:rsid w:val="56F80A17"/>
    <w:rsid w:val="570B47CD"/>
    <w:rsid w:val="5788375A"/>
    <w:rsid w:val="57E4246C"/>
    <w:rsid w:val="584E7332"/>
    <w:rsid w:val="58D8438D"/>
    <w:rsid w:val="58DD0D97"/>
    <w:rsid w:val="58FF76B6"/>
    <w:rsid w:val="590D66FE"/>
    <w:rsid w:val="592314F5"/>
    <w:rsid w:val="5930722A"/>
    <w:rsid w:val="59767887"/>
    <w:rsid w:val="598E0D10"/>
    <w:rsid w:val="5999200A"/>
    <w:rsid w:val="59A2285E"/>
    <w:rsid w:val="59A70E73"/>
    <w:rsid w:val="59B33F93"/>
    <w:rsid w:val="59E202E3"/>
    <w:rsid w:val="59F613AC"/>
    <w:rsid w:val="5A1DD210"/>
    <w:rsid w:val="5A283FF8"/>
    <w:rsid w:val="5A47502D"/>
    <w:rsid w:val="5A522BFB"/>
    <w:rsid w:val="5A651A30"/>
    <w:rsid w:val="5A6842B2"/>
    <w:rsid w:val="5B37355E"/>
    <w:rsid w:val="5B6A5F85"/>
    <w:rsid w:val="5BBA4C21"/>
    <w:rsid w:val="5BF39A90"/>
    <w:rsid w:val="5BF94355"/>
    <w:rsid w:val="5C704BFD"/>
    <w:rsid w:val="5C794C54"/>
    <w:rsid w:val="5D260D7F"/>
    <w:rsid w:val="5D5F2603"/>
    <w:rsid w:val="5DB1535D"/>
    <w:rsid w:val="5DC532B5"/>
    <w:rsid w:val="5DD0462F"/>
    <w:rsid w:val="5DFEB562"/>
    <w:rsid w:val="5E15517A"/>
    <w:rsid w:val="5E2F1AB2"/>
    <w:rsid w:val="5E2FBBDE"/>
    <w:rsid w:val="5E596D53"/>
    <w:rsid w:val="5E8B68A9"/>
    <w:rsid w:val="5E95464A"/>
    <w:rsid w:val="5EA2598A"/>
    <w:rsid w:val="5EC42E41"/>
    <w:rsid w:val="5EFF6126"/>
    <w:rsid w:val="5F1331A2"/>
    <w:rsid w:val="5F2FE7DB"/>
    <w:rsid w:val="5F6318A0"/>
    <w:rsid w:val="5FCDF55F"/>
    <w:rsid w:val="5FDE87C0"/>
    <w:rsid w:val="5FFB7D95"/>
    <w:rsid w:val="604A7B30"/>
    <w:rsid w:val="604A7E4D"/>
    <w:rsid w:val="607F5FA2"/>
    <w:rsid w:val="60816481"/>
    <w:rsid w:val="60A83BEF"/>
    <w:rsid w:val="60E42762"/>
    <w:rsid w:val="61283336"/>
    <w:rsid w:val="61CB086F"/>
    <w:rsid w:val="61EC61D5"/>
    <w:rsid w:val="620F3632"/>
    <w:rsid w:val="622D5B65"/>
    <w:rsid w:val="62426068"/>
    <w:rsid w:val="625962D0"/>
    <w:rsid w:val="627E163D"/>
    <w:rsid w:val="62BA65AF"/>
    <w:rsid w:val="62C03308"/>
    <w:rsid w:val="62C27FB5"/>
    <w:rsid w:val="63105834"/>
    <w:rsid w:val="631B356D"/>
    <w:rsid w:val="63301864"/>
    <w:rsid w:val="63344920"/>
    <w:rsid w:val="635850D0"/>
    <w:rsid w:val="63A41FE7"/>
    <w:rsid w:val="63FF12C6"/>
    <w:rsid w:val="64683977"/>
    <w:rsid w:val="65793889"/>
    <w:rsid w:val="65A4478F"/>
    <w:rsid w:val="665A4520"/>
    <w:rsid w:val="667941CF"/>
    <w:rsid w:val="670F6A13"/>
    <w:rsid w:val="675D1920"/>
    <w:rsid w:val="679C3263"/>
    <w:rsid w:val="681D0C49"/>
    <w:rsid w:val="68334DD9"/>
    <w:rsid w:val="68493A8C"/>
    <w:rsid w:val="690805E4"/>
    <w:rsid w:val="69552B32"/>
    <w:rsid w:val="69632DF4"/>
    <w:rsid w:val="69762EF6"/>
    <w:rsid w:val="699A5665"/>
    <w:rsid w:val="69FC4934"/>
    <w:rsid w:val="6A0464CF"/>
    <w:rsid w:val="6A6E5B44"/>
    <w:rsid w:val="6AB74310"/>
    <w:rsid w:val="6B4105C1"/>
    <w:rsid w:val="6B637816"/>
    <w:rsid w:val="6BCD4AC8"/>
    <w:rsid w:val="6BCF5512"/>
    <w:rsid w:val="6BF377E0"/>
    <w:rsid w:val="6C0528A2"/>
    <w:rsid w:val="6C4C4637"/>
    <w:rsid w:val="6C9A5754"/>
    <w:rsid w:val="6CDA70B2"/>
    <w:rsid w:val="6CFD527C"/>
    <w:rsid w:val="6CFE64D1"/>
    <w:rsid w:val="6D0476D0"/>
    <w:rsid w:val="6D0F63AF"/>
    <w:rsid w:val="6D5F48CC"/>
    <w:rsid w:val="6D685249"/>
    <w:rsid w:val="6D7B1241"/>
    <w:rsid w:val="6D837C7A"/>
    <w:rsid w:val="6DDBB7AB"/>
    <w:rsid w:val="6DF220B0"/>
    <w:rsid w:val="6DFA0BED"/>
    <w:rsid w:val="6DFA6436"/>
    <w:rsid w:val="6E023F5C"/>
    <w:rsid w:val="6E28599C"/>
    <w:rsid w:val="6E4E1D85"/>
    <w:rsid w:val="6E757F5A"/>
    <w:rsid w:val="6E8C74B4"/>
    <w:rsid w:val="6EBD1B97"/>
    <w:rsid w:val="6EBD2188"/>
    <w:rsid w:val="6EDA2062"/>
    <w:rsid w:val="6F27465A"/>
    <w:rsid w:val="6F577A4B"/>
    <w:rsid w:val="6F5FB2BF"/>
    <w:rsid w:val="6F906373"/>
    <w:rsid w:val="6F9C4E6A"/>
    <w:rsid w:val="6FC5B3E0"/>
    <w:rsid w:val="6FE74798"/>
    <w:rsid w:val="6FF01A5C"/>
    <w:rsid w:val="6FFFD7E0"/>
    <w:rsid w:val="70172CD7"/>
    <w:rsid w:val="70197979"/>
    <w:rsid w:val="70574F8D"/>
    <w:rsid w:val="70BD57B1"/>
    <w:rsid w:val="71233D62"/>
    <w:rsid w:val="71664737"/>
    <w:rsid w:val="719742BD"/>
    <w:rsid w:val="719A6AE0"/>
    <w:rsid w:val="71A63542"/>
    <w:rsid w:val="71B67DD9"/>
    <w:rsid w:val="72044B77"/>
    <w:rsid w:val="72352D3E"/>
    <w:rsid w:val="737A8BA6"/>
    <w:rsid w:val="737FC9FF"/>
    <w:rsid w:val="73AB02E7"/>
    <w:rsid w:val="73B12BA6"/>
    <w:rsid w:val="73BB21EF"/>
    <w:rsid w:val="73FF64EE"/>
    <w:rsid w:val="73FFDC02"/>
    <w:rsid w:val="7452064E"/>
    <w:rsid w:val="74827CAF"/>
    <w:rsid w:val="74A128ED"/>
    <w:rsid w:val="7500581E"/>
    <w:rsid w:val="753322E8"/>
    <w:rsid w:val="75736ACE"/>
    <w:rsid w:val="75A131ED"/>
    <w:rsid w:val="75BDBFF0"/>
    <w:rsid w:val="75BFDC90"/>
    <w:rsid w:val="7601183D"/>
    <w:rsid w:val="765D7FA0"/>
    <w:rsid w:val="76637569"/>
    <w:rsid w:val="76765196"/>
    <w:rsid w:val="76AC6597"/>
    <w:rsid w:val="76C119FE"/>
    <w:rsid w:val="771A43C7"/>
    <w:rsid w:val="7755E632"/>
    <w:rsid w:val="77777FEC"/>
    <w:rsid w:val="779627A5"/>
    <w:rsid w:val="77BD2B53"/>
    <w:rsid w:val="77BE9E2B"/>
    <w:rsid w:val="77CEF50C"/>
    <w:rsid w:val="77D55655"/>
    <w:rsid w:val="77D7670B"/>
    <w:rsid w:val="77F5836F"/>
    <w:rsid w:val="781400F4"/>
    <w:rsid w:val="787A25CC"/>
    <w:rsid w:val="788C9AAE"/>
    <w:rsid w:val="78D543AB"/>
    <w:rsid w:val="79077C3C"/>
    <w:rsid w:val="790E5DD7"/>
    <w:rsid w:val="79313FE4"/>
    <w:rsid w:val="79367BCD"/>
    <w:rsid w:val="796663FE"/>
    <w:rsid w:val="7973513E"/>
    <w:rsid w:val="79EB0D1D"/>
    <w:rsid w:val="7AFB559C"/>
    <w:rsid w:val="7B4E1B6F"/>
    <w:rsid w:val="7B540214"/>
    <w:rsid w:val="7B6E4B58"/>
    <w:rsid w:val="7B6FF829"/>
    <w:rsid w:val="7B7B3551"/>
    <w:rsid w:val="7B8F41E8"/>
    <w:rsid w:val="7BB920BC"/>
    <w:rsid w:val="7BD004F2"/>
    <w:rsid w:val="7BDF19B6"/>
    <w:rsid w:val="7BF16575"/>
    <w:rsid w:val="7BF4227F"/>
    <w:rsid w:val="7C000190"/>
    <w:rsid w:val="7C11009B"/>
    <w:rsid w:val="7C2B5754"/>
    <w:rsid w:val="7C9D5C9F"/>
    <w:rsid w:val="7CA513CE"/>
    <w:rsid w:val="7CDFEE60"/>
    <w:rsid w:val="7CFCDDB7"/>
    <w:rsid w:val="7CFD25C7"/>
    <w:rsid w:val="7D37327B"/>
    <w:rsid w:val="7D962782"/>
    <w:rsid w:val="7D993006"/>
    <w:rsid w:val="7DCE3C29"/>
    <w:rsid w:val="7DEE5D7A"/>
    <w:rsid w:val="7E3F52D2"/>
    <w:rsid w:val="7E4C2E92"/>
    <w:rsid w:val="7E5B9A80"/>
    <w:rsid w:val="7E5BED67"/>
    <w:rsid w:val="7E765AE7"/>
    <w:rsid w:val="7EFB6141"/>
    <w:rsid w:val="7EFB9A8D"/>
    <w:rsid w:val="7EFF9100"/>
    <w:rsid w:val="7F5F7E04"/>
    <w:rsid w:val="7F7F113F"/>
    <w:rsid w:val="7FAF941D"/>
    <w:rsid w:val="7FD61232"/>
    <w:rsid w:val="7FE747A6"/>
    <w:rsid w:val="7FF78154"/>
    <w:rsid w:val="7FFBB38B"/>
    <w:rsid w:val="7FFCEE63"/>
    <w:rsid w:val="7FFD3AB8"/>
    <w:rsid w:val="7FFE7E1F"/>
    <w:rsid w:val="97FEE6B9"/>
    <w:rsid w:val="9C72B006"/>
    <w:rsid w:val="9CFEB9CC"/>
    <w:rsid w:val="9FF7012B"/>
    <w:rsid w:val="9FFC470D"/>
    <w:rsid w:val="AFA67FCB"/>
    <w:rsid w:val="AFD780F4"/>
    <w:rsid w:val="BBDFBCBC"/>
    <w:rsid w:val="BBFBEA52"/>
    <w:rsid w:val="BD7567BE"/>
    <w:rsid w:val="BF77821E"/>
    <w:rsid w:val="BF9D08B5"/>
    <w:rsid w:val="BFD5A370"/>
    <w:rsid w:val="BFEF0921"/>
    <w:rsid w:val="BFFE6B65"/>
    <w:rsid w:val="CB5F3640"/>
    <w:rsid w:val="CF72F09E"/>
    <w:rsid w:val="D7FF0872"/>
    <w:rsid w:val="D9FDFCE8"/>
    <w:rsid w:val="DB2F06F0"/>
    <w:rsid w:val="DBB8B964"/>
    <w:rsid w:val="DBD7DF1B"/>
    <w:rsid w:val="DBFF850C"/>
    <w:rsid w:val="DC72A880"/>
    <w:rsid w:val="DCFD9F6E"/>
    <w:rsid w:val="DFFF8EA4"/>
    <w:rsid w:val="E6D55221"/>
    <w:rsid w:val="E75C8507"/>
    <w:rsid w:val="E76F55F6"/>
    <w:rsid w:val="EBB3992F"/>
    <w:rsid w:val="EBDB06DD"/>
    <w:rsid w:val="EC7E4C7A"/>
    <w:rsid w:val="EF3B55AF"/>
    <w:rsid w:val="EFF6996A"/>
    <w:rsid w:val="EFFB2C78"/>
    <w:rsid w:val="F2FA03FF"/>
    <w:rsid w:val="F3D5973A"/>
    <w:rsid w:val="F5BE3834"/>
    <w:rsid w:val="F6FE83E0"/>
    <w:rsid w:val="F7756527"/>
    <w:rsid w:val="F7773112"/>
    <w:rsid w:val="F7D7FA45"/>
    <w:rsid w:val="F7F7CB43"/>
    <w:rsid w:val="F7FD23F7"/>
    <w:rsid w:val="F97D0E30"/>
    <w:rsid w:val="FAFF15AA"/>
    <w:rsid w:val="FB3BE635"/>
    <w:rsid w:val="FBDD82CB"/>
    <w:rsid w:val="FCFF0B58"/>
    <w:rsid w:val="FD75F25C"/>
    <w:rsid w:val="FE2E387E"/>
    <w:rsid w:val="FEBCCD25"/>
    <w:rsid w:val="FEFD0739"/>
    <w:rsid w:val="FF6B3FDB"/>
    <w:rsid w:val="FF6F237F"/>
    <w:rsid w:val="FF77D8A5"/>
    <w:rsid w:val="FFB64AA2"/>
    <w:rsid w:val="FFBEC138"/>
    <w:rsid w:val="FFBFFD89"/>
    <w:rsid w:val="FFDD6C28"/>
    <w:rsid w:val="FFEF6EA4"/>
    <w:rsid w:val="FFEFD2F3"/>
    <w:rsid w:val="FFF516F3"/>
    <w:rsid w:val="FFF968DA"/>
    <w:rsid w:val="FFFA2CE6"/>
    <w:rsid w:val="FFFB2456"/>
    <w:rsid w:val="FFFC544D"/>
    <w:rsid w:val="FFFD60AC"/>
    <w:rsid w:val="FFFDBB2A"/>
    <w:rsid w:val="FFFF88C3"/>
    <w:rsid w:val="FFFFE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2字符"/>
    <w:basedOn w:val="1"/>
    <w:qFormat/>
    <w:uiPriority w:val="0"/>
    <w:pPr>
      <w:spacing w:line="360" w:lineRule="atLeast"/>
      <w:ind w:firstLine="420"/>
    </w:pPr>
    <w:rPr>
      <w:rFonts w:cs="宋体"/>
      <w:szCs w:val="20"/>
    </w:rPr>
  </w:style>
  <w:style w:type="paragraph" w:styleId="4">
    <w:name w:val="table of authorities"/>
    <w:basedOn w:val="1"/>
    <w:next w:val="1"/>
    <w:qFormat/>
    <w:uiPriority w:val="0"/>
    <w:pPr>
      <w:ind w:left="420" w:leftChars="200"/>
    </w:pPr>
  </w:style>
  <w:style w:type="paragraph" w:styleId="5">
    <w:name w:val="Normal Indent"/>
    <w:basedOn w:val="1"/>
    <w:unhideWhenUsed/>
    <w:qFormat/>
    <w:uiPriority w:val="99"/>
    <w:pPr>
      <w:ind w:firstLine="420" w:firstLineChars="200"/>
    </w:pPr>
    <w:rPr>
      <w:rFonts w:eastAsia="仿宋"/>
      <w:sz w:val="32"/>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next w:val="5"/>
    <w:semiHidden/>
    <w:qFormat/>
    <w:uiPriority w:val="99"/>
    <w:pPr>
      <w:spacing w:after="120"/>
      <w:ind w:left="420" w:leftChars="200"/>
    </w:p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7"/>
    <w:qFormat/>
    <w:uiPriority w:val="0"/>
    <w:pPr>
      <w:ind w:firstLine="420" w:firstLineChars="100"/>
    </w:pPr>
  </w:style>
  <w:style w:type="paragraph" w:styleId="13">
    <w:name w:val="Body Text First Indent 2"/>
    <w:basedOn w:val="8"/>
    <w:next w:val="12"/>
    <w:qFormat/>
    <w:uiPriority w:val="99"/>
    <w:pPr>
      <w:ind w:firstLine="420" w:firstLineChars="200"/>
    </w:pPr>
    <w:rPr>
      <w:rFonts w:ascii="Calibri" w:hAnsi="Calibri"/>
    </w:rPr>
  </w:style>
  <w:style w:type="table" w:styleId="15">
    <w:name w:val="Table Grid"/>
    <w:basedOn w:val="1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customStyle="1" w:styleId="18">
    <w:name w:val="页眉 字符"/>
    <w:basedOn w:val="16"/>
    <w:link w:val="11"/>
    <w:qFormat/>
    <w:uiPriority w:val="99"/>
    <w:rPr>
      <w:sz w:val="18"/>
      <w:szCs w:val="18"/>
    </w:rPr>
  </w:style>
  <w:style w:type="character" w:customStyle="1" w:styleId="19">
    <w:name w:val="页脚 字符"/>
    <w:basedOn w:val="16"/>
    <w:link w:val="10"/>
    <w:qFormat/>
    <w:uiPriority w:val="99"/>
    <w:rPr>
      <w:sz w:val="18"/>
      <w:szCs w:val="18"/>
    </w:rPr>
  </w:style>
  <w:style w:type="character" w:customStyle="1" w:styleId="20">
    <w:name w:val="批注框文本 字符"/>
    <w:basedOn w:val="16"/>
    <w:link w:val="9"/>
    <w:semiHidden/>
    <w:qFormat/>
    <w:uiPriority w:val="99"/>
    <w:rPr>
      <w:sz w:val="18"/>
      <w:szCs w:val="18"/>
    </w:rPr>
  </w:style>
  <w:style w:type="character" w:customStyle="1" w:styleId="21">
    <w:name w:val="font21"/>
    <w:basedOn w:val="16"/>
    <w:qFormat/>
    <w:uiPriority w:val="0"/>
    <w:rPr>
      <w:rFonts w:hint="eastAsia" w:ascii="宋体" w:hAnsi="宋体" w:eastAsia="宋体" w:cs="宋体"/>
      <w:color w:val="000000"/>
      <w:sz w:val="24"/>
      <w:szCs w:val="24"/>
      <w:u w:val="none"/>
    </w:rPr>
  </w:style>
  <w:style w:type="character" w:customStyle="1" w:styleId="22">
    <w:name w:val="font01"/>
    <w:basedOn w:val="16"/>
    <w:qFormat/>
    <w:uiPriority w:val="0"/>
    <w:rPr>
      <w:rFonts w:hint="default" w:ascii="Times New Roman" w:hAnsi="Times New Roman" w:cs="Times New Roman"/>
      <w:color w:val="000000"/>
      <w:sz w:val="24"/>
      <w:szCs w:val="24"/>
      <w:u w:val="none"/>
    </w:rPr>
  </w:style>
  <w:style w:type="character" w:customStyle="1" w:styleId="23">
    <w:name w:val="font121"/>
    <w:basedOn w:val="16"/>
    <w:qFormat/>
    <w:uiPriority w:val="0"/>
    <w:rPr>
      <w:rFonts w:hint="eastAsia" w:ascii="宋体" w:hAnsi="宋体" w:eastAsia="宋体" w:cs="宋体"/>
      <w:color w:val="000000"/>
      <w:sz w:val="20"/>
      <w:szCs w:val="20"/>
      <w:u w:val="none"/>
    </w:rPr>
  </w:style>
  <w:style w:type="character" w:customStyle="1" w:styleId="24">
    <w:name w:val="font11"/>
    <w:basedOn w:val="16"/>
    <w:qFormat/>
    <w:uiPriority w:val="0"/>
    <w:rPr>
      <w:rFonts w:hint="eastAsia" w:ascii="宋体" w:hAnsi="宋体" w:eastAsia="宋体" w:cs="宋体"/>
      <w:color w:val="000000"/>
      <w:sz w:val="28"/>
      <w:szCs w:val="28"/>
      <w:u w:val="none"/>
    </w:rPr>
  </w:style>
  <w:style w:type="character" w:customStyle="1" w:styleId="25">
    <w:name w:val="font91"/>
    <w:basedOn w:val="16"/>
    <w:qFormat/>
    <w:uiPriority w:val="0"/>
    <w:rPr>
      <w:rFonts w:hint="default" w:ascii="Times New Roman" w:hAnsi="Times New Roman" w:cs="Times New Roman"/>
      <w:color w:val="000000"/>
      <w:sz w:val="28"/>
      <w:szCs w:val="28"/>
      <w:u w:val="none"/>
    </w:rPr>
  </w:style>
  <w:style w:type="character" w:customStyle="1" w:styleId="26">
    <w:name w:val="font31"/>
    <w:basedOn w:val="16"/>
    <w:qFormat/>
    <w:uiPriority w:val="0"/>
    <w:rPr>
      <w:rFonts w:hint="eastAsia" w:ascii="方正小标宋简体" w:hAnsi="方正小标宋简体" w:eastAsia="方正小标宋简体" w:cs="方正小标宋简体"/>
      <w:color w:val="000000"/>
      <w:sz w:val="48"/>
      <w:szCs w:val="48"/>
      <w:u w:val="none"/>
    </w:rPr>
  </w:style>
  <w:style w:type="character" w:customStyle="1" w:styleId="27">
    <w:name w:val="font41"/>
    <w:basedOn w:val="16"/>
    <w:qFormat/>
    <w:uiPriority w:val="0"/>
    <w:rPr>
      <w:rFonts w:hint="default" w:ascii="Times New Roman" w:hAnsi="Times New Roman" w:cs="Times New Roman"/>
      <w:color w:val="000000"/>
      <w:sz w:val="48"/>
      <w:szCs w:val="48"/>
      <w:u w:val="none"/>
    </w:rPr>
  </w:style>
  <w:style w:type="character" w:customStyle="1" w:styleId="28">
    <w:name w:val="font51"/>
    <w:basedOn w:val="16"/>
    <w:qFormat/>
    <w:uiPriority w:val="0"/>
    <w:rPr>
      <w:rFonts w:hint="default" w:ascii="楷体_GB2312" w:eastAsia="楷体_GB2312" w:cs="楷体_GB2312"/>
      <w:color w:val="000000"/>
      <w:sz w:val="32"/>
      <w:szCs w:val="32"/>
      <w:u w:val="none"/>
    </w:rPr>
  </w:style>
  <w:style w:type="character" w:customStyle="1" w:styleId="29">
    <w:name w:val="font71"/>
    <w:basedOn w:val="16"/>
    <w:qFormat/>
    <w:uiPriority w:val="0"/>
    <w:rPr>
      <w:rFonts w:hint="default" w:ascii="Times New Roman" w:hAnsi="Times New Roman" w:cs="Times New Roman"/>
      <w:color w:val="000000"/>
      <w:sz w:val="24"/>
      <w:szCs w:val="24"/>
      <w:u w:val="none"/>
    </w:rPr>
  </w:style>
  <w:style w:type="character" w:customStyle="1" w:styleId="30">
    <w:name w:val="font61"/>
    <w:basedOn w:val="16"/>
    <w:qFormat/>
    <w:uiPriority w:val="0"/>
    <w:rPr>
      <w:rFonts w:hint="eastAsia" w:ascii="宋体" w:hAnsi="宋体" w:eastAsia="宋体" w:cs="宋体"/>
      <w:color w:val="000000"/>
      <w:sz w:val="24"/>
      <w:szCs w:val="24"/>
      <w:u w:val="none"/>
    </w:rPr>
  </w:style>
  <w:style w:type="character" w:customStyle="1" w:styleId="31">
    <w:name w:val="font81"/>
    <w:basedOn w:val="16"/>
    <w:qFormat/>
    <w:uiPriority w:val="0"/>
    <w:rPr>
      <w:rFonts w:hint="eastAsia" w:ascii="宋体" w:hAnsi="宋体" w:eastAsia="宋体" w:cs="宋体"/>
      <w:b/>
      <w:bCs/>
      <w:color w:val="000000"/>
      <w:sz w:val="22"/>
      <w:szCs w:val="22"/>
      <w:u w:val="none"/>
    </w:rPr>
  </w:style>
  <w:style w:type="character" w:customStyle="1" w:styleId="32">
    <w:name w:val="font101"/>
    <w:basedOn w:val="16"/>
    <w:qFormat/>
    <w:uiPriority w:val="0"/>
    <w:rPr>
      <w:rFonts w:hint="eastAsia" w:ascii="宋体" w:hAnsi="宋体" w:eastAsia="宋体" w:cs="宋体"/>
      <w:color w:val="000000"/>
      <w:sz w:val="20"/>
      <w:szCs w:val="20"/>
      <w:u w:val="none"/>
    </w:rPr>
  </w:style>
  <w:style w:type="character" w:customStyle="1" w:styleId="33">
    <w:name w:val="font112"/>
    <w:basedOn w:val="16"/>
    <w:qFormat/>
    <w:uiPriority w:val="0"/>
    <w:rPr>
      <w:rFonts w:hint="eastAsia" w:ascii="宋体" w:hAnsi="宋体" w:eastAsia="宋体" w:cs="宋体"/>
      <w:color w:val="000000"/>
      <w:sz w:val="22"/>
      <w:szCs w:val="22"/>
      <w:u w:val="none"/>
    </w:rPr>
  </w:style>
  <w:style w:type="character" w:customStyle="1" w:styleId="34">
    <w:name w:val="font131"/>
    <w:basedOn w:val="16"/>
    <w:qFormat/>
    <w:uiPriority w:val="0"/>
    <w:rPr>
      <w:rFonts w:ascii="Cambria Math" w:hAnsi="Cambria Math" w:eastAsia="Cambria Math" w:cs="Cambria Math"/>
      <w:color w:val="000000"/>
      <w:sz w:val="22"/>
      <w:szCs w:val="22"/>
      <w:u w:val="none"/>
    </w:rPr>
  </w:style>
  <w:style w:type="character" w:customStyle="1" w:styleId="35">
    <w:name w:val="font111"/>
    <w:basedOn w:val="16"/>
    <w:qFormat/>
    <w:uiPriority w:val="0"/>
    <w:rPr>
      <w:rFonts w:hint="eastAsia" w:ascii="宋体-简" w:hAnsi="宋体-简" w:eastAsia="宋体-简" w:cs="宋体-简"/>
      <w:color w:val="000000"/>
      <w:sz w:val="24"/>
      <w:szCs w:val="24"/>
      <w:u w:val="none"/>
    </w:rPr>
  </w:style>
  <w:style w:type="character" w:customStyle="1" w:styleId="36">
    <w:name w:val="font122"/>
    <w:basedOn w:val="16"/>
    <w:qFormat/>
    <w:uiPriority w:val="0"/>
    <w:rPr>
      <w:rFonts w:ascii="宋体" w:hAnsi="宋体" w:eastAsia="宋体" w:cs="宋体"/>
      <w:color w:val="000000"/>
      <w:sz w:val="24"/>
      <w:szCs w:val="24"/>
      <w:u w:val="none"/>
    </w:rPr>
  </w:style>
  <w:style w:type="character" w:customStyle="1" w:styleId="37">
    <w:name w:val="fontstyle01"/>
    <w:qFormat/>
    <w:uiPriority w:val="0"/>
    <w:rPr>
      <w:rFonts w:ascii="仿宋_GB2312" w:hAnsi="仿宋_GB2312" w:eastAsia="仿宋_GB2312" w:cs="仿宋_GB2312"/>
      <w:color w:val="000000"/>
      <w:sz w:val="32"/>
      <w:szCs w:val="32"/>
    </w:rPr>
  </w:style>
  <w:style w:type="paragraph" w:customStyle="1" w:styleId="38">
    <w:name w:val="Char"/>
    <w:basedOn w:val="1"/>
    <w:qFormat/>
    <w:uiPriority w:val="99"/>
    <w:pPr>
      <w:widowControl/>
      <w:spacing w:after="160" w:line="240" w:lineRule="exact"/>
      <w:jc w:val="left"/>
    </w:p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Arial" w:hAnsi="Arial" w:eastAsia="Arial" w:cs="Arial"/>
      <w:sz w:val="13"/>
      <w:szCs w:val="13"/>
      <w:lang w:val="en-US" w:eastAsia="en-US" w:bidi="ar-SA"/>
    </w:rPr>
  </w:style>
  <w:style w:type="character" w:customStyle="1" w:styleId="41">
    <w:name w:val="font13"/>
    <w:basedOn w:val="16"/>
    <w:qFormat/>
    <w:uiPriority w:val="0"/>
    <w:rPr>
      <w:rFonts w:hint="default" w:ascii="Arial" w:hAnsi="Arial" w:cs="Arial"/>
      <w:color w:val="000000"/>
      <w:sz w:val="28"/>
      <w:szCs w:val="28"/>
      <w:u w:val="none"/>
    </w:rPr>
  </w:style>
  <w:style w:type="character" w:customStyle="1" w:styleId="42">
    <w:name w:val="font132"/>
    <w:basedOn w:val="16"/>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632</Words>
  <Characters>693</Characters>
  <Lines>39</Lines>
  <Paragraphs>11</Paragraphs>
  <TotalTime>1</TotalTime>
  <ScaleCrop>false</ScaleCrop>
  <LinksUpToDate>false</LinksUpToDate>
  <CharactersWithSpaces>695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2023-03-01T20:40:00Z</dcterms:created>
  <dc:creator>翘楚 李</dc:creator>
  <cp:lastModifiedBy>Administrator</cp:lastModifiedBy>
  <cp:lastPrinted>2025-03-21T12:14:00Z</cp:lastPrinted>
  <dcterms:modified xsi:type="dcterms:W3CDTF">2025-03-24T08:00:32Z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EC4C44CB41E74F10B4BCD840A74C356F_13</vt:lpwstr>
  </property>
  <property fmtid="{D5CDD505-2E9C-101B-9397-08002B2CF9AE}" pid="4" name="KSOTemplateDocerSaveRecord">
    <vt:lpwstr>eyJoZGlkIjoiODViY2JkMjU3NGYzZTEwMzZmMGFkZWViYmNkYWU3NDIiLCJ1c2VySWQiOiIyNTIyNjk5NzgifQ==</vt:lpwstr>
  </property>
</Properties>
</file>