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after="120" w:afterLines="0" w:afterAutospacing="0" w:line="560" w:lineRule="exact"/>
        <w:ind w:left="420" w:leftChars="200"/>
        <w:rPr>
          <w:rFonts w:hint="default" w:ascii="Calibri" w:hAnsi="Calibri" w:eastAsia="仿宋_GB2312" w:cs="Times New Roman"/>
          <w:sz w:val="32"/>
          <w:highlight w:val="none"/>
        </w:rPr>
      </w:pPr>
    </w:p>
    <w:p>
      <w:pPr>
        <w:pStyle w:val="4"/>
        <w:adjustRightInd w:val="0"/>
        <w:snapToGrid w:val="0"/>
        <w:spacing w:after="120" w:afterLines="0" w:afterAutospacing="0" w:line="560" w:lineRule="exact"/>
        <w:ind w:left="420" w:leftChars="200"/>
        <w:rPr>
          <w:rFonts w:hint="default" w:ascii="Calibri" w:hAnsi="Calibri" w:eastAsia="仿宋_GB2312" w:cs="Times New Roman"/>
          <w:sz w:val="32"/>
          <w:highlight w:val="none"/>
        </w:rPr>
      </w:pPr>
    </w:p>
    <w:p>
      <w:pPr>
        <w:pStyle w:val="4"/>
        <w:rPr>
          <w:rFonts w:hint="default"/>
          <w:highlight w:val="none"/>
        </w:rPr>
      </w:pPr>
    </w:p>
    <w:p>
      <w:pPr>
        <w:pStyle w:val="4"/>
        <w:rPr>
          <w:rFonts w:hint="default"/>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b w:val="0"/>
          <w:bCs w:val="0"/>
          <w:sz w:val="44"/>
          <w:szCs w:val="44"/>
          <w:highlight w:val="none"/>
          <w:lang w:eastAsia="zh-CN"/>
        </w:rPr>
      </w:pPr>
      <w:r>
        <w:rPr>
          <w:rFonts w:hint="default" w:ascii="Times New Roman" w:hAnsi="Times New Roman" w:eastAsia="方正小标宋_GBK" w:cs="Times New Roman"/>
          <w:b w:val="0"/>
          <w:bCs w:val="0"/>
          <w:sz w:val="44"/>
          <w:szCs w:val="44"/>
          <w:highlight w:val="none"/>
        </w:rPr>
        <w:t>新疆</w:t>
      </w:r>
      <w:r>
        <w:rPr>
          <w:rFonts w:hint="default" w:ascii="Times New Roman" w:hAnsi="Times New Roman" w:eastAsia="方正小标宋_GBK" w:cs="Times New Roman"/>
          <w:b w:val="0"/>
          <w:bCs w:val="0"/>
          <w:sz w:val="44"/>
          <w:szCs w:val="44"/>
          <w:highlight w:val="none"/>
          <w:lang w:eastAsia="zh-CN"/>
        </w:rPr>
        <w:t>维吾尔自治区</w:t>
      </w:r>
      <w:r>
        <w:rPr>
          <w:rFonts w:hint="default" w:ascii="Times New Roman" w:hAnsi="Times New Roman" w:eastAsia="方正小标宋_GBK" w:cs="Times New Roman"/>
          <w:b w:val="0"/>
          <w:bCs w:val="0"/>
          <w:sz w:val="44"/>
          <w:szCs w:val="44"/>
          <w:highlight w:val="none"/>
        </w:rPr>
        <w:t>中央专项</w:t>
      </w:r>
      <w:r>
        <w:rPr>
          <w:rFonts w:hint="eastAsia" w:ascii="Times New Roman" w:hAnsi="Times New Roman" w:eastAsia="方正小标宋_GBK" w:cs="Times New Roman"/>
          <w:b w:val="0"/>
          <w:bCs w:val="0"/>
          <w:sz w:val="44"/>
          <w:szCs w:val="44"/>
          <w:highlight w:val="none"/>
          <w:lang w:eastAsia="zh-CN"/>
        </w:rPr>
        <w:t>彩票公益金支持</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b w:val="0"/>
          <w:bCs w:val="0"/>
          <w:sz w:val="44"/>
          <w:szCs w:val="44"/>
          <w:highlight w:val="none"/>
          <w:lang w:eastAsia="zh-CN"/>
        </w:rPr>
      </w:pPr>
      <w:r>
        <w:rPr>
          <w:rFonts w:hint="eastAsia" w:ascii="Times New Roman" w:hAnsi="Times New Roman" w:eastAsia="方正小标宋_GBK" w:cs="Times New Roman"/>
          <w:b w:val="0"/>
          <w:bCs w:val="0"/>
          <w:sz w:val="44"/>
          <w:szCs w:val="44"/>
          <w:highlight w:val="none"/>
          <w:lang w:eastAsia="zh-CN"/>
        </w:rPr>
        <w:t>居家和社区基本养老服务提升行动项目</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宋体" w:hAnsi="宋体" w:eastAsia="宋体"/>
          <w:b/>
          <w:bCs/>
          <w:sz w:val="44"/>
          <w:szCs w:val="44"/>
          <w:highlight w:val="none"/>
        </w:rPr>
      </w:pPr>
      <w:r>
        <w:rPr>
          <w:rFonts w:hint="default" w:ascii="Times New Roman" w:hAnsi="Times New Roman" w:eastAsia="方正小标宋_GBK" w:cs="Times New Roman"/>
          <w:b w:val="0"/>
          <w:bCs w:val="0"/>
          <w:sz w:val="44"/>
          <w:szCs w:val="44"/>
          <w:highlight w:val="none"/>
        </w:rPr>
        <w:t>转移支付</w:t>
      </w:r>
      <w:r>
        <w:rPr>
          <w:rFonts w:hint="eastAsia" w:ascii="Times New Roman" w:hAnsi="Times New Roman" w:eastAsia="方正小标宋_GBK" w:cs="Times New Roman"/>
          <w:b w:val="0"/>
          <w:bCs w:val="0"/>
          <w:sz w:val="44"/>
          <w:szCs w:val="44"/>
          <w:highlight w:val="none"/>
          <w:lang w:val="en-US" w:eastAsia="zh-CN"/>
        </w:rPr>
        <w:t>2024年度</w:t>
      </w:r>
      <w:r>
        <w:rPr>
          <w:rFonts w:hint="default" w:ascii="Times New Roman" w:hAnsi="Times New Roman" w:eastAsia="方正小标宋_GBK" w:cs="Times New Roman"/>
          <w:b w:val="0"/>
          <w:bCs w:val="0"/>
          <w:sz w:val="44"/>
          <w:szCs w:val="44"/>
          <w:highlight w:val="none"/>
        </w:rPr>
        <w:t>绩效自评报告</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宋体" w:cs="Times New Roman"/>
          <w:sz w:val="24"/>
          <w:szCs w:val="24"/>
          <w:highlight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项目名称：中央专项彩票公益金支持居家和社区基本养老服务提升行动项目</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实施单位（公章）：各地民政部门</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主管部门（公章）：</w:t>
      </w:r>
      <w:r>
        <w:rPr>
          <w:rFonts w:hint="default" w:ascii="Times New Roman" w:hAnsi="Times New Roman" w:eastAsia="方正仿宋_GBK" w:cs="Times New Roman"/>
          <w:sz w:val="32"/>
          <w:szCs w:val="32"/>
          <w:highlight w:val="none"/>
          <w:lang w:eastAsia="zh-CN"/>
        </w:rPr>
        <w:t>自治区民政厅</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项目负责人（签章）：</w:t>
      </w:r>
      <w:r>
        <w:rPr>
          <w:rFonts w:hint="eastAsia" w:ascii="Times New Roman" w:hAnsi="Times New Roman" w:eastAsia="方正仿宋_GBK" w:cs="Times New Roman"/>
          <w:sz w:val="32"/>
          <w:szCs w:val="32"/>
          <w:highlight w:val="none"/>
          <w:lang w:eastAsia="zh-CN"/>
        </w:rPr>
        <w:t>黄春晓</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填报时间：</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28</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ascii="宋体" w:hAnsi="宋体" w:eastAsia="宋体"/>
          <w:sz w:val="32"/>
          <w:szCs w:val="32"/>
          <w:highlight w:val="none"/>
        </w:rPr>
      </w:pPr>
      <w:r>
        <w:rPr>
          <w:rFonts w:ascii="宋体" w:hAnsi="宋体" w:eastAsia="宋体"/>
          <w:sz w:val="32"/>
          <w:szCs w:val="32"/>
          <w:highlight w:val="none"/>
        </w:rPr>
        <w:br w:type="page"/>
      </w:r>
    </w:p>
    <w:p>
      <w:pPr>
        <w:pStyle w:val="4"/>
        <w:ind w:left="0" w:leftChars="0" w:firstLine="0" w:firstLineChars="0"/>
        <w:rPr>
          <w:rFonts w:hint="default"/>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0"/>
          <w:szCs w:val="40"/>
          <w:highlight w:val="none"/>
        </w:rPr>
      </w:pPr>
      <w:r>
        <w:rPr>
          <w:rFonts w:hint="default" w:ascii="Times New Roman" w:hAnsi="Times New Roman" w:eastAsia="方正小标宋_GBK" w:cs="Times New Roman"/>
          <w:b w:val="0"/>
          <w:bCs w:val="0"/>
          <w:sz w:val="44"/>
          <w:szCs w:val="44"/>
          <w:highlight w:val="none"/>
        </w:rPr>
        <w:t>新疆</w:t>
      </w:r>
      <w:r>
        <w:rPr>
          <w:rFonts w:hint="default" w:ascii="Times New Roman" w:hAnsi="Times New Roman" w:eastAsia="方正小标宋_GBK" w:cs="Times New Roman"/>
          <w:b w:val="0"/>
          <w:bCs w:val="0"/>
          <w:sz w:val="44"/>
          <w:szCs w:val="44"/>
          <w:highlight w:val="none"/>
          <w:lang w:eastAsia="zh-CN"/>
        </w:rPr>
        <w:t>维吾尔自治区</w:t>
      </w:r>
      <w:r>
        <w:rPr>
          <w:rFonts w:hint="default" w:ascii="Times New Roman" w:hAnsi="Times New Roman" w:eastAsia="方正小标宋_GBK" w:cs="Times New Roman"/>
          <w:b w:val="0"/>
          <w:bCs w:val="0"/>
          <w:sz w:val="40"/>
          <w:szCs w:val="40"/>
          <w:highlight w:val="none"/>
        </w:rPr>
        <w:t>中央专项</w:t>
      </w:r>
      <w:r>
        <w:rPr>
          <w:rFonts w:hint="default" w:ascii="Times New Roman" w:hAnsi="Times New Roman" w:eastAsia="方正小标宋_GBK" w:cs="Times New Roman"/>
          <w:b w:val="0"/>
          <w:bCs w:val="0"/>
          <w:sz w:val="40"/>
          <w:szCs w:val="40"/>
          <w:highlight w:val="none"/>
          <w:lang w:eastAsia="zh-CN"/>
        </w:rPr>
        <w:t>彩票公益金支持居家和社区基本养老服务提升行动项目</w:t>
      </w:r>
      <w:r>
        <w:rPr>
          <w:rFonts w:hint="default" w:ascii="Times New Roman" w:hAnsi="Times New Roman" w:eastAsia="方正小标宋_GBK" w:cs="Times New Roman"/>
          <w:b w:val="0"/>
          <w:bCs w:val="0"/>
          <w:sz w:val="40"/>
          <w:szCs w:val="40"/>
          <w:highlight w:val="none"/>
        </w:rPr>
        <w:t>转移支付</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0"/>
          <w:szCs w:val="40"/>
          <w:highlight w:val="none"/>
        </w:rPr>
      </w:pPr>
      <w:r>
        <w:rPr>
          <w:rFonts w:hint="default" w:ascii="Times New Roman" w:hAnsi="Times New Roman" w:eastAsia="方正小标宋_GBK" w:cs="Times New Roman"/>
          <w:b w:val="0"/>
          <w:bCs w:val="0"/>
          <w:sz w:val="40"/>
          <w:szCs w:val="40"/>
          <w:highlight w:val="none"/>
          <w:lang w:val="en-US" w:eastAsia="zh-CN"/>
        </w:rPr>
        <w:t>2024年度</w:t>
      </w:r>
      <w:r>
        <w:rPr>
          <w:rFonts w:hint="default" w:ascii="Times New Roman" w:hAnsi="Times New Roman" w:eastAsia="方正小标宋_GBK" w:cs="Times New Roman"/>
          <w:b w:val="0"/>
          <w:bCs w:val="0"/>
          <w:sz w:val="40"/>
          <w:szCs w:val="40"/>
          <w:highlight w:val="none"/>
        </w:rPr>
        <w:t>绩效自评报告</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宋体" w:hAnsi="宋体" w:eastAsia="宋体"/>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贯彻落实党中央全面实施预算绩效管理决策部署，根据《财政部关于开展2024年度中央对地方转移支付预算执行情况绩效自评工作的通知》（财监〔2025〕</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号），自治区民政厅高度重视，严格按规范要求组织开展了2024年度中央专项彩票公益金支持居家和社区基本养老服务提升行动项目资金绩效自评工作，现将自评情况报告如下</w:t>
      </w:r>
      <w:r>
        <w:rPr>
          <w:rFonts w:hint="default" w:ascii="Times New Roman" w:hAnsi="Times New Roman" w:eastAsia="方正仿宋_GBK" w:cs="Times New Roman"/>
          <w:sz w:val="32"/>
          <w:szCs w:val="32"/>
          <w:highlight w:val="none"/>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highlight w:val="none"/>
        </w:rPr>
      </w:pPr>
      <w:r>
        <w:rPr>
          <w:rFonts w:hint="default" w:ascii="Times New Roman" w:hAnsi="Times New Roman" w:eastAsia="方正黑体_GBK" w:cs="Times New Roman"/>
          <w:b w:val="0"/>
          <w:bCs w:val="0"/>
          <w:sz w:val="32"/>
          <w:szCs w:val="32"/>
          <w:highlight w:val="none"/>
          <w:lang w:eastAsia="zh-CN"/>
        </w:rPr>
        <w:t>一、</w:t>
      </w:r>
      <w:r>
        <w:rPr>
          <w:rFonts w:hint="default" w:ascii="Times New Roman" w:hAnsi="Times New Roman" w:eastAsia="方正黑体_GBK" w:cs="Times New Roman"/>
          <w:b w:val="0"/>
          <w:bCs w:val="0"/>
          <w:sz w:val="32"/>
          <w:szCs w:val="32"/>
          <w:highlight w:val="none"/>
        </w:rPr>
        <w:t>绩效目标分解下达情况</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eastAsia="zh-CN"/>
        </w:rPr>
        <w:t>（一）中央下达中央专项彩票公益金支持居家和社区基本养老服务提升行动项目转移支付预算和绩效目标</w:t>
      </w:r>
      <w:r>
        <w:rPr>
          <w:rFonts w:hint="default" w:ascii="Times New Roman" w:hAnsi="Times New Roman" w:eastAsia="方正楷体_GBK" w:cs="Times New Roman"/>
          <w:b/>
          <w:bCs/>
          <w:sz w:val="32"/>
          <w:szCs w:val="32"/>
          <w:highlight w:val="none"/>
        </w:rPr>
        <w:t>情况</w:t>
      </w: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1</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下达预算情况</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024年6月，《财政部 民政部关于下达2024年中央专项彩票公益金支持居家和社区基本养老服务提升行动项目资金预算的通知》（财社〔2024〕64号）下达中央专项彩票公益金支持居家和社区基本养老服务提升行动项目，资金1397万元，通过为经济困难的失能和部分失能老年人建设家庭养老床位、提供居家养老上门服务，支持街道（乡镇）层面老年助餐添置更新设施设备，提升居家社区养老服务便捷性、可及性。</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lang w:val="en-US" w:eastAsia="zh-CN"/>
        </w:rPr>
        <w:t>2.</w:t>
      </w:r>
      <w:r>
        <w:rPr>
          <w:rFonts w:hint="default" w:ascii="Times New Roman" w:hAnsi="Times New Roman" w:eastAsia="方正仿宋_GBK" w:cs="Times New Roman"/>
          <w:b/>
          <w:bCs/>
          <w:sz w:val="32"/>
          <w:szCs w:val="32"/>
          <w:highlight w:val="none"/>
        </w:rPr>
        <w:t>下达绩效目标情况</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sz w:val="32"/>
          <w:szCs w:val="32"/>
          <w:highlight w:val="none"/>
        </w:rPr>
        <w:t>财政部随文下达新疆区域绩效目标，情况详见下表：</w:t>
      </w:r>
    </w:p>
    <w:tbl>
      <w:tblPr>
        <w:tblStyle w:val="10"/>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
        <w:gridCol w:w="966"/>
        <w:gridCol w:w="1269"/>
        <w:gridCol w:w="1550"/>
        <w:gridCol w:w="2267"/>
        <w:gridCol w:w="2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96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960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项目名称</w:t>
            </w:r>
          </w:p>
        </w:tc>
        <w:tc>
          <w:tcPr>
            <w:tcW w:w="7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6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9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其中：中央财政补助</w:t>
            </w:r>
          </w:p>
        </w:tc>
        <w:tc>
          <w:tcPr>
            <w:tcW w:w="4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地方资金</w:t>
            </w:r>
          </w:p>
        </w:tc>
        <w:tc>
          <w:tcPr>
            <w:tcW w:w="4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863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3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绩效指标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二级指标</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三级指标</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产出指标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数量指标</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家庭养老床位建设补贴张数</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≥652张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上门服务数量（失能部分失能老年人）</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≥1222人次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≥443个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质量指标</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时效指标</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18"/>
                <w:szCs w:val="18"/>
                <w:u w:val="none"/>
                <w:lang w:eastAsia="zh-CN"/>
              </w:rPr>
              <w:t>省级财政在收到资金下发试点地区财政部门时间</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≥90%</w:t>
            </w:r>
          </w:p>
        </w:tc>
      </w:tr>
    </w:tbl>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sectPr>
          <w:footerReference r:id="rId3" w:type="default"/>
          <w:pgSz w:w="11906" w:h="16838"/>
          <w:pgMar w:top="2098" w:right="1531" w:bottom="1984" w:left="1531" w:header="851" w:footer="992" w:gutter="0"/>
          <w:pgNumType w:fmt="numberInDash"/>
          <w:cols w:space="425" w:num="1"/>
          <w:docGrid w:type="lines" w:linePitch="312" w:charSpace="0"/>
        </w:sectPr>
      </w:pP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default" w:ascii="Times New Roman" w:hAnsi="Times New Roman" w:eastAsia="方正楷体_GBK" w:cs="Times New Roman"/>
          <w:b/>
          <w:bCs/>
          <w:sz w:val="32"/>
          <w:szCs w:val="32"/>
          <w:highlight w:val="none"/>
        </w:rPr>
        <w:t>（二）地州（市）资金安排、分解下达预算和绩效目标情况。</w:t>
      </w: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1</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自治区分解下达预算情况</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2024年7月，自治区财政厅、民政厅《关于下达2024年中央专项彩票公益金支持居家和社区基本养老服务提升行动项目资金预算的通知》（新财社〔2024〕58号）下达中央专项彩票公益金支持居家和社区基本养老服务提升行动项目，资金1397万元。资金分解如下</w:t>
      </w:r>
      <w:r>
        <w:rPr>
          <w:rFonts w:hint="eastAsia" w:ascii="Times New Roman" w:hAnsi="Times New Roman" w:eastAsia="方正仿宋_GBK" w:cs="Times New Roman"/>
          <w:sz w:val="32"/>
          <w:szCs w:val="32"/>
          <w:highlight w:val="none"/>
          <w:lang w:eastAsia="zh-CN"/>
        </w:rPr>
        <w:t>：</w:t>
      </w:r>
    </w:p>
    <w:p>
      <w:pPr>
        <w:keepNext w:val="0"/>
        <w:keepLines w:val="0"/>
        <w:pageBreakBefore w:val="0"/>
        <w:widowControl w:val="0"/>
        <w:kinsoku/>
        <w:wordWrap w:val="0"/>
        <w:overflowPunct/>
        <w:topLinePunct/>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2024年中央专项彩票公益金支持居家和社区基本养老服务提升行动项目资金分配表1-1</w:t>
      </w:r>
    </w:p>
    <w:tbl>
      <w:tblPr>
        <w:tblStyle w:val="11"/>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510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序号</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地区</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分配金额（万元）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1</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乌鲁木齐市</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2</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伊犁哈萨克自治州</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3</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塔城地区</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4</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阿勒泰地区</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eastAsia"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5</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eastAsia"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克拉玛依市</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6</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博尔塔拉蒙古自治州</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7</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昌吉回族自治州</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8</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哈密市</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9</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吐鲁番市</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10</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巴音郭楞蒙古自治州</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11</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阿克苏地区</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12</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克孜勒苏柯尔克孜自治州</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13</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喀什地区</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74"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rightChars="0"/>
              <w:jc w:val="center"/>
              <w:textAlignment w:val="auto"/>
              <w:rPr>
                <w:rFonts w:hint="default" w:ascii="Times New Roman" w:hAnsi="Times New Roman" w:eastAsia="方正仿宋_GBK" w:cs="Times New Roman"/>
                <w:color w:val="auto"/>
                <w:kern w:val="2"/>
                <w:sz w:val="24"/>
                <w:szCs w:val="24"/>
                <w:highlight w:val="none"/>
                <w:u w:val="none"/>
                <w:vertAlign w:val="baseline"/>
                <w:lang w:val="en-US" w:eastAsia="zh-CN" w:bidi="ar-SA"/>
              </w:rPr>
            </w:pPr>
            <w:r>
              <w:rPr>
                <w:rFonts w:hint="eastAsia" w:ascii="Times New Roman" w:hAnsi="Times New Roman" w:eastAsia="方正仿宋_GBK" w:cs="Times New Roman"/>
                <w:color w:val="auto"/>
                <w:sz w:val="24"/>
                <w:szCs w:val="24"/>
                <w:highlight w:val="none"/>
                <w:u w:val="none"/>
                <w:vertAlign w:val="baseline"/>
                <w:lang w:val="en-US" w:eastAsia="zh-CN"/>
              </w:rPr>
              <w:t>14</w:t>
            </w:r>
          </w:p>
        </w:tc>
        <w:tc>
          <w:tcPr>
            <w:tcW w:w="5100"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eastAsia" w:ascii="Times New Roman" w:hAnsi="Times New Roman" w:eastAsia="方正仿宋_GBK" w:cs="Times New Roman"/>
                <w:color w:val="auto"/>
                <w:sz w:val="24"/>
                <w:szCs w:val="24"/>
                <w:highlight w:val="none"/>
                <w:u w:val="none"/>
                <w:vertAlign w:val="baseline"/>
                <w:lang w:val="en-US" w:eastAsia="zh-CN"/>
              </w:rPr>
              <w:t>和田地区</w:t>
            </w:r>
          </w:p>
        </w:tc>
        <w:tc>
          <w:tcPr>
            <w:tcW w:w="1905" w:type="dxa"/>
            <w:vAlign w:val="top"/>
          </w:tcPr>
          <w:p>
            <w:pPr>
              <w:keepNext w:val="0"/>
              <w:keepLines w:val="0"/>
              <w:pageBreakBefore w:val="0"/>
              <w:widowControl w:val="0"/>
              <w:kinsoku/>
              <w:wordWrap w:val="0"/>
              <w:overflowPunct/>
              <w:topLinePunct/>
              <w:autoSpaceDE/>
              <w:autoSpaceDN/>
              <w:bidi w:val="0"/>
              <w:adjustRightInd/>
              <w:snapToGrid/>
              <w:spacing w:line="420" w:lineRule="exact"/>
              <w:ind w:right="0"/>
              <w:jc w:val="center"/>
              <w:textAlignment w:val="auto"/>
              <w:rPr>
                <w:rFonts w:hint="default" w:ascii="Times New Roman" w:hAnsi="Times New Roman" w:eastAsia="方正仿宋_GBK" w:cs="Times New Roman"/>
                <w:color w:val="auto"/>
                <w:sz w:val="24"/>
                <w:szCs w:val="24"/>
                <w:highlight w:val="none"/>
                <w:u w:val="none"/>
                <w:vertAlign w:val="baseline"/>
                <w:lang w:val="en-US" w:eastAsia="zh-CN"/>
              </w:rPr>
            </w:pPr>
            <w:r>
              <w:rPr>
                <w:rFonts w:hint="default" w:ascii="Times New Roman" w:hAnsi="Times New Roman" w:eastAsia="方正仿宋_GBK" w:cs="Times New Roman"/>
                <w:color w:val="auto"/>
                <w:sz w:val="24"/>
                <w:szCs w:val="24"/>
                <w:highlight w:val="none"/>
                <w:u w:val="none"/>
                <w:vertAlign w:val="baseline"/>
                <w:lang w:val="en-US" w:eastAsia="zh-CN"/>
              </w:rPr>
              <w:t>115</w:t>
            </w:r>
          </w:p>
        </w:tc>
      </w:tr>
    </w:tbl>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kern w:val="0"/>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kern w:val="0"/>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FF0000"/>
          <w:kern w:val="0"/>
          <w:sz w:val="32"/>
          <w:szCs w:val="32"/>
          <w:highlight w:val="none"/>
        </w:rPr>
      </w:pPr>
      <w:r>
        <w:rPr>
          <w:rFonts w:hint="default" w:ascii="Times New Roman" w:hAnsi="Times New Roman" w:eastAsia="方正仿宋_GBK" w:cs="Times New Roman"/>
          <w:b/>
          <w:bCs/>
          <w:kern w:val="0"/>
          <w:sz w:val="32"/>
          <w:szCs w:val="32"/>
          <w:highlight w:val="none"/>
        </w:rPr>
        <w:t>2</w:t>
      </w:r>
      <w:r>
        <w:rPr>
          <w:rFonts w:hint="default" w:ascii="Times New Roman" w:hAnsi="Times New Roman" w:eastAsia="方正仿宋_GBK" w:cs="Times New Roman"/>
          <w:b/>
          <w:bCs/>
          <w:kern w:val="0"/>
          <w:sz w:val="32"/>
          <w:szCs w:val="32"/>
          <w:highlight w:val="none"/>
          <w:lang w:eastAsia="zh-CN"/>
        </w:rPr>
        <w:t>.</w:t>
      </w:r>
      <w:r>
        <w:rPr>
          <w:rFonts w:hint="default" w:ascii="Times New Roman" w:hAnsi="Times New Roman" w:eastAsia="方正仿宋_GBK" w:cs="Times New Roman"/>
          <w:b/>
          <w:bCs/>
          <w:kern w:val="0"/>
          <w:sz w:val="32"/>
          <w:szCs w:val="32"/>
          <w:highlight w:val="none"/>
        </w:rPr>
        <w:t>自治区分解下达绩效目标情况</w:t>
      </w:r>
    </w:p>
    <w:tbl>
      <w:tblPr>
        <w:tblStyle w:val="10"/>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900"/>
        <w:gridCol w:w="1181"/>
        <w:gridCol w:w="1442"/>
        <w:gridCol w:w="2110"/>
        <w:gridCol w:w="2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2" w:hRule="atLeast"/>
          <w:jc w:val="center"/>
        </w:trPr>
        <w:tc>
          <w:tcPr>
            <w:tcW w:w="8940" w:type="dxa"/>
            <w:gridSpan w:val="6"/>
            <w:tcBorders>
              <w:top w:val="nil"/>
              <w:left w:val="nil"/>
              <w:bottom w:val="nil"/>
              <w:right w:val="nil"/>
            </w:tcBorders>
            <w:shd w:val="clear" w:color="auto" w:fill="auto"/>
            <w:vAlign w:val="center"/>
          </w:tcPr>
          <w:p>
            <w:pPr>
              <w:pStyle w:val="4"/>
              <w:rPr>
                <w:rFonts w:hint="eastAsia"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lang w:eastAsia="zh-CN"/>
              </w:rPr>
              <w:t>严格按照自治区财政厅下达的资金文件确定的绩效目标，对各地资金的分配主要依据任务特点进行合理的安排，根据《关于下达2024年中央专项彩票公益金支持居家和社区基本养老服务提升行动项目资金预算的通知》（新财社〔2024〕58号），绩效目标详见下表</w:t>
            </w:r>
            <w:r>
              <w:rPr>
                <w:rFonts w:hint="eastAsia" w:ascii="Times New Roman" w:hAnsi="Times New Roman" w:eastAsia="方正仿宋_GBK" w:cs="Times New Roman"/>
                <w:kern w:val="0"/>
                <w:sz w:val="32"/>
                <w:szCs w:val="32"/>
                <w:highlight w:val="none"/>
                <w:lang w:eastAsia="zh-CN"/>
              </w:rPr>
              <w:t>：</w:t>
            </w:r>
          </w:p>
          <w:p>
            <w:pPr>
              <w:pStyle w:val="4"/>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894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1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804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4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家庭养老床位建设补贴张数</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上门服务数量（失能部分失能老年人）</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rFonts w:hint="eastAsia" w:ascii="宋体" w:hAnsi="宋体" w:eastAsia="宋体"/>
          <w:sz w:val="18"/>
          <w:szCs w:val="18"/>
        </w:rPr>
      </w:pPr>
      <w:r>
        <w:rPr>
          <w:rFonts w:hint="eastAsia" w:ascii="宋体" w:hAnsi="宋体" w:eastAsia="宋体"/>
          <w:sz w:val="18"/>
          <w:szCs w:val="18"/>
        </w:rPr>
        <w:br w:type="page"/>
      </w:r>
    </w:p>
    <w:tbl>
      <w:tblPr>
        <w:tblStyle w:val="10"/>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926"/>
        <w:gridCol w:w="1219"/>
        <w:gridCol w:w="1485"/>
        <w:gridCol w:w="2371"/>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0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00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乌鲁木齐市）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80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8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867"/>
        <w:gridCol w:w="1141"/>
        <w:gridCol w:w="1389"/>
        <w:gridCol w:w="2219"/>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2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2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伊犁州）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55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5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rFonts w:ascii="宋体" w:hAnsi="宋体" w:eastAsia="宋体"/>
          <w:b/>
          <w:bCs/>
          <w:sz w:val="18"/>
          <w:szCs w:val="18"/>
        </w:rPr>
      </w:pPr>
      <w:r>
        <w:rPr>
          <w:rFonts w:ascii="宋体" w:hAnsi="宋体" w:eastAsia="宋体"/>
          <w:b/>
          <w:bCs/>
          <w:sz w:val="18"/>
          <w:szCs w:val="18"/>
        </w:rPr>
        <w:br w:type="page"/>
      </w:r>
    </w:p>
    <w:tbl>
      <w:tblPr>
        <w:tblStyle w:val="10"/>
        <w:tblW w:w="8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881"/>
        <w:gridCol w:w="1159"/>
        <w:gridCol w:w="1413"/>
        <w:gridCol w:w="2256"/>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6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6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917"/>
        <w:gridCol w:w="1204"/>
        <w:gridCol w:w="1469"/>
        <w:gridCol w:w="2345"/>
        <w:gridCol w:w="2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89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90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阿勒泰地区）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98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8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891"/>
        <w:gridCol w:w="1172"/>
        <w:gridCol w:w="1429"/>
        <w:gridCol w:w="2282"/>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jc w:val="center"/>
        </w:trPr>
        <w:tc>
          <w:tcPr>
            <w:tcW w:w="86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jc w:val="center"/>
        </w:trPr>
        <w:tc>
          <w:tcPr>
            <w:tcW w:w="866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克拉玛依市）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77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jc w:val="center"/>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906"/>
        <w:gridCol w:w="1191"/>
        <w:gridCol w:w="1452"/>
        <w:gridCol w:w="2319"/>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88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880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9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1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89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9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8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891"/>
        <w:gridCol w:w="1172"/>
        <w:gridCol w:w="1430"/>
        <w:gridCol w:w="2282"/>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86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866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昌吉州）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17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17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17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77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家庭养老床位建设补贴张数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上门服务数量（失能部分失能老年人）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≥1222人次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8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46"/>
        <w:gridCol w:w="1095"/>
        <w:gridCol w:w="1238"/>
        <w:gridCol w:w="220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73"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73"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吐鲁番市）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54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p>
    <w:p>
      <w:pPr>
        <w:rPr>
          <w:sz w:val="18"/>
          <w:szCs w:val="18"/>
        </w:rPr>
      </w:pPr>
      <w:r>
        <w:rPr>
          <w:sz w:val="18"/>
          <w:szCs w:val="18"/>
        </w:rPr>
        <w:br w:type="page"/>
      </w:r>
    </w:p>
    <w:p/>
    <w:tbl>
      <w:tblPr>
        <w:tblStyle w:val="10"/>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4"/>
        <w:gridCol w:w="983"/>
        <w:gridCol w:w="1112"/>
        <w:gridCol w:w="1451"/>
        <w:gridCol w:w="2316"/>
        <w:gridCol w:w="2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8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8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6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88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8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9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980"/>
        <w:gridCol w:w="1290"/>
        <w:gridCol w:w="1571"/>
        <w:gridCol w:w="2509"/>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952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952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阿克苏地区）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9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9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19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85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9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7"/>
        <w:gridCol w:w="978"/>
        <w:gridCol w:w="1287"/>
        <w:gridCol w:w="1568"/>
        <w:gridCol w:w="2504"/>
        <w:gridCol w:w="2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95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950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克州）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5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5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9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1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852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2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961"/>
        <w:gridCol w:w="1265"/>
        <w:gridCol w:w="1542"/>
        <w:gridCol w:w="2462"/>
        <w:gridCol w:w="2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93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934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喀什地区）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4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4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1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837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7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rPr>
          <w:sz w:val="18"/>
          <w:szCs w:val="18"/>
        </w:rPr>
      </w:pPr>
      <w:r>
        <w:rPr>
          <w:sz w:val="18"/>
          <w:szCs w:val="18"/>
        </w:rPr>
        <w:br w:type="page"/>
      </w:r>
    </w:p>
    <w:tbl>
      <w:tblPr>
        <w:tblStyle w:val="10"/>
        <w:tblW w:w="9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1"/>
        <w:gridCol w:w="971"/>
        <w:gridCol w:w="1279"/>
        <w:gridCol w:w="1558"/>
        <w:gridCol w:w="2488"/>
        <w:gridCol w:w="2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94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44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 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4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74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省级财政部门</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新疆维吾尔自治区财政厅</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省级主管部门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19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下达总金额</w:t>
            </w:r>
          </w:p>
        </w:tc>
        <w:tc>
          <w:tcPr>
            <w:tcW w:w="4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9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其中：中央财政补助</w:t>
            </w:r>
          </w:p>
        </w:tc>
        <w:tc>
          <w:tcPr>
            <w:tcW w:w="4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9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地方资金</w:t>
            </w:r>
          </w:p>
        </w:tc>
        <w:tc>
          <w:tcPr>
            <w:tcW w:w="4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846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数量指标</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向本行政区域各县级财政部门下达中央财政补助资金时间</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老年助餐点补助标准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居家和社区养老服务能力和品质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提升老年助餐点设施设备配置服务保障能力和水平</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受益家庭和老年人对居家社区养老服务的满意度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pPr>
        <w:pStyle w:val="4"/>
        <w:ind w:left="0" w:leftChars="0" w:firstLine="0" w:firstLineChars="0"/>
        <w:rPr>
          <w:rFonts w:hint="default"/>
        </w:rPr>
      </w:pP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highlight w:val="none"/>
        </w:rPr>
      </w:pPr>
      <w:r>
        <w:rPr>
          <w:rFonts w:hint="default" w:ascii="Times New Roman" w:hAnsi="Times New Roman" w:eastAsia="方正黑体_GBK" w:cs="Times New Roman"/>
          <w:b w:val="0"/>
          <w:bCs w:val="0"/>
          <w:sz w:val="32"/>
          <w:szCs w:val="32"/>
          <w:highlight w:val="none"/>
        </w:rPr>
        <w:t>二、绩效目标完成情况分析</w:t>
      </w: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（一）资金投入情况分析</w:t>
      </w: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1</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项目资金到位情况分析</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2024年度下达中央专项彩票公益金支持居家和社区基本养老服务提升行动项目总预算资金为1397万元，资金到位1397万元，到位率100%。</w:t>
      </w: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2</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项目资金执行情况分析</w:t>
      </w:r>
    </w:p>
    <w:p>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截止到2024年12月31日，2024年度用于中央专项彩票公益金支持居家和社区基本养老服务提升行动项目的资金总计1397万元、共计执行862.304万元，执行率61.73%，具体如下：</w:t>
      </w:r>
    </w:p>
    <w:tbl>
      <w:tblPr>
        <w:tblStyle w:val="10"/>
        <w:tblW w:w="8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013"/>
        <w:gridCol w:w="1581"/>
        <w:gridCol w:w="1742"/>
        <w:gridCol w:w="2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地区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分配金额（万元）</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资金执行（万元）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862.304 </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乌鲁木齐市</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伊犁哈萨克自治州</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塔城地区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阿勒泰地区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48.9865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克拉玛依市</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博尔塔拉蒙古自治州</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昌吉回族自治州</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454.348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吐鲁番市</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巴音郭楞蒙古自治州</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阿克苏地区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克孜勒苏柯尔克孜自治州</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喀什地区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和田地区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55.949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48.65%</w:t>
            </w:r>
          </w:p>
        </w:tc>
      </w:tr>
    </w:tbl>
    <w:p>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bCs/>
          <w:sz w:val="32"/>
          <w:szCs w:val="32"/>
          <w:highlight w:val="none"/>
        </w:rPr>
        <w:t>项目资金管理情况分析</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项目实施过程中，持续</w:t>
      </w:r>
      <w:r>
        <w:rPr>
          <w:rFonts w:hint="default" w:ascii="Times New Roman" w:hAnsi="Times New Roman" w:eastAsia="方正仿宋_GBK" w:cs="Times New Roman"/>
          <w:color w:val="auto"/>
          <w:kern w:val="2"/>
          <w:sz w:val="32"/>
          <w:szCs w:val="32"/>
          <w:highlight w:val="none"/>
          <w:lang w:val="en-US" w:eastAsia="zh-CN" w:bidi="ar-SA"/>
        </w:rPr>
        <w:t>加强</w:t>
      </w:r>
      <w:r>
        <w:rPr>
          <w:rFonts w:hint="eastAsia" w:ascii="Times New Roman" w:hAnsi="Times New Roman" w:eastAsia="方正仿宋_GBK" w:cs="Times New Roman"/>
          <w:color w:val="auto"/>
          <w:kern w:val="2"/>
          <w:sz w:val="32"/>
          <w:szCs w:val="32"/>
          <w:highlight w:val="none"/>
          <w:lang w:val="en-US" w:eastAsia="zh-CN" w:bidi="ar-SA"/>
        </w:rPr>
        <w:t>对各地项目</w:t>
      </w:r>
      <w:r>
        <w:rPr>
          <w:rFonts w:hint="default" w:ascii="Times New Roman" w:hAnsi="Times New Roman" w:eastAsia="方正仿宋_GBK" w:cs="Times New Roman"/>
          <w:color w:val="auto"/>
          <w:kern w:val="2"/>
          <w:sz w:val="32"/>
          <w:szCs w:val="32"/>
          <w:highlight w:val="none"/>
          <w:lang w:val="en-US" w:eastAsia="zh-CN" w:bidi="ar-SA"/>
        </w:rPr>
        <w:t>工作调度、资金监管、监督检查。总体来看，本项目资金的整体管理水平好，做到了专款专用、及时拨付、规范支付，保障专项资金支付需求，确保</w:t>
      </w:r>
      <w:r>
        <w:rPr>
          <w:rFonts w:hint="eastAsia" w:ascii="Times New Roman" w:hAnsi="Times New Roman" w:eastAsia="方正仿宋_GBK" w:cs="Times New Roman"/>
          <w:color w:val="auto"/>
          <w:kern w:val="2"/>
          <w:sz w:val="32"/>
          <w:szCs w:val="32"/>
          <w:highlight w:val="none"/>
          <w:lang w:val="en-US" w:eastAsia="zh-CN" w:bidi="ar-SA"/>
        </w:rPr>
        <w:t>了</w:t>
      </w:r>
      <w:r>
        <w:rPr>
          <w:rFonts w:hint="default" w:ascii="Times New Roman" w:hAnsi="Times New Roman" w:eastAsia="方正仿宋_GBK" w:cs="Times New Roman"/>
          <w:color w:val="auto"/>
          <w:kern w:val="2"/>
          <w:sz w:val="32"/>
          <w:szCs w:val="32"/>
          <w:highlight w:val="none"/>
          <w:lang w:val="en-US" w:eastAsia="zh-CN" w:bidi="ar-SA"/>
        </w:rPr>
        <w:t>该项目顺利实施。</w:t>
      </w:r>
    </w:p>
    <w:p>
      <w:pPr>
        <w:pStyle w:val="27"/>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w:t>
      </w:r>
      <w:r>
        <w:rPr>
          <w:rFonts w:hint="eastAsia"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b/>
          <w:bCs/>
          <w:color w:val="auto"/>
          <w:kern w:val="2"/>
          <w:sz w:val="32"/>
          <w:szCs w:val="32"/>
          <w:highlight w:val="none"/>
          <w:lang w:val="en-US" w:eastAsia="zh-CN" w:bidi="ar-SA"/>
        </w:rPr>
        <w:t>资金分配科学性</w:t>
      </w:r>
      <w:r>
        <w:rPr>
          <w:rFonts w:hint="eastAsia" w:ascii="Times New Roman" w:hAnsi="Times New Roman" w:eastAsia="方正仿宋_GBK" w:cs="Times New Roman"/>
          <w:b/>
          <w:bCs/>
          <w:color w:val="auto"/>
          <w:kern w:val="2"/>
          <w:sz w:val="32"/>
          <w:szCs w:val="32"/>
          <w:highlight w:val="none"/>
          <w:lang w:val="en-US" w:eastAsia="zh-CN" w:bidi="ar-SA"/>
        </w:rPr>
        <w:t>。</w:t>
      </w:r>
    </w:p>
    <w:p>
      <w:pPr>
        <w:pStyle w:val="27"/>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我区资金分配严格按照转移支付管理制度以及资金管理办法规定的范围和标准进行，提出科学合理的分配方案报同级财政部门审核并及时拨付资金</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家庭床位建设和居家上门服务按照民政部、财政部下达资金733万元直接分配至项目试点地区昌吉州；老年助餐经费664万元</w:t>
      </w:r>
      <w:r>
        <w:rPr>
          <w:rFonts w:hint="eastAsia" w:ascii="Times New Roman" w:hAnsi="Times New Roman" w:eastAsia="方正仿宋_GBK" w:cs="Times New Roman"/>
          <w:b w:val="0"/>
          <w:bCs w:val="0"/>
          <w:color w:val="auto"/>
          <w:kern w:val="2"/>
          <w:sz w:val="32"/>
          <w:szCs w:val="32"/>
          <w:lang w:val="en-US" w:eastAsia="zh-CN" w:bidi="ar-SA"/>
        </w:rPr>
        <w:t>，添置</w:t>
      </w:r>
      <w:r>
        <w:rPr>
          <w:rFonts w:hint="default" w:ascii="Times New Roman" w:hAnsi="Times New Roman" w:eastAsia="方正仿宋_GBK" w:cs="Times New Roman"/>
          <w:b w:val="0"/>
          <w:bCs w:val="0"/>
          <w:color w:val="auto"/>
          <w:kern w:val="2"/>
          <w:sz w:val="32"/>
          <w:szCs w:val="32"/>
          <w:lang w:val="en-US" w:eastAsia="zh-CN" w:bidi="ar-SA"/>
        </w:rPr>
        <w:t>更新设施设备的街道（乡镇）层面老年助餐点数量指标为443个，每个点位平均补助标准1.5万元</w:t>
      </w:r>
      <w:r>
        <w:rPr>
          <w:rFonts w:hint="eastAsia" w:ascii="Times New Roman" w:hAnsi="Times New Roman" w:eastAsia="方正仿宋_GBK" w:cs="Times New Roman"/>
          <w:b w:val="0"/>
          <w:bCs w:val="0"/>
          <w:color w:val="auto"/>
          <w:kern w:val="2"/>
          <w:sz w:val="32"/>
          <w:szCs w:val="32"/>
          <w:lang w:val="en-US" w:eastAsia="zh-CN" w:bidi="ar-SA"/>
        </w:rPr>
        <w:t>，按照各地申请点位数占全区申请总点位数比例对443个指标任务进行分配，点位分配后按照每个点位1.5万元进行资金测算取整，分配到各地州市</w:t>
      </w:r>
      <w:r>
        <w:rPr>
          <w:rFonts w:hint="default" w:ascii="Times New Roman" w:hAnsi="Times New Roman" w:eastAsia="方正仿宋_GBK" w:cs="Times New Roman"/>
          <w:b w:val="0"/>
          <w:bCs w:val="0"/>
          <w:color w:val="auto"/>
          <w:kern w:val="2"/>
          <w:sz w:val="32"/>
          <w:szCs w:val="32"/>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left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2.资金</w:t>
      </w:r>
      <w:r>
        <w:rPr>
          <w:rFonts w:hint="default" w:ascii="Times New Roman" w:hAnsi="Times New Roman" w:eastAsia="方正仿宋_GBK" w:cs="Times New Roman"/>
          <w:b/>
          <w:bCs/>
          <w:color w:val="auto"/>
          <w:kern w:val="2"/>
          <w:sz w:val="32"/>
          <w:szCs w:val="32"/>
          <w:highlight w:val="none"/>
          <w:lang w:val="en-US" w:eastAsia="zh-CN" w:bidi="ar-SA"/>
        </w:rPr>
        <w:t>下达及时性</w:t>
      </w:r>
      <w:r>
        <w:rPr>
          <w:rFonts w:hint="eastAsia" w:ascii="Times New Roman" w:hAnsi="Times New Roman" w:eastAsia="方正仿宋_GBK" w:cs="Times New Roman"/>
          <w:b/>
          <w:bCs/>
          <w:color w:val="auto"/>
          <w:kern w:val="2"/>
          <w:sz w:val="32"/>
          <w:szCs w:val="32"/>
          <w:highlight w:val="none"/>
          <w:lang w:val="en-US" w:eastAsia="zh-CN" w:bidi="ar-SA"/>
        </w:rPr>
        <w:t xml:space="preserve">。                             </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严格按照预算法及《彩票公益金管理办法》（财综〔2021〕18号）规定的时限要求分解下达。2024年收到中央下达资金文件后，及时与财政部门对接，形成资金申请文件，由自治区财政厅报自治区人民政府审定同意后，自治区财政厅、民政厅会签，联合将拨款文件和项目预算在规定30日内分解下达至各地州市。</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leftChars="200" w:firstLine="321" w:firstLineChars="1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3.资金</w:t>
      </w:r>
      <w:r>
        <w:rPr>
          <w:rFonts w:hint="default" w:ascii="Times New Roman" w:hAnsi="Times New Roman" w:eastAsia="方正仿宋_GBK" w:cs="Times New Roman"/>
          <w:b/>
          <w:bCs/>
          <w:color w:val="auto"/>
          <w:kern w:val="2"/>
          <w:sz w:val="32"/>
          <w:szCs w:val="32"/>
          <w:highlight w:val="none"/>
          <w:lang w:val="en-US" w:eastAsia="zh-CN" w:bidi="ar-SA"/>
        </w:rPr>
        <w:t>拨付合规性</w:t>
      </w:r>
      <w:r>
        <w:rPr>
          <w:rFonts w:hint="eastAsia" w:ascii="Times New Roman" w:hAnsi="Times New Roman" w:eastAsia="方正仿宋_GBK" w:cs="Times New Roman"/>
          <w:b/>
          <w:bCs/>
          <w:color w:val="auto"/>
          <w:kern w:val="2"/>
          <w:sz w:val="32"/>
          <w:szCs w:val="32"/>
          <w:highlight w:val="none"/>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sz w:val="32"/>
          <w:szCs w:val="32"/>
          <w:highlight w:val="none"/>
          <w:lang w:val="en-US" w:eastAsia="zh-CN"/>
        </w:rPr>
        <w:t>按</w:t>
      </w:r>
      <w:r>
        <w:rPr>
          <w:rFonts w:hint="eastAsia" w:ascii="Times New Roman" w:hAnsi="Times New Roman" w:eastAsia="方正仿宋_GBK" w:cs="Times New Roman"/>
          <w:color w:val="auto"/>
          <w:kern w:val="2"/>
          <w:sz w:val="32"/>
          <w:szCs w:val="32"/>
          <w:highlight w:val="none"/>
          <w:lang w:val="en-US" w:eastAsia="zh-CN" w:bidi="ar-SA"/>
        </w:rPr>
        <w:t>照《中央对地方专项转移支付管理办法》（财预〔2015〕230号）、《中央专项彩票公益金支持居家和社区基本养老服务提升行动项目资金管理办法》（财社〔2024〕61号）等文件拨付资金，按照下达资金和项目内容等进行资金分配和拨付，经厅党组会研究后报财政部门审核，未出现将资金从国库转入财政专户或支付到预算单位实有资金账户等问题，资金拨付合规</w:t>
      </w:r>
      <w:r>
        <w:rPr>
          <w:rFonts w:hint="default" w:ascii="Times New Roman" w:hAnsi="Times New Roman" w:eastAsia="方正仿宋_GBK" w:cs="Times New Roman"/>
          <w:color w:val="auto"/>
          <w:kern w:val="2"/>
          <w:sz w:val="32"/>
          <w:szCs w:val="32"/>
          <w:highlight w:val="none"/>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leftChars="200" w:firstLine="321" w:firstLineChars="1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4.资金</w:t>
      </w:r>
      <w:r>
        <w:rPr>
          <w:rFonts w:hint="default" w:ascii="Times New Roman" w:hAnsi="Times New Roman" w:eastAsia="方正仿宋_GBK" w:cs="Times New Roman"/>
          <w:b/>
          <w:bCs/>
          <w:color w:val="auto"/>
          <w:kern w:val="2"/>
          <w:sz w:val="32"/>
          <w:szCs w:val="32"/>
          <w:highlight w:val="none"/>
          <w:lang w:val="en-US" w:eastAsia="zh-CN" w:bidi="ar-SA"/>
        </w:rPr>
        <w:t>使用规范性</w:t>
      </w:r>
      <w:r>
        <w:rPr>
          <w:rFonts w:hint="eastAsia" w:ascii="Times New Roman" w:hAnsi="Times New Roman" w:eastAsia="方正仿宋_GBK" w:cs="Times New Roman"/>
          <w:b/>
          <w:bCs/>
          <w:color w:val="auto"/>
          <w:kern w:val="2"/>
          <w:sz w:val="32"/>
          <w:szCs w:val="32"/>
          <w:highlight w:val="none"/>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按照《中央对地方专项转移支付管理办法》（财预〔2015〕230号）等文件使用资金，指导各地专款专用，加快预算执行进度，切实提高资金使用效益。严格按照财政部民政部《中央专项彩票公益金支持居家和社区基本养老服务提升行动项目资金管理办法》（财社〔2024〕61号），做到资金专款专用，确保资金高效、安全使用。总体来看，本项目资金的整体管理水平较好，做到了专款专用、及时拨付、规范支付。</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5.资金</w:t>
      </w:r>
      <w:r>
        <w:rPr>
          <w:rFonts w:hint="default" w:ascii="Times New Roman" w:hAnsi="Times New Roman" w:eastAsia="方正仿宋_GBK" w:cs="Times New Roman"/>
          <w:b/>
          <w:bCs/>
          <w:color w:val="auto"/>
          <w:kern w:val="2"/>
          <w:sz w:val="32"/>
          <w:szCs w:val="32"/>
          <w:highlight w:val="none"/>
          <w:lang w:val="en-US" w:eastAsia="zh-CN" w:bidi="ar-SA"/>
        </w:rPr>
        <w:t>执行准确性</w:t>
      </w:r>
      <w:r>
        <w:rPr>
          <w:rFonts w:hint="eastAsia" w:ascii="Times New Roman" w:hAnsi="Times New Roman" w:eastAsia="方正仿宋_GBK" w:cs="Times New Roman"/>
          <w:b/>
          <w:bCs/>
          <w:color w:val="auto"/>
          <w:kern w:val="2"/>
          <w:sz w:val="32"/>
          <w:szCs w:val="32"/>
          <w:highlight w:val="none"/>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按照《彩票公益金管理办法》（财综〔2021〕18号）《自治区民政厅预算绩效一体化推进工作方案》等文件要求，指导各地按照时间表、线路图，采取常态化监管方式，加快项目推进，强化日常监管，从源头上把好项目建设、资金支付管理关口，确保了资金使用依法依规、专款专用。项目资金为2024年6月下达，截至2024年12月底，资金支付率低于50%的有4个地州市，3个地州市部分点位在执行采购程序，1个地州项目实施</w:t>
      </w:r>
      <w:r>
        <w:rPr>
          <w:rFonts w:hint="eastAsia" w:ascii="Times New Roman" w:hAnsi="Times New Roman" w:eastAsia="方正仿宋_GBK" w:cs="Times New Roman"/>
          <w:sz w:val="32"/>
          <w:szCs w:val="32"/>
          <w:highlight w:val="none"/>
          <w:lang w:val="en-US" w:eastAsia="zh-CN"/>
        </w:rPr>
        <w:t>完成，因财政决算未全部支付完毕。</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6.</w:t>
      </w:r>
      <w:r>
        <w:rPr>
          <w:rFonts w:hint="default" w:ascii="Times New Roman" w:hAnsi="Times New Roman" w:eastAsia="方正仿宋_GB2312" w:cs="Times New Roman"/>
          <w:b/>
          <w:bCs/>
          <w:sz w:val="32"/>
          <w:szCs w:val="32"/>
          <w:highlight w:val="none"/>
          <w:lang w:val="en-US" w:eastAsia="zh-CN"/>
        </w:rPr>
        <w:t>预算绩效管理情况。</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厅党组高度重视福利彩票公益金管理工作，能够始终坚持民生优先、群众第一，不折不扣地贯彻落实彩票公益金管理使用各项政策规定，采取因素法与项目法相结合，坚持问题导向，从各地实际需求出发，从储备库中遴选项目，提出建议清单推送各地进行核实，并按照项目申报程序填报《项目申报书》，经厅领导集体研究提出建议报财政厅审核，财政厅研究后报自治区人民政府审定同意后，自治区民政、财政会签联合下发拨款文件，项目资金预算和区域绩效目标随同文件一并下达，实现一个月内按时完成资金分解下达目标任务。在实施过程中，牢固树立“花钱必问效，无效必问责”的绩效管理理念，出台了《自治区民政厅预算绩效管理办法》，为绩效管理提供了有力的制度保障。将绩效管理贯穿于资金分配、管理和使用等各环节，采取定期调度、实地调研指导、视频培训等方式，及时掌握工作动态，抓好制度贯彻落实，指导各地解决推进过程中存在的困难和问题，避免专项资金沉淀、挪用，确保资金使用合法合规、安全有效使用，全面提升了福利彩票公益金规范管理能力和水平。</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7.</w:t>
      </w:r>
      <w:r>
        <w:rPr>
          <w:rFonts w:hint="default" w:ascii="Times New Roman" w:hAnsi="Times New Roman" w:eastAsia="方正仿宋_GBK" w:cs="Times New Roman"/>
          <w:b/>
          <w:bCs/>
          <w:color w:val="auto"/>
          <w:kern w:val="2"/>
          <w:sz w:val="32"/>
          <w:szCs w:val="32"/>
          <w:highlight w:val="none"/>
          <w:lang w:val="en-US" w:eastAsia="zh-CN" w:bidi="ar-SA"/>
        </w:rPr>
        <w:t>支出责任履行情况</w:t>
      </w:r>
      <w:r>
        <w:rPr>
          <w:rFonts w:hint="eastAsia" w:ascii="Times New Roman" w:hAnsi="Times New Roman" w:eastAsia="方正仿宋_GBK" w:cs="Times New Roman"/>
          <w:b/>
          <w:bCs/>
          <w:color w:val="auto"/>
          <w:kern w:val="2"/>
          <w:sz w:val="32"/>
          <w:szCs w:val="32"/>
          <w:highlight w:val="none"/>
          <w:lang w:val="en-US" w:eastAsia="zh-CN" w:bidi="ar-SA"/>
        </w:rPr>
        <w:t>。</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严格按照资金使用要求，资金下达后，按照预定资金使用用途，</w:t>
      </w:r>
      <w:r>
        <w:rPr>
          <w:rFonts w:hint="eastAsia"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en-US" w:eastAsia="zh-CN" w:bidi="ar-SA"/>
        </w:rPr>
        <w:t>支持</w:t>
      </w:r>
      <w:r>
        <w:rPr>
          <w:rFonts w:hint="eastAsia" w:ascii="Times New Roman" w:hAnsi="Times New Roman" w:eastAsia="方正仿宋_GBK" w:cs="Times New Roman"/>
          <w:color w:val="auto"/>
          <w:kern w:val="2"/>
          <w:sz w:val="32"/>
          <w:szCs w:val="32"/>
          <w:highlight w:val="none"/>
          <w:lang w:val="en-US" w:eastAsia="zh-CN" w:bidi="ar-SA"/>
        </w:rPr>
        <w:t>昌吉州</w:t>
      </w:r>
      <w:r>
        <w:rPr>
          <w:rFonts w:hint="default" w:ascii="Times New Roman" w:hAnsi="Times New Roman" w:eastAsia="方正仿宋_GBK" w:cs="Times New Roman"/>
          <w:color w:val="auto"/>
          <w:kern w:val="2"/>
          <w:sz w:val="32"/>
          <w:szCs w:val="32"/>
          <w:highlight w:val="none"/>
          <w:lang w:val="en-US" w:eastAsia="zh-CN" w:bidi="ar-SA"/>
        </w:rPr>
        <w:t>建设家庭养老床位</w:t>
      </w:r>
      <w:r>
        <w:rPr>
          <w:rFonts w:hint="eastAsia" w:ascii="Times New Roman" w:hAnsi="Times New Roman" w:eastAsia="方正仿宋_GBK" w:cs="Times New Roman"/>
          <w:color w:val="auto"/>
          <w:kern w:val="2"/>
          <w:sz w:val="32"/>
          <w:szCs w:val="32"/>
          <w:highlight w:val="none"/>
          <w:lang w:val="en-US" w:eastAsia="zh-CN" w:bidi="ar-SA"/>
        </w:rPr>
        <w:t>652</w:t>
      </w:r>
      <w:r>
        <w:rPr>
          <w:rFonts w:hint="default" w:ascii="Times New Roman" w:hAnsi="Times New Roman" w:eastAsia="方正仿宋_GBK" w:cs="Times New Roman"/>
          <w:color w:val="auto"/>
          <w:kern w:val="2"/>
          <w:sz w:val="32"/>
          <w:szCs w:val="32"/>
          <w:highlight w:val="none"/>
          <w:lang w:val="en-US" w:eastAsia="zh-CN" w:bidi="ar-SA"/>
        </w:rPr>
        <w:t>张，为不低于</w:t>
      </w:r>
      <w:r>
        <w:rPr>
          <w:rFonts w:hint="eastAsia" w:ascii="Times New Roman" w:hAnsi="Times New Roman" w:eastAsia="方正仿宋_GBK" w:cs="Times New Roman"/>
          <w:color w:val="auto"/>
          <w:kern w:val="2"/>
          <w:sz w:val="32"/>
          <w:szCs w:val="32"/>
          <w:highlight w:val="none"/>
          <w:lang w:val="en-US" w:eastAsia="zh-CN" w:bidi="ar-SA"/>
        </w:rPr>
        <w:t>1222</w:t>
      </w:r>
      <w:r>
        <w:rPr>
          <w:rFonts w:hint="default" w:ascii="Times New Roman" w:hAnsi="Times New Roman" w:eastAsia="方正仿宋_GBK" w:cs="Times New Roman"/>
          <w:color w:val="auto"/>
          <w:kern w:val="2"/>
          <w:sz w:val="32"/>
          <w:szCs w:val="32"/>
          <w:highlight w:val="none"/>
          <w:lang w:val="en-US" w:eastAsia="zh-CN" w:bidi="ar-SA"/>
        </w:rPr>
        <w:t>人次的失能</w:t>
      </w:r>
      <w:r>
        <w:rPr>
          <w:rFonts w:hint="eastAsia" w:ascii="Times New Roman" w:hAnsi="Times New Roman" w:eastAsia="方正仿宋_GBK" w:cs="Times New Roman"/>
          <w:color w:val="auto"/>
          <w:kern w:val="2"/>
          <w:sz w:val="32"/>
          <w:szCs w:val="32"/>
          <w:highlight w:val="none"/>
          <w:lang w:val="en-US" w:eastAsia="zh-CN" w:bidi="ar-SA"/>
        </w:rPr>
        <w:t>和</w:t>
      </w:r>
      <w:r>
        <w:rPr>
          <w:rFonts w:hint="default" w:ascii="Times New Roman" w:hAnsi="Times New Roman" w:eastAsia="方正仿宋_GBK" w:cs="Times New Roman"/>
          <w:color w:val="auto"/>
          <w:kern w:val="2"/>
          <w:sz w:val="32"/>
          <w:szCs w:val="32"/>
          <w:highlight w:val="none"/>
          <w:lang w:val="en-US" w:eastAsia="zh-CN" w:bidi="ar-SA"/>
        </w:rPr>
        <w:t>部分失能老年人提供上门服务，推动形成成本可负担、方便可及的普惠型养老服务，提升失能</w:t>
      </w:r>
      <w:r>
        <w:rPr>
          <w:rFonts w:hint="eastAsia" w:ascii="Times New Roman" w:hAnsi="Times New Roman" w:eastAsia="方正仿宋_GBK" w:cs="Times New Roman"/>
          <w:color w:val="auto"/>
          <w:kern w:val="2"/>
          <w:sz w:val="32"/>
          <w:szCs w:val="32"/>
          <w:highlight w:val="none"/>
          <w:lang w:val="en-US" w:eastAsia="zh-CN" w:bidi="ar-SA"/>
        </w:rPr>
        <w:t>和</w:t>
      </w:r>
      <w:r>
        <w:rPr>
          <w:rFonts w:hint="default" w:ascii="Times New Roman" w:hAnsi="Times New Roman" w:eastAsia="方正仿宋_GBK" w:cs="Times New Roman"/>
          <w:color w:val="auto"/>
          <w:kern w:val="2"/>
          <w:sz w:val="32"/>
          <w:szCs w:val="32"/>
          <w:highlight w:val="none"/>
          <w:lang w:val="en-US" w:eastAsia="zh-CN" w:bidi="ar-SA"/>
        </w:rPr>
        <w:t>部分失能老年人生活幸福感</w:t>
      </w:r>
      <w:r>
        <w:rPr>
          <w:rFonts w:hint="eastAsia" w:ascii="Times New Roman" w:hAnsi="Times New Roman" w:eastAsia="方正仿宋_GBK" w:cs="Times New Roman"/>
          <w:color w:val="auto"/>
          <w:kern w:val="2"/>
          <w:sz w:val="32"/>
          <w:szCs w:val="32"/>
          <w:highlight w:val="none"/>
          <w:lang w:val="en-US" w:eastAsia="zh-CN" w:bidi="ar-SA"/>
        </w:rPr>
        <w:t>；二是支持各地发展老年助餐服务，为全区</w:t>
      </w:r>
      <w:r>
        <w:rPr>
          <w:rFonts w:hint="default" w:ascii="Times New Roman" w:hAnsi="Times New Roman" w:eastAsia="方正仿宋_GBK" w:cs="Times New Roman"/>
          <w:color w:val="auto"/>
          <w:kern w:val="2"/>
          <w:sz w:val="32"/>
          <w:szCs w:val="32"/>
          <w:highlight w:val="none"/>
          <w:lang w:val="en-US" w:eastAsia="zh-CN" w:bidi="ar-SA"/>
        </w:rPr>
        <w:t>443个街道（乡镇）层面老年助餐点</w:t>
      </w:r>
      <w:r>
        <w:rPr>
          <w:rFonts w:hint="eastAsia" w:ascii="Times New Roman" w:hAnsi="Times New Roman" w:eastAsia="方正仿宋_GBK" w:cs="Times New Roman"/>
          <w:color w:val="auto"/>
          <w:kern w:val="2"/>
          <w:sz w:val="32"/>
          <w:szCs w:val="32"/>
          <w:highlight w:val="none"/>
          <w:lang w:val="en-US" w:eastAsia="zh-CN" w:bidi="ar-SA"/>
        </w:rPr>
        <w:t>添置</w:t>
      </w:r>
      <w:r>
        <w:rPr>
          <w:rFonts w:hint="default" w:ascii="Times New Roman" w:hAnsi="Times New Roman" w:eastAsia="方正仿宋_GBK" w:cs="Times New Roman"/>
          <w:color w:val="auto"/>
          <w:kern w:val="2"/>
          <w:sz w:val="32"/>
          <w:szCs w:val="32"/>
          <w:highlight w:val="none"/>
          <w:lang w:val="en-US" w:eastAsia="zh-CN" w:bidi="ar-SA"/>
        </w:rPr>
        <w:t>更新设施设备</w:t>
      </w:r>
      <w:r>
        <w:rPr>
          <w:rFonts w:hint="eastAsia" w:ascii="Times New Roman" w:hAnsi="Times New Roman" w:eastAsia="方正仿宋_GBK" w:cs="Times New Roman"/>
          <w:color w:val="auto"/>
          <w:kern w:val="2"/>
          <w:sz w:val="32"/>
          <w:szCs w:val="32"/>
          <w:highlight w:val="none"/>
          <w:lang w:val="en-US" w:eastAsia="zh-CN" w:bidi="ar-SA"/>
        </w:rPr>
        <w:t>，引导建立可持续、可推广复制的运营机制与模式。</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w:t>
      </w:r>
      <w:r>
        <w:rPr>
          <w:rFonts w:hint="eastAsia" w:ascii="Times New Roman" w:hAnsi="Times New Roman" w:eastAsia="方正楷体_GBK" w:cs="Times New Roman"/>
          <w:b/>
          <w:bCs/>
          <w:sz w:val="32"/>
          <w:szCs w:val="32"/>
          <w:highlight w:val="none"/>
          <w:lang w:val="en-US" w:eastAsia="zh-CN"/>
        </w:rPr>
        <w:t>三</w:t>
      </w:r>
      <w:r>
        <w:rPr>
          <w:rFonts w:hint="default" w:ascii="Times New Roman" w:hAnsi="Times New Roman" w:eastAsia="方正楷体_GBK" w:cs="Times New Roman"/>
          <w:b/>
          <w:bCs/>
          <w:sz w:val="32"/>
          <w:szCs w:val="32"/>
          <w:highlight w:val="none"/>
        </w:rPr>
        <w:t>）总体绩效目标完成情况分析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根据2024年《财政部 民政部关于下达2024年中央专项彩票公益金支持居家和社区基本养老服务提升行动项目资金预算的通知》（财社〔2024〕64号）要求，自资金下达后，各地立即组织确定符合实施对象范围、确有需求的老年助餐服务点，综合考虑点位运营模式、实际面积、可持续运营情况等确定支持点位，截至2024年12月，</w:t>
      </w:r>
      <w:r>
        <w:rPr>
          <w:rFonts w:hint="default" w:ascii="Times New Roman" w:hAnsi="Times New Roman" w:eastAsia="方正仿宋_GBK" w:cs="Times New Roman"/>
          <w:b w:val="0"/>
          <w:bCs w:val="0"/>
          <w:sz w:val="32"/>
          <w:szCs w:val="32"/>
          <w:highlight w:val="none"/>
          <w:lang w:val="en-US" w:eastAsia="zh-CN"/>
        </w:rPr>
        <w:t>已为全区390个街道（乡镇）层面老年助餐添置更新</w:t>
      </w:r>
      <w:r>
        <w:rPr>
          <w:rFonts w:hint="default" w:ascii="Times New Roman" w:hAnsi="Times New Roman" w:eastAsia="方正仿宋_GBK" w:cs="Times New Roman"/>
          <w:b w:val="0"/>
          <w:bCs w:val="0"/>
          <w:sz w:val="32"/>
          <w:szCs w:val="32"/>
          <w:lang w:val="en-US" w:eastAsia="zh-CN"/>
        </w:rPr>
        <w:t>设施设备，提升居家社区养老服务便捷性、可及性。同时，昌吉州积极推进家庭养老床位建设和居家上门服务工作，已为875户经济困难的失能和部分失能老年人建设家庭养老床位，为1161人次提供居家养老上门服务,过为符合条件的服务对象建设家庭养老床位和提供居家养老上门服务，满足居家失能老年人专业照护需求,有效提高居家和社区养老服务能力和品</w:t>
      </w:r>
      <w:r>
        <w:rPr>
          <w:rFonts w:hint="eastAsia" w:ascii="Times New Roman" w:hAnsi="Times New Roman" w:eastAsia="方正仿宋_GBK" w:cs="Times New Roman"/>
          <w:b w:val="0"/>
          <w:bCs w:val="0"/>
          <w:sz w:val="32"/>
          <w:szCs w:val="32"/>
          <w:lang w:val="en-US" w:eastAsia="zh-CN"/>
        </w:rPr>
        <w:t>质。</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楷体_GBK" w:cs="Times New Roman"/>
          <w:b/>
          <w:bCs/>
          <w:sz w:val="32"/>
          <w:szCs w:val="32"/>
          <w:highlight w:val="none"/>
          <w:lang w:val="en-US" w:eastAsia="zh-CN"/>
        </w:rPr>
        <w:t>（四）绩效指标完成情况分析。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产出指标完成情况分析。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1）数量指标。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a.财政部随文下达家庭养老床位建设补贴张数指标，指标值为≥652张</w:t>
      </w:r>
      <w:r>
        <w:rPr>
          <w:rFonts w:hint="default" w:ascii="Times New Roman" w:hAnsi="Times New Roman" w:eastAsia="方正仿宋_GBK" w:cs="Times New Roman"/>
          <w:b w:val="0"/>
          <w:bCs w:val="0"/>
          <w:sz w:val="32"/>
          <w:szCs w:val="32"/>
          <w:lang w:val="en-US" w:eastAsia="zh-CN"/>
        </w:rPr>
        <w:t>，实际完成</w:t>
      </w:r>
      <w:r>
        <w:rPr>
          <w:rFonts w:hint="eastAsia" w:ascii="Times New Roman" w:hAnsi="Times New Roman" w:eastAsia="方正仿宋_GBK" w:cs="Times New Roman"/>
          <w:b w:val="0"/>
          <w:bCs w:val="0"/>
          <w:sz w:val="32"/>
          <w:szCs w:val="32"/>
          <w:lang w:val="en-US" w:eastAsia="zh-CN"/>
        </w:rPr>
        <w:t>875张</w:t>
      </w:r>
      <w:r>
        <w:rPr>
          <w:rFonts w:hint="default" w:ascii="Times New Roman" w:hAnsi="Times New Roman" w:eastAsia="方正仿宋_GBK" w:cs="Times New Roman"/>
          <w:b w:val="0"/>
          <w:bCs w:val="0"/>
          <w:sz w:val="32"/>
          <w:szCs w:val="32"/>
          <w:lang w:val="en-US" w:eastAsia="zh-CN"/>
        </w:rPr>
        <w:t>，完成率</w:t>
      </w:r>
      <w:r>
        <w:rPr>
          <w:rFonts w:hint="eastAsia" w:ascii="Times New Roman" w:hAnsi="Times New Roman" w:eastAsia="方正仿宋_GBK" w:cs="Times New Roman"/>
          <w:b w:val="0"/>
          <w:bCs w:val="0"/>
          <w:sz w:val="32"/>
          <w:szCs w:val="32"/>
          <w:lang w:val="en-US" w:eastAsia="zh-CN"/>
        </w:rPr>
        <w:t>134%，偏差率34%。偏差原因：户均标准3330元，大部分符合条件的老年人实际需求不足3330元，因此多余资金扩大了服务老年人数。</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b.财政部随文下达上门服务数量（失能部分失能老年人）指标，指标值为≥1222人次</w:t>
      </w:r>
      <w:r>
        <w:rPr>
          <w:rFonts w:hint="default" w:ascii="Times New Roman" w:hAnsi="Times New Roman" w:eastAsia="方正仿宋_GBK" w:cs="Times New Roman"/>
          <w:b w:val="0"/>
          <w:bCs w:val="0"/>
          <w:sz w:val="32"/>
          <w:szCs w:val="32"/>
          <w:lang w:val="en-US" w:eastAsia="zh-CN"/>
        </w:rPr>
        <w:t>，实际完成</w:t>
      </w:r>
      <w:r>
        <w:rPr>
          <w:rFonts w:hint="eastAsia" w:ascii="Times New Roman" w:hAnsi="Times New Roman" w:eastAsia="方正仿宋_GBK" w:cs="Times New Roman"/>
          <w:b w:val="0"/>
          <w:bCs w:val="0"/>
          <w:sz w:val="32"/>
          <w:szCs w:val="32"/>
          <w:lang w:val="en-US" w:eastAsia="zh-CN"/>
        </w:rPr>
        <w:t>1161人次</w:t>
      </w:r>
      <w:r>
        <w:rPr>
          <w:rFonts w:hint="default" w:ascii="Times New Roman" w:hAnsi="Times New Roman" w:eastAsia="方正仿宋_GBK" w:cs="Times New Roman"/>
          <w:b w:val="0"/>
          <w:bCs w:val="0"/>
          <w:sz w:val="32"/>
          <w:szCs w:val="32"/>
          <w:lang w:val="en-US" w:eastAsia="zh-CN"/>
        </w:rPr>
        <w:t>，完成率</w:t>
      </w:r>
      <w:r>
        <w:rPr>
          <w:rFonts w:hint="eastAsia" w:ascii="Times New Roman" w:hAnsi="Times New Roman" w:eastAsia="方正仿宋_GBK" w:cs="Times New Roman"/>
          <w:b w:val="0"/>
          <w:bCs w:val="0"/>
          <w:sz w:val="32"/>
          <w:szCs w:val="32"/>
          <w:lang w:val="en-US" w:eastAsia="zh-CN"/>
        </w:rPr>
        <w:t>95%，偏差率5%。偏差原因为：一是资金下达时间为2024年6月，昌吉州家庭床位建设和上门服务项目实施周期为一年，目前还在项目实施中期；二是部分地区受财政岁末年初不做支出计划，导致该项目资金未支付。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c.财政部随文下达添置更新设施设备的街道（乡镇）层面老年助餐点数量指标，指标值为≥443个</w:t>
      </w:r>
      <w:r>
        <w:rPr>
          <w:rFonts w:hint="default" w:ascii="Times New Roman" w:hAnsi="Times New Roman" w:eastAsia="方正仿宋_GBK" w:cs="Times New Roman"/>
          <w:b w:val="0"/>
          <w:bCs w:val="0"/>
          <w:sz w:val="32"/>
          <w:szCs w:val="32"/>
          <w:lang w:val="en-US" w:eastAsia="zh-CN"/>
        </w:rPr>
        <w:t>，实际完成</w:t>
      </w:r>
      <w:r>
        <w:rPr>
          <w:rFonts w:hint="eastAsia" w:ascii="Times New Roman" w:hAnsi="Times New Roman" w:eastAsia="方正仿宋_GBK" w:cs="Times New Roman"/>
          <w:b w:val="0"/>
          <w:bCs w:val="0"/>
          <w:sz w:val="32"/>
          <w:szCs w:val="32"/>
          <w:lang w:val="en-US" w:eastAsia="zh-CN"/>
        </w:rPr>
        <w:t>390个</w:t>
      </w:r>
      <w:r>
        <w:rPr>
          <w:rFonts w:hint="default" w:ascii="Times New Roman" w:hAnsi="Times New Roman" w:eastAsia="方正仿宋_GBK" w:cs="Times New Roman"/>
          <w:b w:val="0"/>
          <w:bCs w:val="0"/>
          <w:sz w:val="32"/>
          <w:szCs w:val="32"/>
          <w:lang w:val="en-US" w:eastAsia="zh-CN"/>
        </w:rPr>
        <w:t>，完成率</w:t>
      </w:r>
      <w:r>
        <w:rPr>
          <w:rFonts w:hint="eastAsia" w:ascii="Times New Roman" w:hAnsi="Times New Roman" w:eastAsia="方正仿宋_GBK" w:cs="Times New Roman"/>
          <w:b w:val="0"/>
          <w:bCs w:val="0"/>
          <w:sz w:val="32"/>
          <w:szCs w:val="32"/>
          <w:lang w:val="en-US" w:eastAsia="zh-CN"/>
        </w:rPr>
        <w:t>88.04%，偏差率11.96%。偏差原因为：一是资金下达时间为2024年6月，昌吉州家庭床位建设和上门服务项目实施周期为一年，目前还在项目实施中期；二是部分地区受财政岁末年初不做支出计划，导致该项目资金未支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2）质量指标。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财政部随文下达通过为符合条件的服务对象建设家庭养老床位和提供居家养老上门服务，满足居家失能老年人专业照护需求；通过支持老年助餐点添置更新设施设备，提高助餐服务覆盖面和老年人就餐便利度指标，指标值为满足</w:t>
      </w:r>
      <w:r>
        <w:rPr>
          <w:rFonts w:hint="default" w:ascii="Times New Roman" w:hAnsi="Times New Roman" w:eastAsia="方正仿宋_GBK" w:cs="Times New Roman"/>
          <w:b w:val="0"/>
          <w:bCs w:val="0"/>
          <w:sz w:val="32"/>
          <w:szCs w:val="32"/>
          <w:lang w:val="en-US" w:eastAsia="zh-CN"/>
        </w:rPr>
        <w:t>，实际完成</w:t>
      </w:r>
      <w:r>
        <w:rPr>
          <w:rFonts w:hint="eastAsia" w:ascii="Times New Roman" w:hAnsi="Times New Roman" w:eastAsia="方正仿宋_GBK" w:cs="Times New Roman"/>
          <w:b w:val="0"/>
          <w:bCs w:val="0"/>
          <w:sz w:val="32"/>
          <w:szCs w:val="32"/>
          <w:lang w:val="en-US" w:eastAsia="zh-CN"/>
        </w:rPr>
        <w:t>满足</w:t>
      </w:r>
      <w:r>
        <w:rPr>
          <w:rFonts w:hint="default" w:ascii="Times New Roman" w:hAnsi="Times New Roman" w:eastAsia="方正仿宋_GBK" w:cs="Times New Roman"/>
          <w:b w:val="0"/>
          <w:bCs w:val="0"/>
          <w:sz w:val="32"/>
          <w:szCs w:val="32"/>
          <w:lang w:val="en-US" w:eastAsia="zh-CN"/>
        </w:rPr>
        <w:t>，完成率</w:t>
      </w:r>
      <w:r>
        <w:rPr>
          <w:rFonts w:hint="eastAsia" w:ascii="Times New Roman" w:hAnsi="Times New Roman" w:eastAsia="方正仿宋_GBK" w:cs="Times New Roman"/>
          <w:b w:val="0"/>
          <w:bCs w:val="0"/>
          <w:sz w:val="32"/>
          <w:szCs w:val="32"/>
          <w:lang w:val="en-US" w:eastAsia="zh-CN"/>
        </w:rPr>
        <w:t>100%，偏差率0%。</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3）时效指标。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财政部随文下达省级财政在收到资金下发试点地区财政部门时间指标，指标值为收到补助资金后30日内</w:t>
      </w:r>
      <w:r>
        <w:rPr>
          <w:rFonts w:hint="default" w:ascii="Times New Roman" w:hAnsi="Times New Roman" w:eastAsia="方正仿宋_GBK" w:cs="Times New Roman"/>
          <w:b w:val="0"/>
          <w:bCs w:val="0"/>
          <w:sz w:val="32"/>
          <w:szCs w:val="32"/>
          <w:lang w:val="en-US" w:eastAsia="zh-CN"/>
        </w:rPr>
        <w:t>，实际完成</w:t>
      </w:r>
      <w:r>
        <w:rPr>
          <w:rFonts w:hint="eastAsia" w:ascii="Times New Roman" w:hAnsi="Times New Roman" w:eastAsia="方正仿宋_GBK" w:cs="Times New Roman"/>
          <w:b w:val="0"/>
          <w:bCs w:val="0"/>
          <w:sz w:val="32"/>
          <w:szCs w:val="32"/>
          <w:lang w:val="en-US" w:eastAsia="zh-CN"/>
        </w:rPr>
        <w:t>收到补助资金后30日内</w:t>
      </w:r>
      <w:r>
        <w:rPr>
          <w:rFonts w:hint="default" w:ascii="Times New Roman" w:hAnsi="Times New Roman" w:eastAsia="方正仿宋_GBK" w:cs="Times New Roman"/>
          <w:b w:val="0"/>
          <w:bCs w:val="0"/>
          <w:sz w:val="32"/>
          <w:szCs w:val="32"/>
          <w:lang w:val="en-US" w:eastAsia="zh-CN"/>
        </w:rPr>
        <w:t>，完成率</w:t>
      </w:r>
      <w:r>
        <w:rPr>
          <w:rFonts w:hint="eastAsia" w:ascii="Times New Roman" w:hAnsi="Times New Roman" w:eastAsia="方正仿宋_GBK" w:cs="Times New Roman"/>
          <w:b w:val="0"/>
          <w:bCs w:val="0"/>
          <w:sz w:val="32"/>
          <w:szCs w:val="32"/>
          <w:lang w:val="en-US" w:eastAsia="zh-CN"/>
        </w:rPr>
        <w:t>100%，偏差率0%。</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成本</w:t>
      </w:r>
      <w:r>
        <w:rPr>
          <w:rFonts w:hint="default" w:ascii="Times New Roman" w:hAnsi="Times New Roman" w:eastAsia="方正仿宋_GBK" w:cs="Times New Roman"/>
          <w:b w:val="0"/>
          <w:bCs w:val="0"/>
          <w:sz w:val="32"/>
          <w:szCs w:val="32"/>
          <w:lang w:val="en-US" w:eastAsia="zh-CN"/>
        </w:rPr>
        <w:t>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财政部下达的绩效目标未设定成本指标。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效益指标完成情况分析。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经济效益。</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w:t>
      </w:r>
      <w:r>
        <w:rPr>
          <w:rFonts w:hint="eastAsia" w:ascii="Times New Roman" w:hAnsi="Times New Roman" w:eastAsia="方正仿宋_GBK" w:cs="Times New Roman"/>
          <w:b w:val="0"/>
          <w:bCs w:val="0"/>
          <w:sz w:val="32"/>
          <w:szCs w:val="32"/>
          <w:lang w:val="en-US" w:eastAsia="zh-CN"/>
        </w:rPr>
        <w:t>经济效益</w:t>
      </w:r>
      <w:r>
        <w:rPr>
          <w:rFonts w:hint="default" w:ascii="Times New Roman" w:hAnsi="Times New Roman" w:eastAsia="方正仿宋_GBK" w:cs="Times New Roman"/>
          <w:b w:val="0"/>
          <w:bCs w:val="0"/>
          <w:sz w:val="32"/>
          <w:szCs w:val="32"/>
          <w:lang w:val="en-US" w:eastAsia="zh-CN"/>
        </w:rPr>
        <w:t>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社会效益。</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a.随文下达居家和社区养老服务能力和品质指标，指标值为有效提高</w:t>
      </w:r>
      <w:r>
        <w:rPr>
          <w:rFonts w:hint="default" w:ascii="Times New Roman" w:hAnsi="Times New Roman" w:eastAsia="方正仿宋_GBK" w:cs="Times New Roman"/>
          <w:b w:val="0"/>
          <w:bCs w:val="0"/>
          <w:sz w:val="32"/>
          <w:szCs w:val="32"/>
          <w:lang w:val="en-US" w:eastAsia="zh-CN"/>
        </w:rPr>
        <w:t>，实际完成</w:t>
      </w:r>
      <w:r>
        <w:rPr>
          <w:rFonts w:hint="eastAsia" w:ascii="Times New Roman" w:hAnsi="Times New Roman" w:eastAsia="方正仿宋_GBK" w:cs="Times New Roman"/>
          <w:b w:val="0"/>
          <w:bCs w:val="0"/>
          <w:sz w:val="32"/>
          <w:szCs w:val="32"/>
          <w:lang w:val="en-US" w:eastAsia="zh-CN"/>
        </w:rPr>
        <w:t>有效提高，</w:t>
      </w:r>
      <w:r>
        <w:rPr>
          <w:rFonts w:hint="default" w:ascii="Times New Roman" w:hAnsi="Times New Roman" w:eastAsia="方正仿宋_GBK" w:cs="Times New Roman"/>
          <w:b w:val="0"/>
          <w:bCs w:val="0"/>
          <w:sz w:val="32"/>
          <w:szCs w:val="32"/>
          <w:lang w:val="en-US" w:eastAsia="zh-CN"/>
        </w:rPr>
        <w:t>完成率</w:t>
      </w:r>
      <w:r>
        <w:rPr>
          <w:rFonts w:hint="eastAsia" w:ascii="Times New Roman" w:hAnsi="Times New Roman" w:eastAsia="方正仿宋_GBK" w:cs="Times New Roman"/>
          <w:b w:val="0"/>
          <w:bCs w:val="0"/>
          <w:sz w:val="32"/>
          <w:szCs w:val="32"/>
          <w:lang w:val="en-US" w:eastAsia="zh-CN"/>
        </w:rPr>
        <w:t>100%，偏差率0%。</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3）生态效益。</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w:t>
      </w:r>
      <w:r>
        <w:rPr>
          <w:rFonts w:hint="eastAsia" w:ascii="Times New Roman" w:hAnsi="Times New Roman" w:eastAsia="方正仿宋_GBK" w:cs="Times New Roman"/>
          <w:b w:val="0"/>
          <w:bCs w:val="0"/>
          <w:sz w:val="32"/>
          <w:szCs w:val="32"/>
          <w:lang w:val="en-US" w:eastAsia="zh-CN"/>
        </w:rPr>
        <w:t>生态效益</w:t>
      </w:r>
      <w:r>
        <w:rPr>
          <w:rFonts w:hint="default" w:ascii="Times New Roman" w:hAnsi="Times New Roman" w:eastAsia="方正仿宋_GBK" w:cs="Times New Roman"/>
          <w:b w:val="0"/>
          <w:bCs w:val="0"/>
          <w:sz w:val="32"/>
          <w:szCs w:val="32"/>
          <w:lang w:val="en-US" w:eastAsia="zh-CN"/>
        </w:rPr>
        <w:t>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4）可持续影响。</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w:t>
      </w:r>
      <w:r>
        <w:rPr>
          <w:rFonts w:hint="eastAsia" w:ascii="Times New Roman" w:hAnsi="Times New Roman" w:eastAsia="方正仿宋_GBK" w:cs="Times New Roman"/>
          <w:b w:val="0"/>
          <w:bCs w:val="0"/>
          <w:sz w:val="32"/>
          <w:szCs w:val="32"/>
          <w:lang w:val="en-US" w:eastAsia="zh-CN"/>
        </w:rPr>
        <w:t>可持续影响</w:t>
      </w:r>
      <w:r>
        <w:rPr>
          <w:rFonts w:hint="default" w:ascii="Times New Roman" w:hAnsi="Times New Roman" w:eastAsia="方正仿宋_GBK" w:cs="Times New Roman"/>
          <w:b w:val="0"/>
          <w:bCs w:val="0"/>
          <w:sz w:val="32"/>
          <w:szCs w:val="32"/>
          <w:lang w:val="en-US" w:eastAsia="zh-CN"/>
        </w:rPr>
        <w:t>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满意度指标完成情况分析。</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随文下达补受益家庭和老年人对居家社区养老服务的满意度指标，指标值为≥90%，</w:t>
      </w:r>
      <w:r>
        <w:rPr>
          <w:rFonts w:hint="default" w:ascii="Times New Roman" w:hAnsi="Times New Roman" w:eastAsia="方正仿宋_GBK" w:cs="Times New Roman"/>
          <w:b w:val="0"/>
          <w:bCs w:val="0"/>
          <w:sz w:val="32"/>
          <w:szCs w:val="32"/>
          <w:lang w:val="en-US" w:eastAsia="zh-CN"/>
        </w:rPr>
        <w:t>实际完成</w:t>
      </w:r>
      <w:r>
        <w:rPr>
          <w:rFonts w:hint="eastAsia" w:ascii="Times New Roman" w:hAnsi="Times New Roman" w:eastAsia="方正仿宋_GBK" w:cs="Times New Roman"/>
          <w:b w:val="0"/>
          <w:bCs w:val="0"/>
          <w:sz w:val="32"/>
          <w:szCs w:val="32"/>
          <w:lang w:val="en-US" w:eastAsia="zh-CN"/>
        </w:rPr>
        <w:t>92.31%</w:t>
      </w:r>
      <w:r>
        <w:rPr>
          <w:rFonts w:hint="default" w:ascii="Times New Roman" w:hAnsi="Times New Roman" w:eastAsia="方正仿宋_GBK" w:cs="Times New Roman"/>
          <w:b w:val="0"/>
          <w:bCs w:val="0"/>
          <w:sz w:val="32"/>
          <w:szCs w:val="32"/>
          <w:lang w:val="en-US" w:eastAsia="zh-CN"/>
        </w:rPr>
        <w:t>，完成率</w:t>
      </w:r>
      <w:r>
        <w:rPr>
          <w:rFonts w:hint="eastAsia" w:ascii="Times New Roman" w:hAnsi="Times New Roman" w:eastAsia="方正仿宋_GBK" w:cs="Times New Roman"/>
          <w:b w:val="0"/>
          <w:bCs w:val="0"/>
          <w:sz w:val="32"/>
          <w:szCs w:val="32"/>
          <w:lang w:val="en-US" w:eastAsia="zh-CN"/>
        </w:rPr>
        <w:t>102.57</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，偏差率2.57%。</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三、偏离绩效目标的原因和下一步改进措施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1.偏离的绩效目标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（1）未完成指标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a.上门服务数量（失能部分失能老年人）指标。偏差原因：一是资金下达时间为2024年6月，昌吉州家庭床位建设和上门服务项目实施周期为一年，目前还在项目实施中期；二是部分地区受财政岁末年初不做支出计划，导致该项目资金未支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lang w:val="en-US" w:eastAsia="zh-CN"/>
        </w:rPr>
      </w:pPr>
      <w:r>
        <w:rPr>
          <w:rFonts w:hint="eastAsia" w:ascii="Times New Roman" w:hAnsi="Times New Roman" w:eastAsia="方正仿宋_GBK" w:cs="Times New Roman"/>
          <w:b w:val="0"/>
          <w:bCs w:val="0"/>
          <w:sz w:val="32"/>
          <w:szCs w:val="32"/>
          <w:lang w:val="en-US" w:eastAsia="zh-CN"/>
        </w:rPr>
        <w:t>b.添置更新设施设备的街道（乡镇）层面老年助餐点数量指标。偏差原因：一是资金下达时间为2024年6月，昌吉州家庭床位建设和上门服务项目实施周期为一年，目前还在项目实施中期；二是部分地区受财政岁末年初不做支出计划，导致该项目资金未支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（2）超额完成指标</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家庭养老床位建设补贴张数指标。偏差原因</w:t>
      </w:r>
      <w:r>
        <w:rPr>
          <w:rFonts w:hint="eastAsia" w:ascii="Times New Roman" w:hAnsi="Times New Roman" w:eastAsia="方正仿宋_GBK" w:cs="Times New Roman"/>
          <w:b w:val="0"/>
          <w:bCs w:val="0"/>
          <w:spacing w:val="-11"/>
          <w:sz w:val="32"/>
          <w:szCs w:val="32"/>
          <w:lang w:val="en-US" w:eastAsia="zh-CN"/>
        </w:rPr>
        <w:t>：户均标准3330元，</w:t>
      </w:r>
      <w:r>
        <w:rPr>
          <w:rFonts w:hint="eastAsia" w:ascii="Times New Roman" w:hAnsi="Times New Roman" w:eastAsia="方正仿宋_GBK" w:cs="Times New Roman"/>
          <w:b w:val="0"/>
          <w:bCs w:val="0"/>
          <w:sz w:val="32"/>
          <w:szCs w:val="32"/>
          <w:lang w:val="en-US" w:eastAsia="zh-CN"/>
        </w:rPr>
        <w:t>大部分符合条件的老年人实际需求不足3330元，因此多余资金扩大了服务老年人数。</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2.下一步改进措施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a.项目实施过程中存在不足</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项目实施过程中，居家和社区养老服务提升行动项目督促指导力度还需进一步加强。</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b.下一步工作实施改进措施</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一是定期开展项目实施情况跟踪调度，对项目进展情况进行督促，严格按照要求，认真开展居家和社区养老服务提升行动项目；二是督促各地积极与财政部门对接，按时履行支付程序，保障项目进展顺利；</w:t>
      </w:r>
      <w:r>
        <w:rPr>
          <w:rFonts w:hint="eastAsia" w:ascii="Times New Roman" w:hAnsi="Times New Roman" w:eastAsia="方正仿宋_GBK" w:cs="Times New Roman"/>
          <w:b w:val="0"/>
          <w:bCs w:val="0"/>
          <w:color w:val="auto"/>
          <w:sz w:val="32"/>
          <w:szCs w:val="32"/>
          <w:highlight w:val="none"/>
          <w:u w:val="none"/>
          <w:lang w:val="en-US" w:eastAsia="zh-CN"/>
        </w:rPr>
        <w:t>三是及时沟通对接，帮助基层解决工作开展过程中遇到的困难与问题。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四、绩效自评结果及拟应用和公开情况</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lang w:val="en-US" w:eastAsia="zh-CN"/>
        </w:rPr>
        <w:t>1.按照财政部《项目支出绩效评价管理办法》（财预〔2020〕10号）规定，单位自评标准是：预算执行10分、产出指标50分、效益指标30分、服务对象满意度指标10分。经自评2024</w:t>
      </w:r>
      <w:r>
        <w:rPr>
          <w:rFonts w:hint="eastAsia" w:ascii="Times New Roman" w:hAnsi="Times New Roman" w:eastAsia="方正仿宋_GBK" w:cs="Times New Roman"/>
          <w:b w:val="0"/>
          <w:bCs w:val="0"/>
          <w:sz w:val="32"/>
          <w:szCs w:val="32"/>
          <w:highlight w:val="none"/>
          <w:lang w:val="en-US" w:eastAsia="zh-CN"/>
        </w:rPr>
        <w:t>年度中央专项彩票公益金支持居家和社区基本养老服务提升行动项目资金绩效自评价得分为92分，其中：预算执行6分、产出指标46分、效益指标30分、服务对象满意度指标10分，自评结果为“优”。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自评价中发现</w:t>
      </w:r>
      <w:r>
        <w:rPr>
          <w:rFonts w:hint="eastAsia" w:ascii="Times New Roman" w:hAnsi="Times New Roman" w:eastAsia="方正仿宋_GBK" w:cs="Times New Roman"/>
          <w:b w:val="0"/>
          <w:bCs w:val="0"/>
          <w:sz w:val="32"/>
          <w:szCs w:val="32"/>
          <w:highlight w:val="none"/>
          <w:lang w:val="en-US" w:eastAsia="zh-CN"/>
        </w:rPr>
        <w:t>部分地区受财政岁末年初不做支出计划，导致该项目资金未支付。下一步，督促各地积极与财政部门对接，按时进行资金支付程序，</w:t>
      </w:r>
      <w:r>
        <w:rPr>
          <w:rFonts w:hint="default" w:ascii="Times New Roman" w:hAnsi="Times New Roman" w:eastAsia="方正仿宋_GBK" w:cs="Times New Roman"/>
          <w:b w:val="0"/>
          <w:bCs w:val="0"/>
          <w:i w:val="0"/>
          <w:color w:val="auto"/>
          <w:kern w:val="0"/>
          <w:sz w:val="32"/>
          <w:szCs w:val="32"/>
          <w:highlight w:val="none"/>
          <w:u w:val="none"/>
          <w:lang w:val="en-US" w:eastAsia="zh-CN" w:bidi="ar-SA"/>
        </w:rPr>
        <w:t>确保项目顺利实施</w:t>
      </w:r>
      <w:r>
        <w:rPr>
          <w:rFonts w:hint="eastAsia" w:ascii="Times New Roman" w:hAnsi="Times New Roman" w:eastAsia="方正仿宋_GBK" w:cs="Times New Roman"/>
          <w:b w:val="0"/>
          <w:bCs w:val="0"/>
          <w:sz w:val="32"/>
          <w:szCs w:val="32"/>
          <w:highlight w:val="none"/>
          <w:lang w:val="en-US" w:eastAsia="zh-CN"/>
        </w:rPr>
        <w:t>。</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评价结果将在</w:t>
      </w:r>
      <w:r>
        <w:rPr>
          <w:rFonts w:hint="eastAsia" w:ascii="Times New Roman" w:hAnsi="Times New Roman" w:eastAsia="方正仿宋_GBK" w:cs="Times New Roman"/>
          <w:b w:val="0"/>
          <w:bCs w:val="0"/>
          <w:sz w:val="32"/>
          <w:szCs w:val="32"/>
          <w:lang w:val="en-US" w:eastAsia="zh-CN"/>
        </w:rPr>
        <w:t>自治区民政厅、自治区财政厅</w:t>
      </w:r>
      <w:r>
        <w:rPr>
          <w:rFonts w:hint="default" w:ascii="Times New Roman" w:hAnsi="Times New Roman" w:eastAsia="方正仿宋_GBK" w:cs="Times New Roman"/>
          <w:b w:val="0"/>
          <w:bCs w:val="0"/>
          <w:sz w:val="32"/>
          <w:szCs w:val="32"/>
          <w:lang w:val="en-US" w:eastAsia="zh-CN"/>
        </w:rPr>
        <w:t>门户网站进行公示公开,广泛接受社会</w:t>
      </w:r>
      <w:r>
        <w:rPr>
          <w:rFonts w:hint="eastAsia" w:ascii="Times New Roman" w:hAnsi="Times New Roman" w:eastAsia="方正仿宋_GBK" w:cs="Times New Roman"/>
          <w:b w:val="0"/>
          <w:bCs w:val="0"/>
          <w:sz w:val="32"/>
          <w:szCs w:val="32"/>
          <w:lang w:val="en-US" w:eastAsia="zh-CN"/>
        </w:rPr>
        <w:t>监督。</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五、其他需要说明的问题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中央巡视、各级审计和财政监督中未发现问题。</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黑体_GBK" w:cs="Times New Roman"/>
          <w:sz w:val="32"/>
          <w:szCs w:val="32"/>
          <w:highlight w:val="none"/>
          <w:lang w:eastAsia="zh-CN"/>
        </w:rPr>
      </w:pP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highlight w:val="none"/>
          <w:lang w:val="en-US" w:eastAsia="zh-CN"/>
        </w:rPr>
        <w:t>、</w:t>
      </w:r>
      <w:r>
        <w:rPr>
          <w:rFonts w:hint="eastAsia" w:ascii="Times New Roman" w:hAnsi="Times New Roman" w:eastAsia="方正黑体_GBK" w:cs="Times New Roman"/>
          <w:b w:val="0"/>
          <w:bCs w:val="0"/>
          <w:sz w:val="32"/>
          <w:szCs w:val="32"/>
          <w:highlight w:val="none"/>
          <w:lang w:eastAsia="zh-CN"/>
        </w:rPr>
        <w:t>附件</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i w:val="0"/>
          <w:color w:val="auto"/>
          <w:kern w:val="0"/>
          <w:sz w:val="32"/>
          <w:szCs w:val="32"/>
          <w:highlight w:val="none"/>
          <w:u w:val="none"/>
          <w:lang w:val="en-US" w:eastAsia="zh-CN" w:bidi="ar-SA"/>
        </w:rPr>
      </w:pPr>
      <w:r>
        <w:rPr>
          <w:rFonts w:hint="eastAsia" w:ascii="Times New Roman" w:hAnsi="Times New Roman" w:eastAsia="方正仿宋_GBK" w:cs="Times New Roman"/>
          <w:sz w:val="32"/>
          <w:szCs w:val="32"/>
          <w:highlight w:val="none"/>
        </w:rPr>
        <w:t>附</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b w:val="0"/>
          <w:bCs w:val="0"/>
          <w:i w:val="0"/>
          <w:color w:val="auto"/>
          <w:kern w:val="0"/>
          <w:sz w:val="32"/>
          <w:szCs w:val="32"/>
          <w:highlight w:val="none"/>
          <w:u w:val="none"/>
          <w:lang w:val="en-US" w:eastAsia="zh-CN" w:bidi="ar-SA"/>
        </w:rPr>
        <w:t>转转移支付区域（项目）绩效目标自评表</w:t>
      </w:r>
    </w:p>
    <w:p>
      <w:pP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60" w:lineRule="exact"/>
        <w:ind w:left="0" w:leftChars="0" w:right="0" w:rightChars="0" w:firstLine="562" w:firstLineChars="200"/>
        <w:jc w:val="center"/>
        <w:textAlignment w:val="auto"/>
        <w:outlineLvl w:val="9"/>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中央对地方转移支付区域（项目）绩效自评表</w:t>
      </w:r>
    </w:p>
    <w:p>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0" w:lineRule="atLeast"/>
        <w:ind w:left="0" w:leftChars="0" w:right="0" w:rightChars="0" w:firstLine="422" w:firstLineChars="200"/>
        <w:jc w:val="center"/>
        <w:textAlignment w:val="auto"/>
        <w:outlineLvl w:val="9"/>
        <w:rPr>
          <w:rFonts w:hint="eastAsia" w:ascii="Times New Roman" w:hAnsi="Times New Roman" w:eastAsia="方正仿宋_GBK" w:cs="Times New Roman"/>
          <w:b w:val="0"/>
          <w:bCs w:val="0"/>
          <w:i w:val="0"/>
          <w:color w:val="auto"/>
          <w:kern w:val="0"/>
          <w:sz w:val="22"/>
          <w:szCs w:val="22"/>
          <w:highlight w:val="none"/>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（2024年度）</w:t>
      </w:r>
    </w:p>
    <w:tbl>
      <w:tblPr>
        <w:tblStyle w:val="10"/>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565"/>
        <w:gridCol w:w="1048"/>
        <w:gridCol w:w="2396"/>
        <w:gridCol w:w="1794"/>
        <w:gridCol w:w="951"/>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转移支付名称</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中央专项彩票公益金支持居家和社区基本养老服务提升行动项目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中央主管部门</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地方主管部门</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自治区民政厅</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资金使用单位</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各（州、市）民政局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862.304</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862.304</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地方财政资金</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7"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区资金分配严格按照转移支付管理制度以及资金管理办法规定的范围和标准进行，提出科学合理的分配方案报同级财政部门审核并及时拨付资金。家庭床位建设和居家上门服务按照民政部、财政部下达资金733万元直接分配至项目试点地区昌吉州；老年助餐经费664万元，添置更新设施设备的街道（乡镇）层面老年助餐点数量指标为443个，每个点位平均补助标准1.5万元，按照各地申请点位数占全区申请总点位数比例对443个指标任务进行分配，点位分配后按照每个点位1.5万元进行资金测算取整，分配到各地州市。</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1"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预算法及《彩票公益金管理办法》（财综〔2021〕18号）规定的时限要求分解下达。2024年收到中央下达资金文件后，及时与财政部门对接，形成资金申请文件，由自治区财政厅报自治区人民政府审定同意后，自治区财政厅、民政厅会签，联合将拨款文件和项目预算在规定30日内分解下达至各地州市。</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中央对地方专项转移支付管理办法》（财预〔2015〕230号）、《中央专项彩票公益金支持居家和社区基本养老服务提升行动项目资金管理办法》（财社〔2024〕61号）等文件拨付资金，按照下达资金和项目内容等进行资金分配和拨付，经厅党组会研究后报财政部门审核，未出现将资金从国库转入财政专户或支付到预算单位实有资金账户等问题，资金拨付合规。</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中央对地方专项转移支付管理办法》（财预〔2015〕230号）等文件使用资金，指导各地专款专用，加快预算执行进度，切实提高资金使用效益。严格按照财政部民政部《中央专项彩票公益金支持居家和社区基本养老服务提升行动项目资金管理办法》（财社〔2024〕61号），做到资金专款专用，确保资金高效、安全使用。总体来看，本项目资金的整体管理水平较好，做到了专款专用、及时拨付、规范支付。</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5"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彩票公益金管理办法》（财综〔2021〕18号）《自治区民政厅预算绩效一体化推进工作方案》等文件要求，指导各地按照时间表、线路图，采取常态化监管方式，加快项目推进，强化日常监管，从源头上把好项目建设、资金支付管理关口，确保了资金使用依法依规、专款专用。按照中央安排的金额执行，不存在执行数偏离预算数较多的问题，资金执行合规。项目资金为2024年6月下达，截至2024年12月底，资金支付率低于50%的有4个地州市，3个地州市部分点位在执行采购程序，1个地州项目实施完成，因财政决算未全部支付完毕。</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9"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厅党组高度重视福利彩票公益金管理工作，能够始终坚持民生优先、群众第一，不折不扣地贯彻落实彩票公益金管理使用各项政策规定，采取因素法与项目法相结合，坚持问题导向，从各地实际需求出发，从储备库中遴选项目，提出建议清单推送各地进行核实，并按照项目申报程序填报《项目申报书》，经厅领导集体研究提出建议报财政厅审核，财政厅研究后报自治区人民政府审定同意后，自治区民政、财政会签联合下发拨款文件，项目资金预算和区域绩效目标随同文件一并下达，实现一个月内按时完成资金分解下达目标任务。在实施过程中，牢固树立“花钱必问效，无效必问责”的绩效管理理念，出台了《自治区民政厅预算绩效管理办法》，为绩效管理提供了有力的制度保障。将绩效管理贯穿于资金分配、管理和使用等各环节，采取定期调度、实地调研指导、视频培训等方式，及时掌握工作动态，抓好制度贯彻落实，指导各地解决推进过程中存在的困难和问题，避免专项资金沉淀、挪用，确保资金使用合法合规、安全有效使用，全面提升了福利彩票公益金规范管理能力和水平。</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8"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4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资金使用要求，资金下达后，按照预定资金使用用途，一是支持昌吉州建设家庭养老床位652张，为不低于1222人次的失能和部分失能老年人提供上门服务，推动形成成本可负担、方便可及的普惠型养老服务，提升失能和部分失能老年人生活幸福感；二是支持各地发展老年助餐服务，为全区443个街道（乡镇）层面老年助餐点添置更新设施设备，引导建立可持续、可推广复制的运营机制与模式。项目实施过程中，持续加强岁各地项目工作调度、资金监管、监督检查。总体来看，本项目资金的整体管理水平好，做到了专款专用、及时拨付、规范支付，保障专项资金支付需求，确保该项目顺利实施。</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总体目标完成情况</w:t>
            </w:r>
          </w:p>
        </w:tc>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4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通过为经济困难的失能和部分失能老年人建设家庭养老床位、提供居家养老上门服务，支持街道（乡镇）层面老年助餐添置更新设施设备，提升居家社区养老服务便捷性、可及性。</w:t>
            </w:r>
          </w:p>
        </w:tc>
        <w:tc>
          <w:tcPr>
            <w:tcW w:w="46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至2024年12月，已为全区390个街道（乡镇）层面老年助餐添置更新设施设备，提升居家社区养老服务便捷性、可及性。同时，昌吉州积极推进家庭养老床位建设和居家上门服务工作，已为875户经济困难的失能和部分失能老年人建设家庭养老床位，为1161人次提供居家养老上门服务,过为符合条件的服务对象建设家庭养老床位和提供居家养老上门服务，满足居家失能老年人专业照护需求,有效提高居家和社区养老服务能力和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全年实际完成值</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家庭养老床位建设补贴张数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≥652张</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875张</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偏差原因：户均标准3330元，大部分符合条件的老年人实际需求不足3330元，因此多余资金扩大了服务老年人数。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上门服务数量（失能部分失能老年人）</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≥1222人次</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1161人次</w:t>
            </w:r>
          </w:p>
        </w:tc>
        <w:tc>
          <w:tcPr>
            <w:tcW w:w="19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highlight w:val="none"/>
                <w:u w:val="none"/>
                <w:lang w:val="en-US" w:eastAsia="zh-CN" w:bidi="ar"/>
              </w:rPr>
              <w:t>未完成原因：1.资金下达时间为2024年6月，昌吉州家庭床位建设和上门服务项目实施周期为一年，目前还在项目实施中期；2.部分地区受财政岁末年初不做支出计划，导致该项目资金未支付。改进措施：督促各地积极与财政部门对接，按时进行资金支付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6"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添置更新设施设备的街道（乡镇）层面老年助餐点数量</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≥443个</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390个</w:t>
            </w:r>
          </w:p>
        </w:tc>
        <w:tc>
          <w:tcPr>
            <w:tcW w:w="192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通过为符合条件的服务对象建设家庭养老床位和提供居家养老上门服务，满足居家失能老年人专业照护需求；通过支持老年助餐点添置更新设施设备，提高助餐服务覆盖面和老年人就餐便利度</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省级财政在收到资金下发试点地区财政部门时间</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收到补助资金后30日内</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收到补助资金后30日内</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居家和社区养老服务能力和品质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受益家庭和老年人对居家社区养老服务的满意度</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92.31%</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val="0"/>
        <w:overflowPunct/>
        <w:topLinePunct/>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highlight w:val="none"/>
        </w:rPr>
      </w:pPr>
    </w:p>
    <w:sectPr>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A2C53"/>
    <w:multiLevelType w:val="singleLevel"/>
    <w:tmpl w:val="6F7A2C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00"/>
    <w:rsid w:val="00075B50"/>
    <w:rsid w:val="00176C83"/>
    <w:rsid w:val="00220784"/>
    <w:rsid w:val="00232961"/>
    <w:rsid w:val="002961D2"/>
    <w:rsid w:val="003D4B38"/>
    <w:rsid w:val="00500937"/>
    <w:rsid w:val="005D69FE"/>
    <w:rsid w:val="006700BF"/>
    <w:rsid w:val="00677C98"/>
    <w:rsid w:val="00700496"/>
    <w:rsid w:val="007A5FC6"/>
    <w:rsid w:val="008024AA"/>
    <w:rsid w:val="00841245"/>
    <w:rsid w:val="00893176"/>
    <w:rsid w:val="008E1A89"/>
    <w:rsid w:val="00906204"/>
    <w:rsid w:val="009C5871"/>
    <w:rsid w:val="00AB41F7"/>
    <w:rsid w:val="00B1743E"/>
    <w:rsid w:val="00BB18C1"/>
    <w:rsid w:val="00C13271"/>
    <w:rsid w:val="00C20279"/>
    <w:rsid w:val="00D04BC9"/>
    <w:rsid w:val="00D260DA"/>
    <w:rsid w:val="00D55800"/>
    <w:rsid w:val="00DF2AF6"/>
    <w:rsid w:val="00E27879"/>
    <w:rsid w:val="00E345C8"/>
    <w:rsid w:val="00E7664D"/>
    <w:rsid w:val="00EE5D96"/>
    <w:rsid w:val="012F3BE7"/>
    <w:rsid w:val="013F0C73"/>
    <w:rsid w:val="01716545"/>
    <w:rsid w:val="01CE5D01"/>
    <w:rsid w:val="02473816"/>
    <w:rsid w:val="025D18B7"/>
    <w:rsid w:val="026C20C7"/>
    <w:rsid w:val="02716A7E"/>
    <w:rsid w:val="02971543"/>
    <w:rsid w:val="02BE2071"/>
    <w:rsid w:val="02FD4A36"/>
    <w:rsid w:val="0331607D"/>
    <w:rsid w:val="03D1620A"/>
    <w:rsid w:val="043C7325"/>
    <w:rsid w:val="043F7567"/>
    <w:rsid w:val="04E61D1F"/>
    <w:rsid w:val="05E50DEF"/>
    <w:rsid w:val="0628538D"/>
    <w:rsid w:val="06E85F4D"/>
    <w:rsid w:val="06F11B9E"/>
    <w:rsid w:val="0748732D"/>
    <w:rsid w:val="081F50F4"/>
    <w:rsid w:val="08644366"/>
    <w:rsid w:val="08852F02"/>
    <w:rsid w:val="0A1228C5"/>
    <w:rsid w:val="0ADC5A4C"/>
    <w:rsid w:val="0B126B68"/>
    <w:rsid w:val="0B2B7F0C"/>
    <w:rsid w:val="0B323A27"/>
    <w:rsid w:val="0B4247FA"/>
    <w:rsid w:val="0B9660B9"/>
    <w:rsid w:val="0BB16B80"/>
    <w:rsid w:val="0CD21C7B"/>
    <w:rsid w:val="0D6D6013"/>
    <w:rsid w:val="0DF67A04"/>
    <w:rsid w:val="0E597ED8"/>
    <w:rsid w:val="0ED819B1"/>
    <w:rsid w:val="0F0C28B9"/>
    <w:rsid w:val="0F255F6D"/>
    <w:rsid w:val="0F493BEC"/>
    <w:rsid w:val="0F4946DB"/>
    <w:rsid w:val="0F7D165B"/>
    <w:rsid w:val="0FCB2853"/>
    <w:rsid w:val="100770BC"/>
    <w:rsid w:val="100C4E0A"/>
    <w:rsid w:val="101B7EE8"/>
    <w:rsid w:val="102172BF"/>
    <w:rsid w:val="10502DE1"/>
    <w:rsid w:val="107163FC"/>
    <w:rsid w:val="1086284E"/>
    <w:rsid w:val="10E80713"/>
    <w:rsid w:val="111D6FEC"/>
    <w:rsid w:val="11551DC9"/>
    <w:rsid w:val="11996697"/>
    <w:rsid w:val="12566CC4"/>
    <w:rsid w:val="12C61B21"/>
    <w:rsid w:val="12D51725"/>
    <w:rsid w:val="13432146"/>
    <w:rsid w:val="135D6CC4"/>
    <w:rsid w:val="136455E5"/>
    <w:rsid w:val="13BB3C62"/>
    <w:rsid w:val="13F5417E"/>
    <w:rsid w:val="14407D83"/>
    <w:rsid w:val="147A3864"/>
    <w:rsid w:val="155A43D8"/>
    <w:rsid w:val="15BC2337"/>
    <w:rsid w:val="15C0187E"/>
    <w:rsid w:val="15DE0D07"/>
    <w:rsid w:val="1643204E"/>
    <w:rsid w:val="17112266"/>
    <w:rsid w:val="175736BC"/>
    <w:rsid w:val="17720520"/>
    <w:rsid w:val="17721AEC"/>
    <w:rsid w:val="17B54C4F"/>
    <w:rsid w:val="17BB77F0"/>
    <w:rsid w:val="1813407D"/>
    <w:rsid w:val="185465F0"/>
    <w:rsid w:val="19376266"/>
    <w:rsid w:val="194752D9"/>
    <w:rsid w:val="197F1C0E"/>
    <w:rsid w:val="198B1CC1"/>
    <w:rsid w:val="19C65E5F"/>
    <w:rsid w:val="19D82A9A"/>
    <w:rsid w:val="19EB66D2"/>
    <w:rsid w:val="19F920F4"/>
    <w:rsid w:val="1A9F4685"/>
    <w:rsid w:val="1BCE7474"/>
    <w:rsid w:val="1C3E6AF6"/>
    <w:rsid w:val="1CC83127"/>
    <w:rsid w:val="1DC80C5F"/>
    <w:rsid w:val="1DD705CD"/>
    <w:rsid w:val="1EB722CE"/>
    <w:rsid w:val="1EC768E9"/>
    <w:rsid w:val="1F6D2BBE"/>
    <w:rsid w:val="20266D8A"/>
    <w:rsid w:val="208A2911"/>
    <w:rsid w:val="21132153"/>
    <w:rsid w:val="217F7D78"/>
    <w:rsid w:val="222C0D99"/>
    <w:rsid w:val="22A43D66"/>
    <w:rsid w:val="22C065C2"/>
    <w:rsid w:val="236D7CC0"/>
    <w:rsid w:val="239116F9"/>
    <w:rsid w:val="24535B2D"/>
    <w:rsid w:val="248236F0"/>
    <w:rsid w:val="24B347B6"/>
    <w:rsid w:val="24F60CEE"/>
    <w:rsid w:val="25BC4207"/>
    <w:rsid w:val="25F3C9E9"/>
    <w:rsid w:val="262C606D"/>
    <w:rsid w:val="265D5639"/>
    <w:rsid w:val="26672631"/>
    <w:rsid w:val="26AD6E48"/>
    <w:rsid w:val="26E72DA5"/>
    <w:rsid w:val="26F33AE5"/>
    <w:rsid w:val="27065F43"/>
    <w:rsid w:val="274C00F3"/>
    <w:rsid w:val="27A5353A"/>
    <w:rsid w:val="27A675FA"/>
    <w:rsid w:val="27B357EE"/>
    <w:rsid w:val="290C745E"/>
    <w:rsid w:val="291B6A5F"/>
    <w:rsid w:val="29436065"/>
    <w:rsid w:val="29AB3369"/>
    <w:rsid w:val="2A684F32"/>
    <w:rsid w:val="2A9D629F"/>
    <w:rsid w:val="2B8A543C"/>
    <w:rsid w:val="2BEF29AB"/>
    <w:rsid w:val="2CD47BC0"/>
    <w:rsid w:val="2D2C25D8"/>
    <w:rsid w:val="2D4C786A"/>
    <w:rsid w:val="2DB634BD"/>
    <w:rsid w:val="2E434D33"/>
    <w:rsid w:val="2E4A5073"/>
    <w:rsid w:val="2E5936BD"/>
    <w:rsid w:val="2EA700BB"/>
    <w:rsid w:val="2EA76ACE"/>
    <w:rsid w:val="2EF005EA"/>
    <w:rsid w:val="2F5C6E33"/>
    <w:rsid w:val="2F7E546D"/>
    <w:rsid w:val="2F94264F"/>
    <w:rsid w:val="302765C7"/>
    <w:rsid w:val="305A2CB0"/>
    <w:rsid w:val="30C84E61"/>
    <w:rsid w:val="319E6326"/>
    <w:rsid w:val="321275D6"/>
    <w:rsid w:val="331770B1"/>
    <w:rsid w:val="33705686"/>
    <w:rsid w:val="33BF3EFE"/>
    <w:rsid w:val="33DA3D91"/>
    <w:rsid w:val="33FA39EB"/>
    <w:rsid w:val="3408433A"/>
    <w:rsid w:val="34604C36"/>
    <w:rsid w:val="34655CC5"/>
    <w:rsid w:val="34C374C3"/>
    <w:rsid w:val="359E24B7"/>
    <w:rsid w:val="35FF5E38"/>
    <w:rsid w:val="366148E4"/>
    <w:rsid w:val="3707583F"/>
    <w:rsid w:val="37D64B34"/>
    <w:rsid w:val="380363FC"/>
    <w:rsid w:val="3825534B"/>
    <w:rsid w:val="3846223E"/>
    <w:rsid w:val="38604D4F"/>
    <w:rsid w:val="38616E0F"/>
    <w:rsid w:val="38910E1B"/>
    <w:rsid w:val="391F5708"/>
    <w:rsid w:val="394728E3"/>
    <w:rsid w:val="394936D4"/>
    <w:rsid w:val="39820393"/>
    <w:rsid w:val="399932B9"/>
    <w:rsid w:val="3A357178"/>
    <w:rsid w:val="3A5C7A1E"/>
    <w:rsid w:val="3A8223BA"/>
    <w:rsid w:val="3A837EF1"/>
    <w:rsid w:val="3AAF5FED"/>
    <w:rsid w:val="3B0C4B6A"/>
    <w:rsid w:val="3B88474A"/>
    <w:rsid w:val="3BAE2D70"/>
    <w:rsid w:val="3BBE6181"/>
    <w:rsid w:val="3BE058B1"/>
    <w:rsid w:val="3C351412"/>
    <w:rsid w:val="3C79117D"/>
    <w:rsid w:val="3CFD4CEC"/>
    <w:rsid w:val="3CFFF41E"/>
    <w:rsid w:val="3D461C12"/>
    <w:rsid w:val="3D814536"/>
    <w:rsid w:val="3DA30279"/>
    <w:rsid w:val="3DEA61A3"/>
    <w:rsid w:val="3E314596"/>
    <w:rsid w:val="3E5C2E13"/>
    <w:rsid w:val="3EBB12F8"/>
    <w:rsid w:val="3EFD6469"/>
    <w:rsid w:val="3F136F08"/>
    <w:rsid w:val="3F1453E2"/>
    <w:rsid w:val="3F6E03EA"/>
    <w:rsid w:val="3F7DFAAC"/>
    <w:rsid w:val="3F7E9D2A"/>
    <w:rsid w:val="3F875451"/>
    <w:rsid w:val="3FF0495B"/>
    <w:rsid w:val="3FFFABAB"/>
    <w:rsid w:val="40266BC0"/>
    <w:rsid w:val="424779B1"/>
    <w:rsid w:val="43311772"/>
    <w:rsid w:val="437A6AAC"/>
    <w:rsid w:val="43912142"/>
    <w:rsid w:val="43BB6137"/>
    <w:rsid w:val="44DD3637"/>
    <w:rsid w:val="44F268EB"/>
    <w:rsid w:val="451930DF"/>
    <w:rsid w:val="45365CE4"/>
    <w:rsid w:val="45A07594"/>
    <w:rsid w:val="45C649C8"/>
    <w:rsid w:val="45DD4EEC"/>
    <w:rsid w:val="46193601"/>
    <w:rsid w:val="4667459A"/>
    <w:rsid w:val="467811B4"/>
    <w:rsid w:val="468E49CF"/>
    <w:rsid w:val="46CE3DAE"/>
    <w:rsid w:val="4710514F"/>
    <w:rsid w:val="47401BD9"/>
    <w:rsid w:val="47776128"/>
    <w:rsid w:val="480109E1"/>
    <w:rsid w:val="487D67F8"/>
    <w:rsid w:val="49601DCE"/>
    <w:rsid w:val="49806FDD"/>
    <w:rsid w:val="49BD0665"/>
    <w:rsid w:val="4A8F3EEC"/>
    <w:rsid w:val="4B035E4E"/>
    <w:rsid w:val="4B314FEE"/>
    <w:rsid w:val="4B6D5936"/>
    <w:rsid w:val="4B8B1A51"/>
    <w:rsid w:val="4BF45AF4"/>
    <w:rsid w:val="4C3860BD"/>
    <w:rsid w:val="4C830CBE"/>
    <w:rsid w:val="4CC94B9E"/>
    <w:rsid w:val="4D0F5EE4"/>
    <w:rsid w:val="4D352BC9"/>
    <w:rsid w:val="4D4774EB"/>
    <w:rsid w:val="4DB24E07"/>
    <w:rsid w:val="4DD11B63"/>
    <w:rsid w:val="4E440C4B"/>
    <w:rsid w:val="4F0B3991"/>
    <w:rsid w:val="4F18074C"/>
    <w:rsid w:val="4FC70E2B"/>
    <w:rsid w:val="4FE32D00"/>
    <w:rsid w:val="50287AB7"/>
    <w:rsid w:val="503437DD"/>
    <w:rsid w:val="503C4BB7"/>
    <w:rsid w:val="509C5C2D"/>
    <w:rsid w:val="510A5A45"/>
    <w:rsid w:val="510B5604"/>
    <w:rsid w:val="514A52A4"/>
    <w:rsid w:val="51FED7AB"/>
    <w:rsid w:val="52440E17"/>
    <w:rsid w:val="524E6243"/>
    <w:rsid w:val="525A01F6"/>
    <w:rsid w:val="526D68B8"/>
    <w:rsid w:val="5274067B"/>
    <w:rsid w:val="52AB09A4"/>
    <w:rsid w:val="53012D86"/>
    <w:rsid w:val="5365566B"/>
    <w:rsid w:val="53686091"/>
    <w:rsid w:val="54104DB2"/>
    <w:rsid w:val="548B076D"/>
    <w:rsid w:val="54B33656"/>
    <w:rsid w:val="54E41682"/>
    <w:rsid w:val="554B0322"/>
    <w:rsid w:val="55C721AD"/>
    <w:rsid w:val="55E170C6"/>
    <w:rsid w:val="55ED1CEF"/>
    <w:rsid w:val="56B52D59"/>
    <w:rsid w:val="56F80A17"/>
    <w:rsid w:val="57BF5935"/>
    <w:rsid w:val="57E4246C"/>
    <w:rsid w:val="58DD0D97"/>
    <w:rsid w:val="590D66FE"/>
    <w:rsid w:val="592314F5"/>
    <w:rsid w:val="5930722A"/>
    <w:rsid w:val="598E0D10"/>
    <w:rsid w:val="59A70E73"/>
    <w:rsid w:val="59B02021"/>
    <w:rsid w:val="59B33F93"/>
    <w:rsid w:val="5A1343A0"/>
    <w:rsid w:val="5A6842B2"/>
    <w:rsid w:val="5B37355E"/>
    <w:rsid w:val="5B525DE1"/>
    <w:rsid w:val="5BC3621E"/>
    <w:rsid w:val="5BD462C2"/>
    <w:rsid w:val="5DB1535D"/>
    <w:rsid w:val="5E15517A"/>
    <w:rsid w:val="5E2F1AB2"/>
    <w:rsid w:val="5E4342D0"/>
    <w:rsid w:val="5E8B68A9"/>
    <w:rsid w:val="5EFA7CCD"/>
    <w:rsid w:val="5EFEA01A"/>
    <w:rsid w:val="5F6318A0"/>
    <w:rsid w:val="5FF7BFBB"/>
    <w:rsid w:val="5FFB7D95"/>
    <w:rsid w:val="5FFFE7E7"/>
    <w:rsid w:val="604A7E4D"/>
    <w:rsid w:val="607F5FA2"/>
    <w:rsid w:val="60816481"/>
    <w:rsid w:val="60A83BEF"/>
    <w:rsid w:val="61283336"/>
    <w:rsid w:val="61CB086F"/>
    <w:rsid w:val="61EC61D5"/>
    <w:rsid w:val="620F3632"/>
    <w:rsid w:val="622D5B65"/>
    <w:rsid w:val="62C03308"/>
    <w:rsid w:val="62C27FB5"/>
    <w:rsid w:val="62C407A9"/>
    <w:rsid w:val="62FFD7E5"/>
    <w:rsid w:val="63105834"/>
    <w:rsid w:val="631B356D"/>
    <w:rsid w:val="63301864"/>
    <w:rsid w:val="635850D0"/>
    <w:rsid w:val="63A41FE7"/>
    <w:rsid w:val="63FF12C6"/>
    <w:rsid w:val="65A4478F"/>
    <w:rsid w:val="667941CF"/>
    <w:rsid w:val="670F6A13"/>
    <w:rsid w:val="675D1920"/>
    <w:rsid w:val="679C3263"/>
    <w:rsid w:val="681D0C49"/>
    <w:rsid w:val="69552B32"/>
    <w:rsid w:val="69632DF4"/>
    <w:rsid w:val="699A5665"/>
    <w:rsid w:val="6A6E5B44"/>
    <w:rsid w:val="6C4C4637"/>
    <w:rsid w:val="6C9A5754"/>
    <w:rsid w:val="6CDA70B2"/>
    <w:rsid w:val="6D0476D0"/>
    <w:rsid w:val="6D5F48CC"/>
    <w:rsid w:val="6DF220B0"/>
    <w:rsid w:val="6EDF2B34"/>
    <w:rsid w:val="6EDFE774"/>
    <w:rsid w:val="6EFFB83F"/>
    <w:rsid w:val="6F577A4B"/>
    <w:rsid w:val="6F5E3DC9"/>
    <w:rsid w:val="6F7622AF"/>
    <w:rsid w:val="6FBB27F8"/>
    <w:rsid w:val="6FDEB9F0"/>
    <w:rsid w:val="6FEF9A12"/>
    <w:rsid w:val="700A49A0"/>
    <w:rsid w:val="70197979"/>
    <w:rsid w:val="70574F8D"/>
    <w:rsid w:val="70BD57B1"/>
    <w:rsid w:val="719742BD"/>
    <w:rsid w:val="71A63542"/>
    <w:rsid w:val="71B67DD9"/>
    <w:rsid w:val="72044B77"/>
    <w:rsid w:val="73AB02E7"/>
    <w:rsid w:val="73BB21EF"/>
    <w:rsid w:val="74827CAF"/>
    <w:rsid w:val="7500581E"/>
    <w:rsid w:val="75517E79"/>
    <w:rsid w:val="757DE146"/>
    <w:rsid w:val="75A131ED"/>
    <w:rsid w:val="765D7FA0"/>
    <w:rsid w:val="76637569"/>
    <w:rsid w:val="76765196"/>
    <w:rsid w:val="76C119FE"/>
    <w:rsid w:val="771A43C7"/>
    <w:rsid w:val="77ED324C"/>
    <w:rsid w:val="787A25CC"/>
    <w:rsid w:val="7897B912"/>
    <w:rsid w:val="78AD69DC"/>
    <w:rsid w:val="790E5DD7"/>
    <w:rsid w:val="79367BCD"/>
    <w:rsid w:val="7973513E"/>
    <w:rsid w:val="7AF78C0C"/>
    <w:rsid w:val="7B540214"/>
    <w:rsid w:val="7B6E4B58"/>
    <w:rsid w:val="7B8F41E8"/>
    <w:rsid w:val="7BD004F2"/>
    <w:rsid w:val="7BD783D1"/>
    <w:rsid w:val="7BDF19B6"/>
    <w:rsid w:val="7C11009B"/>
    <w:rsid w:val="7C2B5754"/>
    <w:rsid w:val="7C8B39D5"/>
    <w:rsid w:val="7C9E023F"/>
    <w:rsid w:val="7CA513CE"/>
    <w:rsid w:val="7CFF5331"/>
    <w:rsid w:val="7D7E4D75"/>
    <w:rsid w:val="7DC225AF"/>
    <w:rsid w:val="7DCE3C29"/>
    <w:rsid w:val="7DDE08D9"/>
    <w:rsid w:val="7DEE5D7A"/>
    <w:rsid w:val="7DFF3863"/>
    <w:rsid w:val="7E4C2E92"/>
    <w:rsid w:val="7E765AE7"/>
    <w:rsid w:val="7ECF8850"/>
    <w:rsid w:val="7EDE6618"/>
    <w:rsid w:val="7EFC251D"/>
    <w:rsid w:val="7F5F7E04"/>
    <w:rsid w:val="7F7D58EC"/>
    <w:rsid w:val="7FDF71F4"/>
    <w:rsid w:val="99FD184E"/>
    <w:rsid w:val="9D4B5CFF"/>
    <w:rsid w:val="9E9C02DE"/>
    <w:rsid w:val="ABF27514"/>
    <w:rsid w:val="AEFAA925"/>
    <w:rsid w:val="AFF529F6"/>
    <w:rsid w:val="B49FA58E"/>
    <w:rsid w:val="B6CCF19E"/>
    <w:rsid w:val="BA7B23C6"/>
    <w:rsid w:val="BBFF33A6"/>
    <w:rsid w:val="BDDCF4BE"/>
    <w:rsid w:val="BFF5C72B"/>
    <w:rsid w:val="C76F4482"/>
    <w:rsid w:val="C7FB36D3"/>
    <w:rsid w:val="C9FF3829"/>
    <w:rsid w:val="CB7BD344"/>
    <w:rsid w:val="CBECFA6B"/>
    <w:rsid w:val="CDBE4A80"/>
    <w:rsid w:val="CF8B8C98"/>
    <w:rsid w:val="D3FF5D4A"/>
    <w:rsid w:val="D4AFC22F"/>
    <w:rsid w:val="D5EF99D1"/>
    <w:rsid w:val="D7FB57F2"/>
    <w:rsid w:val="DB5BA120"/>
    <w:rsid w:val="DB77B741"/>
    <w:rsid w:val="DDA64439"/>
    <w:rsid w:val="DF7FA728"/>
    <w:rsid w:val="DFAFF60A"/>
    <w:rsid w:val="DFBE4C73"/>
    <w:rsid w:val="DFBF2A92"/>
    <w:rsid w:val="DFF7E9E8"/>
    <w:rsid w:val="E3D7396A"/>
    <w:rsid w:val="E9F71EFB"/>
    <w:rsid w:val="EDD091AE"/>
    <w:rsid w:val="EF1FAE1F"/>
    <w:rsid w:val="F371C1F3"/>
    <w:rsid w:val="F4CD4FB6"/>
    <w:rsid w:val="F97F3B45"/>
    <w:rsid w:val="F97FA3E6"/>
    <w:rsid w:val="FB5BE05E"/>
    <w:rsid w:val="FBFB4E6B"/>
    <w:rsid w:val="FC987D05"/>
    <w:rsid w:val="FD5F2935"/>
    <w:rsid w:val="FDBF8042"/>
    <w:rsid w:val="FDFDA68C"/>
    <w:rsid w:val="FE3F8689"/>
    <w:rsid w:val="FE734873"/>
    <w:rsid w:val="FEDCF326"/>
    <w:rsid w:val="FEF984A0"/>
    <w:rsid w:val="FEFD4B7A"/>
    <w:rsid w:val="FF3F34A3"/>
    <w:rsid w:val="FF9FD9A5"/>
    <w:rsid w:val="FFEFA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0"/>
    <w:pPr>
      <w:spacing w:line="360" w:lineRule="auto"/>
      <w:ind w:firstLine="560" w:firstLineChars="200"/>
    </w:pPr>
    <w:rPr>
      <w:sz w:val="28"/>
    </w:rPr>
  </w:style>
  <w:style w:type="paragraph" w:styleId="4">
    <w:name w:val="Body Text First Indent 2"/>
    <w:basedOn w:val="3"/>
    <w:next w:val="1"/>
    <w:qFormat/>
    <w:uiPriority w:val="0"/>
    <w:pPr>
      <w:ind w:firstLine="420" w:firstLineChars="200"/>
    </w:pPr>
  </w:style>
  <w:style w:type="paragraph" w:styleId="5">
    <w:name w:val="Balloon Text"/>
    <w:basedOn w:val="1"/>
    <w:link w:val="15"/>
    <w:unhideWhenUsed/>
    <w:qFormat/>
    <w:uiPriority w:val="99"/>
    <w:rPr>
      <w:sz w:val="18"/>
      <w:szCs w:val="18"/>
    </w:rPr>
  </w:style>
  <w:style w:type="paragraph" w:styleId="6">
    <w:name w:val="footer"/>
    <w:basedOn w:val="1"/>
    <w:next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批注框文本 字符"/>
    <w:basedOn w:val="12"/>
    <w:link w:val="5"/>
    <w:semiHidden/>
    <w:qFormat/>
    <w:uiPriority w:val="99"/>
    <w:rPr>
      <w:sz w:val="18"/>
      <w:szCs w:val="18"/>
    </w:rPr>
  </w:style>
  <w:style w:type="character" w:customStyle="1" w:styleId="16">
    <w:name w:val="font21"/>
    <w:basedOn w:val="12"/>
    <w:qFormat/>
    <w:uiPriority w:val="0"/>
    <w:rPr>
      <w:rFonts w:ascii="方正黑体_GBK" w:hAnsi="方正黑体_GBK" w:eastAsia="方正黑体_GBK" w:cs="方正黑体_GBK"/>
      <w:color w:val="000000"/>
      <w:sz w:val="24"/>
      <w:szCs w:val="24"/>
      <w:u w:val="none"/>
    </w:rPr>
  </w:style>
  <w:style w:type="character" w:customStyle="1" w:styleId="17">
    <w:name w:val="font11"/>
    <w:basedOn w:val="12"/>
    <w:qFormat/>
    <w:uiPriority w:val="0"/>
    <w:rPr>
      <w:rFonts w:ascii="方正仿宋_GBK" w:hAnsi="方正仿宋_GBK" w:eastAsia="方正仿宋_GBK" w:cs="方正仿宋_GBK"/>
      <w:color w:val="000000"/>
      <w:sz w:val="24"/>
      <w:szCs w:val="24"/>
      <w:u w:val="none"/>
    </w:rPr>
  </w:style>
  <w:style w:type="character" w:customStyle="1" w:styleId="18">
    <w:name w:val="font91"/>
    <w:basedOn w:val="12"/>
    <w:qFormat/>
    <w:uiPriority w:val="0"/>
    <w:rPr>
      <w:rFonts w:hint="default" w:ascii="方正小标宋简体" w:hAnsi="方正小标宋简体" w:eastAsia="方正小标宋简体" w:cs="方正小标宋简体"/>
      <w:color w:val="000000"/>
      <w:sz w:val="28"/>
      <w:szCs w:val="28"/>
      <w:u w:val="none"/>
    </w:rPr>
  </w:style>
  <w:style w:type="character" w:customStyle="1" w:styleId="19">
    <w:name w:val="font101"/>
    <w:basedOn w:val="12"/>
    <w:qFormat/>
    <w:uiPriority w:val="0"/>
    <w:rPr>
      <w:rFonts w:hint="default" w:ascii="Times New Roman" w:hAnsi="Times New Roman" w:cs="Times New Roman"/>
      <w:color w:val="000000"/>
      <w:sz w:val="28"/>
      <w:szCs w:val="28"/>
      <w:u w:val="none"/>
    </w:rPr>
  </w:style>
  <w:style w:type="character" w:customStyle="1" w:styleId="20">
    <w:name w:val="font31"/>
    <w:basedOn w:val="12"/>
    <w:qFormat/>
    <w:uiPriority w:val="0"/>
    <w:rPr>
      <w:rFonts w:hint="eastAsia" w:ascii="宋体" w:hAnsi="宋体" w:eastAsia="宋体" w:cs="宋体"/>
      <w:color w:val="000000"/>
      <w:sz w:val="20"/>
      <w:szCs w:val="20"/>
      <w:u w:val="none"/>
    </w:rPr>
  </w:style>
  <w:style w:type="character" w:customStyle="1" w:styleId="21">
    <w:name w:val="font112"/>
    <w:basedOn w:val="12"/>
    <w:qFormat/>
    <w:uiPriority w:val="0"/>
    <w:rPr>
      <w:rFonts w:hint="default" w:ascii="Times New Roman" w:hAnsi="Times New Roman" w:cs="Times New Roman"/>
      <w:color w:val="000000"/>
      <w:sz w:val="20"/>
      <w:szCs w:val="20"/>
      <w:u w:val="none"/>
    </w:rPr>
  </w:style>
  <w:style w:type="character" w:customStyle="1" w:styleId="22">
    <w:name w:val="font41"/>
    <w:basedOn w:val="12"/>
    <w:qFormat/>
    <w:uiPriority w:val="0"/>
    <w:rPr>
      <w:rFonts w:hint="default" w:ascii="Times New Roman" w:hAnsi="Times New Roman" w:cs="Times New Roman"/>
      <w:color w:val="000000"/>
      <w:sz w:val="18"/>
      <w:szCs w:val="18"/>
      <w:u w:val="none"/>
    </w:rPr>
  </w:style>
  <w:style w:type="character" w:customStyle="1" w:styleId="23">
    <w:name w:val="font51"/>
    <w:basedOn w:val="12"/>
    <w:qFormat/>
    <w:uiPriority w:val="0"/>
    <w:rPr>
      <w:rFonts w:hint="eastAsia" w:ascii="宋体" w:hAnsi="宋体" w:eastAsia="宋体" w:cs="宋体"/>
      <w:color w:val="000000"/>
      <w:sz w:val="18"/>
      <w:szCs w:val="18"/>
      <w:u w:val="none"/>
    </w:rPr>
  </w:style>
  <w:style w:type="character" w:customStyle="1" w:styleId="24">
    <w:name w:val="font71"/>
    <w:basedOn w:val="12"/>
    <w:qFormat/>
    <w:uiPriority w:val="0"/>
    <w:rPr>
      <w:rFonts w:ascii="仿宋" w:hAnsi="仿宋" w:eastAsia="仿宋" w:cs="仿宋"/>
      <w:color w:val="000000"/>
      <w:sz w:val="20"/>
      <w:szCs w:val="20"/>
      <w:u w:val="none"/>
    </w:rPr>
  </w:style>
  <w:style w:type="character" w:customStyle="1" w:styleId="25">
    <w:name w:val="font121"/>
    <w:basedOn w:val="12"/>
    <w:qFormat/>
    <w:uiPriority w:val="0"/>
    <w:rPr>
      <w:rFonts w:hint="eastAsia" w:ascii="宋体" w:hAnsi="宋体" w:eastAsia="宋体" w:cs="宋体"/>
      <w:color w:val="000000"/>
      <w:sz w:val="16"/>
      <w:szCs w:val="16"/>
      <w:u w:val="none"/>
    </w:rPr>
  </w:style>
  <w:style w:type="character" w:customStyle="1" w:styleId="26">
    <w:name w:val="font01"/>
    <w:basedOn w:val="12"/>
    <w:qFormat/>
    <w:uiPriority w:val="0"/>
    <w:rPr>
      <w:rFonts w:hint="default" w:ascii="Times New Roman" w:hAnsi="Times New Roman" w:cs="Times New Roman"/>
      <w:color w:val="000000"/>
      <w:sz w:val="16"/>
      <w:szCs w:val="16"/>
      <w:u w:val="none"/>
    </w:rPr>
  </w:style>
  <w:style w:type="paragraph" w:customStyle="1" w:styleId="27">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826</Words>
  <Characters>4714</Characters>
  <Lines>39</Lines>
  <Paragraphs>11</Paragraphs>
  <TotalTime>11</TotalTime>
  <ScaleCrop>false</ScaleCrop>
  <LinksUpToDate>false</LinksUpToDate>
  <CharactersWithSpaces>5529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2023-03-04T04:40:00Z</dcterms:created>
  <dc:creator>翘楚 李</dc:creator>
  <cp:lastModifiedBy>Administrator</cp:lastModifiedBy>
  <cp:lastPrinted>2025-03-18T03:21:00Z</cp:lastPrinted>
  <dcterms:modified xsi:type="dcterms:W3CDTF">2025-03-21T11:13:24Z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B563D5EECACE26343880C967616E9308</vt:lpwstr>
  </property>
</Properties>
</file>