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华文宋体" w:hAnsi="华文宋体" w:eastAsia="华文宋体" w:cs="华文宋体"/>
          <w:b w:val="0"/>
          <w:bCs w:val="0"/>
          <w:sz w:val="28"/>
          <w:szCs w:val="28"/>
          <w:lang w:val="en-US" w:eastAsia="zh-CN"/>
        </w:rPr>
      </w:pPr>
      <w:r>
        <w:rPr>
          <w:rFonts w:hint="eastAsia" w:ascii="华文宋体" w:hAnsi="华文宋体" w:eastAsia="华文宋体" w:cs="华文宋体"/>
          <w:b w:val="0"/>
          <w:bCs w:val="0"/>
          <w:sz w:val="28"/>
          <w:szCs w:val="28"/>
          <w:lang w:eastAsia="zh-CN"/>
        </w:rPr>
        <w:t>附件</w:t>
      </w:r>
      <w:r>
        <w:rPr>
          <w:rFonts w:hint="eastAsia" w:ascii="华文宋体" w:hAnsi="华文宋体" w:eastAsia="华文宋体" w:cs="华文宋体"/>
          <w:b w:val="0"/>
          <w:bCs w:val="0"/>
          <w:sz w:val="28"/>
          <w:szCs w:val="28"/>
          <w:lang w:val="en-US" w:eastAsia="zh-CN"/>
        </w:rPr>
        <w:t>5</w:t>
      </w:r>
    </w:p>
    <w:p>
      <w:pPr>
        <w:spacing w:line="600" w:lineRule="exact"/>
        <w:rPr>
          <w:rFonts w:hint="eastAsia" w:ascii="华文宋体" w:hAnsi="华文宋体" w:eastAsia="华文宋体" w:cs="华文宋体"/>
        </w:rPr>
      </w:pPr>
    </w:p>
    <w:p>
      <w:pPr>
        <w:spacing w:line="600" w:lineRule="exact"/>
      </w:pPr>
    </w:p>
    <w:p>
      <w:pPr>
        <w:spacing w:line="600" w:lineRule="exact"/>
      </w:pPr>
    </w:p>
    <w:p>
      <w:pPr>
        <w:spacing w:line="600" w:lineRule="exact"/>
        <w:jc w:val="center"/>
        <w:rPr>
          <w:rFonts w:ascii="方正小标宋_GBK" w:eastAsia="方正小标宋_GBK"/>
          <w:sz w:val="44"/>
          <w:szCs w:val="44"/>
        </w:rPr>
      </w:pPr>
      <w:r>
        <w:rPr>
          <w:rFonts w:hint="eastAsia" w:ascii="方正小标宋_GBK" w:eastAsia="方正小标宋_GBK"/>
          <w:sz w:val="44"/>
          <w:szCs w:val="44"/>
        </w:rPr>
        <w:t>新疆农村综合改革转移支付2021年度</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绩效自评报告</w:t>
      </w:r>
    </w:p>
    <w:p>
      <w:pPr>
        <w:spacing w:line="600" w:lineRule="exact"/>
        <w:jc w:val="center"/>
        <w:rPr>
          <w:rFonts w:ascii="方正小标宋_GBK" w:eastAsia="方正小标宋_GBK"/>
          <w:sz w:val="44"/>
          <w:szCs w:val="44"/>
        </w:rPr>
      </w:pPr>
      <w:r>
        <w:rPr>
          <w:rFonts w:hint="eastAsia" w:ascii="方正小标宋_GBK" w:eastAsia="方正小标宋_GBK"/>
          <w:sz w:val="44"/>
          <w:szCs w:val="44"/>
        </w:rPr>
        <w:t>（2021年度）</w:t>
      </w:r>
    </w:p>
    <w:p>
      <w:pPr>
        <w:spacing w:line="600" w:lineRule="exact"/>
        <w:rPr>
          <w:rFonts w:ascii="方正小标宋_GBK" w:eastAsia="方正小标宋_GBK"/>
          <w:sz w:val="44"/>
          <w:szCs w:val="44"/>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rPr>
          <w:rFonts w:ascii="黑体" w:hAnsi="黑体" w:eastAsia="黑体"/>
          <w:sz w:val="32"/>
          <w:szCs w:val="32"/>
        </w:rPr>
      </w:pPr>
    </w:p>
    <w:p>
      <w:pPr>
        <w:spacing w:line="600" w:lineRule="exact"/>
        <w:ind w:firstLine="640" w:firstLineChars="200"/>
        <w:rPr>
          <w:rFonts w:ascii="仿宋_GB2312" w:hAnsi="黑体" w:eastAsia="仿宋_GB2312"/>
          <w:sz w:val="32"/>
          <w:szCs w:val="32"/>
        </w:rPr>
      </w:pPr>
      <w:r>
        <w:rPr>
          <w:rFonts w:hint="eastAsia" w:ascii="方正小标宋_GBK" w:hAnsi="黑体" w:eastAsia="方正小标宋_GBK"/>
          <w:sz w:val="32"/>
          <w:szCs w:val="32"/>
        </w:rPr>
        <w:t>项目名称：</w:t>
      </w:r>
      <w:r>
        <w:rPr>
          <w:rFonts w:hint="eastAsia" w:ascii="仿宋_GB2312" w:hAnsi="黑体" w:eastAsia="仿宋_GB2312"/>
          <w:sz w:val="32"/>
          <w:szCs w:val="32"/>
        </w:rPr>
        <w:t>农村综合改革转移支付</w:t>
      </w:r>
    </w:p>
    <w:p>
      <w:pPr>
        <w:spacing w:line="600" w:lineRule="exact"/>
        <w:ind w:firstLine="640" w:firstLineChars="200"/>
        <w:rPr>
          <w:rFonts w:ascii="仿宋_GB2312" w:hAnsi="黑体" w:eastAsia="仿宋_GB2312"/>
          <w:sz w:val="32"/>
          <w:szCs w:val="32"/>
        </w:rPr>
      </w:pPr>
      <w:r>
        <w:rPr>
          <w:rFonts w:hint="eastAsia" w:ascii="方正小标宋_GBK" w:hAnsi="黑体" w:eastAsia="方正小标宋_GBK"/>
          <w:sz w:val="32"/>
          <w:szCs w:val="32"/>
        </w:rPr>
        <w:t>实施单位：</w:t>
      </w:r>
      <w:r>
        <w:rPr>
          <w:rFonts w:hint="eastAsia" w:ascii="仿宋_GB2312" w:hAnsi="黑体" w:eastAsia="仿宋_GB2312"/>
          <w:sz w:val="32"/>
          <w:szCs w:val="32"/>
        </w:rPr>
        <w:t>农业农村处</w:t>
      </w:r>
    </w:p>
    <w:p>
      <w:pPr>
        <w:spacing w:line="600" w:lineRule="exact"/>
        <w:ind w:firstLine="640" w:firstLineChars="200"/>
        <w:rPr>
          <w:rFonts w:ascii="仿宋_GB2312" w:hAnsi="黑体" w:eastAsia="仿宋_GB2312"/>
          <w:sz w:val="32"/>
          <w:szCs w:val="32"/>
        </w:rPr>
      </w:pPr>
      <w:r>
        <w:rPr>
          <w:rFonts w:hint="eastAsia" w:ascii="方正小标宋_GBK" w:hAnsi="黑体" w:eastAsia="方正小标宋_GBK"/>
          <w:sz w:val="32"/>
          <w:szCs w:val="32"/>
        </w:rPr>
        <w:t>主管部门：</w:t>
      </w:r>
      <w:r>
        <w:rPr>
          <w:rFonts w:hint="eastAsia" w:ascii="仿宋_GB2312" w:hAnsi="黑体" w:eastAsia="仿宋_GB2312"/>
          <w:sz w:val="32"/>
          <w:szCs w:val="32"/>
        </w:rPr>
        <w:t>新疆维吾尔自治区财政厅</w:t>
      </w:r>
    </w:p>
    <w:p>
      <w:pPr>
        <w:spacing w:line="600" w:lineRule="exact"/>
        <w:ind w:firstLine="640" w:firstLineChars="200"/>
        <w:rPr>
          <w:rFonts w:ascii="仿宋_GB2312" w:hAnsi="黑体" w:eastAsia="仿宋_GB2312"/>
          <w:sz w:val="32"/>
          <w:szCs w:val="32"/>
        </w:rPr>
      </w:pPr>
      <w:r>
        <w:rPr>
          <w:rFonts w:hint="eastAsia" w:ascii="方正小标宋_GBK" w:hAnsi="黑体" w:eastAsia="方正小标宋_GBK"/>
          <w:sz w:val="32"/>
          <w:szCs w:val="32"/>
        </w:rPr>
        <w:t>项目负责人：</w:t>
      </w:r>
      <w:r>
        <w:rPr>
          <w:rFonts w:hint="eastAsia" w:ascii="仿宋_GB2312" w:hAnsi="黑体" w:eastAsia="仿宋_GB2312"/>
          <w:sz w:val="32"/>
          <w:szCs w:val="32"/>
        </w:rPr>
        <w:t>祖力甫哈尔·阿布都热甫</w:t>
      </w:r>
    </w:p>
    <w:p>
      <w:pPr>
        <w:spacing w:line="600" w:lineRule="exact"/>
        <w:ind w:firstLine="640" w:firstLineChars="200"/>
        <w:rPr>
          <w:rFonts w:ascii="仿宋_GB2312" w:hAnsi="黑体" w:eastAsia="仿宋_GB2312"/>
          <w:sz w:val="32"/>
          <w:szCs w:val="32"/>
        </w:rPr>
      </w:pPr>
      <w:r>
        <w:rPr>
          <w:rFonts w:hint="eastAsia" w:ascii="方正小标宋_GBK" w:hAnsi="黑体" w:eastAsia="方正小标宋_GBK"/>
          <w:sz w:val="32"/>
          <w:szCs w:val="32"/>
        </w:rPr>
        <w:t>填报时间：</w:t>
      </w:r>
      <w:r>
        <w:rPr>
          <w:rFonts w:hint="eastAsia" w:ascii="仿宋_GB2312" w:hAnsi="黑体" w:eastAsia="仿宋_GB2312"/>
          <w:sz w:val="32"/>
          <w:szCs w:val="32"/>
        </w:rPr>
        <w:t>2022年3月 10日</w:t>
      </w:r>
    </w:p>
    <w:p>
      <w:pPr>
        <w:spacing w:line="600" w:lineRule="exact"/>
        <w:rPr>
          <w:rFonts w:ascii="方正小标宋_GBK" w:eastAsia="方正小标宋_GBK"/>
        </w:rPr>
      </w:pPr>
    </w:p>
    <w:p>
      <w:pPr>
        <w:spacing w:line="600" w:lineRule="exact"/>
        <w:jc w:val="center"/>
        <w:rPr>
          <w:rFonts w:ascii="方正小标宋_GBK" w:eastAsia="方正小标宋_GBK"/>
          <w:sz w:val="44"/>
          <w:szCs w:val="44"/>
        </w:rPr>
      </w:pPr>
      <w:r>
        <w:rPr>
          <w:rFonts w:hint="eastAsia" w:ascii="方正小标宋_GBK" w:eastAsia="方正小标宋_GBK"/>
          <w:sz w:val="44"/>
          <w:szCs w:val="44"/>
        </w:rPr>
        <w:t>新疆农村综合改革转移支付2021年度</w:t>
      </w:r>
    </w:p>
    <w:p>
      <w:pPr>
        <w:spacing w:line="600" w:lineRule="exact"/>
        <w:jc w:val="center"/>
      </w:pPr>
      <w:r>
        <w:rPr>
          <w:rFonts w:hint="eastAsia" w:ascii="方正小标宋_GBK" w:eastAsia="方正小标宋_GBK"/>
          <w:sz w:val="44"/>
          <w:szCs w:val="44"/>
        </w:rPr>
        <w:t>绩效自评报告</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贯彻落实党中央全面实施预算绩效管理决策部署，根据《财政部关于开展2021年度中央对地方转移支付预算执行情况绩效自评工作的通知》（财监〔2022〕1号），新疆维吾尔自治区财政厅高度重视、严格按规范要求组织开展了2021年度农村综合改革转移支付资金绩效自评价工作，现将自评情况报告如下：</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一、绩效目标分解下达情况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（一）中央下达农村综合改革转移支付预算和绩效目标情况。</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1.下达预算情况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2021年度，财政部分批下达新疆2021年农村综合改革转移支付资金共73061万元，用于农村公益事业财政奖补、美丽乡村建设、扶持村级集体经济发展。详细如下：</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2020年12月，财政部《关于提前下达2021年农村综合改革转移支付预算的通知》（财农〔2020〕80号），下达新疆2021年农村综合改革转移支付资金49056万元，其中：农村公益事业财政奖补14122万元、美丽乡村建设7884万元、扶持村级集体经济发展27050万元。</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6月，财政部《关于下达2021年农村综合改革转移支付预算的通知》（财农〔2021〕53号），下达新疆2021年农村综合改革转移支付资金24005万元，其中：农村公益事业财政奖补6435万元、美丽乡村建设-2563万元、农垦国有农场办社会职能改革补助20133万元。</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2.下达绩效目标情况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财政部随文下达新疆区域绩效目，具体为：</w:t>
      </w:r>
    </w:p>
    <w:p>
      <w:pPr>
        <w:ind w:firstLine="640" w:firstLineChars="200"/>
        <w:rPr>
          <w:rFonts w:ascii="仿宋_GB2312" w:eastAsia="仿宋_GB2312"/>
          <w:sz w:val="32"/>
          <w:szCs w:val="32"/>
        </w:rPr>
      </w:pPr>
      <w:r>
        <w:rPr>
          <w:rFonts w:hint="eastAsia" w:ascii="仿宋_GB2312" w:eastAsia="仿宋_GB2312"/>
          <w:sz w:val="32"/>
          <w:szCs w:val="32"/>
        </w:rPr>
        <w:drawing>
          <wp:inline distT="0" distB="0" distL="114300" distR="114300">
            <wp:extent cx="5274310" cy="6209030"/>
            <wp:effectExtent l="0" t="0" r="13970" b="8890"/>
            <wp:docPr id="1" name="图片 1" descr="财农【2021】53号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财农【2021】53号_6"/>
                    <pic:cNvPicPr>
                      <a:picLocks noChangeAspect="1"/>
                    </pic:cNvPicPr>
                  </pic:nvPicPr>
                  <pic:blipFill>
                    <a:blip r:embed="rId5"/>
                    <a:stretch>
                      <a:fillRect/>
                    </a:stretch>
                  </pic:blipFill>
                  <pic:spPr>
                    <a:xfrm>
                      <a:off x="0" y="0"/>
                      <a:ext cx="5274310" cy="6209030"/>
                    </a:xfrm>
                    <a:prstGeom prst="rect">
                      <a:avLst/>
                    </a:prstGeom>
                  </pic:spPr>
                </pic:pic>
              </a:graphicData>
            </a:graphic>
          </wp:inline>
        </w:drawing>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（二）自治区资金安排、分解下达预算和绩效目标情况。</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1.自治区资金安排、分解下达预算情况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2020年12月，自治区《关于提前下达2021年中央农村综合改革转移支付预算（项目部分）的通知》（新财农〔2020〕127号）下达34336万元，《关于提前下达2021年中央农村综合改革转移支付预算（统筹整合部分）的通知》（新财农〔2020〕128号）下达14720万元，《关于提前下达2021年自治区农村综合改革转移支付预算（项目部分）的通知》（新财农〔2020〕129号）下达15390.02万元，《关于提前下达2021年自治区农村综合改革转移支付预算（统筹整合部分）的通知》（新财农〔2020〕130号）下达6609.98万元；2021年7月，自治区《关于下达2021年中央农村综合改革转移支付预算（统筹整合部分）的通知》（新财农〔2021〕58号）下达7213万元，《关于下达2021年中央农村综合改革转移支付预算（项目部分）的通知》（新财农〔2021〕59号）下达16792万元；2021年10月，自治区《关于下达2021年自治区扶持壮大村级集体经济补助资金的通知》（新财农〔2021〕74号）下达4650万元。新疆2021年农村综合改革转移支付项目，共计资金99711万元（其中：中央73061万元、自治区26650</w:t>
      </w:r>
      <w:r>
        <w:rPr>
          <w:rFonts w:ascii="仿宋_GB2312" w:eastAsia="仿宋_GB2312"/>
          <w:sz w:val="32"/>
          <w:szCs w:val="32"/>
        </w:rPr>
        <w:t>万元</w:t>
      </w:r>
      <w:r>
        <w:rPr>
          <w:rFonts w:hint="eastAsia" w:ascii="仿宋_GB2312" w:eastAsia="仿宋_GB2312"/>
          <w:sz w:val="32"/>
          <w:szCs w:val="32"/>
        </w:rPr>
        <w:t>），统筹整合部分</w:t>
      </w:r>
      <w:r>
        <w:rPr>
          <w:rFonts w:hint="eastAsia" w:ascii="仿宋_GB2312" w:hAnsi="Times New Roman" w:eastAsia="仿宋_GB2312" w:cs="Times New Roman"/>
          <w:sz w:val="30"/>
          <w:szCs w:val="30"/>
        </w:rPr>
        <w:t>28542.98万元。</w:t>
      </w:r>
      <w:r>
        <w:rPr>
          <w:rFonts w:hint="eastAsia" w:ascii="仿宋_GB2312" w:eastAsia="仿宋_GB2312"/>
          <w:sz w:val="32"/>
          <w:szCs w:val="32"/>
        </w:rPr>
        <w:t>资金分解如下：</w:t>
      </w:r>
    </w:p>
    <w:p>
      <w:pPr>
        <w:spacing w:line="600" w:lineRule="exact"/>
        <w:ind w:firstLine="640" w:firstLineChars="200"/>
        <w:rPr>
          <w:rFonts w:ascii="仿宋_GB2312" w:eastAsia="仿宋_GB2312"/>
          <w:sz w:val="32"/>
          <w:szCs w:val="32"/>
        </w:rPr>
      </w:pPr>
    </w:p>
    <w:p>
      <w:pPr>
        <w:spacing w:line="560" w:lineRule="exact"/>
        <w:ind w:firstLine="640" w:firstLineChars="200"/>
        <w:outlineLvl w:val="0"/>
        <w:rPr>
          <w:rFonts w:ascii="仿宋_GB2312" w:eastAsia="仿宋_GB2312"/>
          <w:sz w:val="32"/>
          <w:szCs w:val="32"/>
        </w:rPr>
      </w:pPr>
    </w:p>
    <w:p>
      <w:pPr>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（1）根据项目分解情况</w:t>
      </w:r>
    </w:p>
    <w:tbl>
      <w:tblPr>
        <w:tblStyle w:val="6"/>
        <w:tblW w:w="841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00"/>
        <w:gridCol w:w="5400"/>
        <w:gridCol w:w="18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1"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序号</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项目</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资金（万元）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3"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农村公益事业财政奖补</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25530.02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美丽乡村建设试点</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5250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扶持壮大村级集体经济</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27050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4"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农垦国有农牧场办社会职能改革补助</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13338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jc w:val="center"/>
        </w:trPr>
        <w:tc>
          <w:tcPr>
            <w:tcW w:w="1200"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5</w:t>
            </w:r>
          </w:p>
        </w:tc>
        <w:tc>
          <w:tcPr>
            <w:tcW w:w="5400"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统筹整合（不做绩效评价）</w:t>
            </w:r>
          </w:p>
        </w:tc>
        <w:tc>
          <w:tcPr>
            <w:tcW w:w="1811"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28542.98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atLeast"/>
          <w:jc w:val="center"/>
        </w:trPr>
        <w:tc>
          <w:tcPr>
            <w:tcW w:w="12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6</w:t>
            </w:r>
          </w:p>
        </w:tc>
        <w:tc>
          <w:tcPr>
            <w:tcW w:w="5400"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合计</w:t>
            </w:r>
          </w:p>
        </w:tc>
        <w:tc>
          <w:tcPr>
            <w:tcW w:w="1811"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99711</w:t>
            </w:r>
          </w:p>
        </w:tc>
      </w:tr>
    </w:tbl>
    <w:p>
      <w:pPr>
        <w:spacing w:line="620" w:lineRule="exact"/>
        <w:ind w:firstLine="640" w:firstLineChars="200"/>
        <w:outlineLvl w:val="0"/>
        <w:rPr>
          <w:rFonts w:ascii="仿宋_GB2312" w:eastAsia="仿宋_GB2312"/>
          <w:sz w:val="32"/>
          <w:szCs w:val="32"/>
        </w:rPr>
      </w:pPr>
      <w:r>
        <w:rPr>
          <w:rFonts w:hint="eastAsia" w:ascii="仿宋_GB2312" w:eastAsia="仿宋_GB2312"/>
          <w:sz w:val="32"/>
          <w:szCs w:val="32"/>
        </w:rPr>
        <w:t>（2）根据地州市分解情况</w:t>
      </w:r>
    </w:p>
    <w:tbl>
      <w:tblPr>
        <w:tblStyle w:val="6"/>
        <w:tblW w:w="798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88"/>
        <w:gridCol w:w="3932"/>
        <w:gridCol w:w="22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1"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序号</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地州市</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资金（万元）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乌鲁木齐</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1198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克拉玛依</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392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9"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伊犁州</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6540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塔城地区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4996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5</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阿勒泰地区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3912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6</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博州</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4866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7</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昌吉州</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2710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8</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巴州</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4528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9</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阿克苏地区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9815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10</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克州</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5486.08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8"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11</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喀什地区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28340.38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12</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和田地区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23441.54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8"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13</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吐鲁番地区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1426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7"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14</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哈密地区</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2060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8" w:hRule="atLeast"/>
          <w:jc w:val="center"/>
        </w:trPr>
        <w:tc>
          <w:tcPr>
            <w:tcW w:w="1788"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15</w:t>
            </w:r>
          </w:p>
        </w:tc>
        <w:tc>
          <w:tcPr>
            <w:tcW w:w="393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合计</w:t>
            </w:r>
          </w:p>
        </w:tc>
        <w:tc>
          <w:tcPr>
            <w:tcW w:w="226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99711</w:t>
            </w:r>
          </w:p>
        </w:tc>
      </w:tr>
    </w:tbl>
    <w:p>
      <w:pPr>
        <w:rPr>
          <w:rFonts w:ascii="仿宋_GB2312" w:eastAsia="仿宋_GB2312"/>
          <w:b/>
          <w:sz w:val="32"/>
          <w:szCs w:val="32"/>
        </w:rPr>
        <w:sectPr>
          <w:footerReference r:id="rId3" w:type="default"/>
          <w:pgSz w:w="11906" w:h="16838"/>
          <w:pgMar w:top="1440" w:right="1797" w:bottom="1440" w:left="1797" w:header="851" w:footer="992" w:gutter="0"/>
          <w:pgNumType w:fmt="numberInDash"/>
          <w:cols w:space="425" w:num="1"/>
          <w:docGrid w:type="lines" w:linePitch="312" w:charSpace="0"/>
        </w:sectPr>
      </w:pPr>
      <w:r>
        <w:rPr>
          <w:rFonts w:hint="eastAsia" w:ascii="仿宋_GB2312" w:eastAsia="仿宋_GB2312"/>
          <w:b/>
          <w:sz w:val="32"/>
          <w:szCs w:val="32"/>
        </w:rPr>
        <w:br w:type="page"/>
      </w:r>
    </w:p>
    <w:p>
      <w:pPr>
        <w:rPr>
          <w:rFonts w:ascii="仿宋_GB2312" w:eastAsia="仿宋_GB2312"/>
          <w:b/>
          <w:sz w:val="32"/>
          <w:szCs w:val="32"/>
        </w:rPr>
      </w:pPr>
      <w:r>
        <w:rPr>
          <w:rFonts w:hint="eastAsia" w:ascii="仿宋_GB2312" w:eastAsia="仿宋_GB2312"/>
          <w:b/>
          <w:sz w:val="32"/>
          <w:szCs w:val="32"/>
        </w:rPr>
        <w:t>2.自治区分解下达绩效目标情况如下</w:t>
      </w:r>
    </w:p>
    <w:p>
      <w:pPr>
        <w:spacing w:line="600" w:lineRule="exact"/>
        <w:ind w:firstLine="640" w:firstLineChars="200"/>
        <w:rPr>
          <w:rFonts w:ascii="仿宋_GB2312" w:eastAsia="仿宋_GB2312"/>
          <w:bCs/>
          <w:sz w:val="32"/>
          <w:szCs w:val="32"/>
        </w:rPr>
      </w:pPr>
      <w:r>
        <w:rPr>
          <w:rFonts w:hint="eastAsia" w:ascii="仿宋_GB2312" w:eastAsia="仿宋_GB2312"/>
          <w:sz w:val="32"/>
          <w:szCs w:val="32"/>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491490</wp:posOffset>
            </wp:positionV>
            <wp:extent cx="8959215" cy="5267325"/>
            <wp:effectExtent l="0" t="0" r="0" b="9525"/>
            <wp:wrapSquare wrapText="bothSides"/>
            <wp:docPr id="6" name="图片 6" descr="附件3：2021年中央农村综合改革转移支付资金区域绩效目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3：2021年中央农村综合改革转移支付资金区域绩效目标表"/>
                    <pic:cNvPicPr>
                      <a:picLocks noChangeAspect="1"/>
                    </pic:cNvPicPr>
                  </pic:nvPicPr>
                  <pic:blipFill>
                    <a:blip r:embed="rId6">
                      <a:lum bright="-24000" contrast="48000"/>
                    </a:blip>
                    <a:srcRect t="4583"/>
                    <a:stretch>
                      <a:fillRect/>
                    </a:stretch>
                  </pic:blipFill>
                  <pic:spPr>
                    <a:xfrm>
                      <a:off x="0" y="0"/>
                      <a:ext cx="8959215" cy="5267325"/>
                    </a:xfrm>
                    <a:prstGeom prst="rect">
                      <a:avLst/>
                    </a:prstGeom>
                  </pic:spPr>
                </pic:pic>
              </a:graphicData>
            </a:graphic>
          </wp:anchor>
        </w:drawing>
      </w:r>
      <w:r>
        <w:rPr>
          <w:rFonts w:hint="eastAsia" w:ascii="仿宋_GB2312" w:eastAsia="仿宋_GB2312"/>
          <w:bCs/>
          <w:sz w:val="32"/>
          <w:szCs w:val="32"/>
        </w:rPr>
        <w:t>（1）2021年中央农村综合改革转移支付资金区域绩效目标表</w:t>
      </w:r>
    </w:p>
    <w:p>
      <w:pPr>
        <w:spacing w:line="600" w:lineRule="exact"/>
        <w:ind w:firstLine="643" w:firstLineChars="200"/>
        <w:rPr>
          <w:rFonts w:ascii="仿宋_GB2312" w:eastAsia="仿宋_GB2312"/>
          <w:b/>
          <w:sz w:val="32"/>
          <w:szCs w:val="32"/>
        </w:rPr>
        <w:sectPr>
          <w:pgSz w:w="16838" w:h="11906" w:orient="landscape"/>
          <w:pgMar w:top="1797" w:right="1440" w:bottom="1797" w:left="1440" w:header="851" w:footer="992" w:gutter="0"/>
          <w:pgNumType w:fmt="numberInDash"/>
          <w:cols w:space="425" w:num="1"/>
          <w:docGrid w:type="lines" w:linePitch="312" w:charSpace="0"/>
        </w:sectPr>
      </w:pPr>
    </w:p>
    <w:p>
      <w:pPr>
        <w:spacing w:line="640" w:lineRule="exact"/>
        <w:ind w:firstLine="640" w:firstLineChars="200"/>
        <w:outlineLvl w:val="0"/>
        <w:rPr>
          <w:rFonts w:ascii="仿宋_GB2312" w:eastAsia="仿宋_GB2312"/>
          <w:sz w:val="32"/>
          <w:szCs w:val="32"/>
        </w:rPr>
      </w:pPr>
      <w:r>
        <w:rPr>
          <w:rFonts w:hint="eastAsia" w:ascii="仿宋_GB2312" w:eastAsia="仿宋_GB2312"/>
          <w:sz w:val="32"/>
          <w:szCs w:val="32"/>
        </w:rPr>
        <w:t>(2)</w:t>
      </w:r>
      <w:r>
        <w:rPr>
          <w:rFonts w:hint="eastAsia" w:ascii="仿宋_GB2312" w:eastAsia="仿宋_GB2312"/>
          <w:bCs/>
          <w:sz w:val="32"/>
          <w:szCs w:val="32"/>
        </w:rPr>
        <w:t>2021年自治区农村综合改革转移支付资金区域绩效目标表</w:t>
      </w:r>
      <w:r>
        <w:rPr>
          <w:rFonts w:hint="eastAsia" w:ascii="仿宋_GB2312" w:eastAsia="仿宋_GB2312"/>
          <w:sz w:val="32"/>
          <w:szCs w:val="32"/>
        </w:rPr>
        <w:t>：</w:t>
      </w:r>
    </w:p>
    <w:p>
      <w:pPr>
        <w:ind w:firstLine="643" w:firstLineChars="200"/>
        <w:rPr>
          <w:rFonts w:ascii="仿宋_GB2312" w:eastAsia="仿宋_GB2312"/>
          <w:b/>
          <w:sz w:val="32"/>
          <w:szCs w:val="32"/>
        </w:rPr>
      </w:pPr>
      <w:r>
        <w:rPr>
          <w:rFonts w:hint="eastAsia" w:ascii="仿宋_GB2312" w:eastAsia="仿宋_GB2312"/>
          <w:b/>
          <w:sz w:val="32"/>
          <w:szCs w:val="32"/>
        </w:rPr>
        <w:drawing>
          <wp:anchor distT="0" distB="0" distL="114300" distR="114300" simplePos="0" relativeHeight="251660288" behindDoc="0" locked="0" layoutInCell="1" allowOverlap="1">
            <wp:simplePos x="0" y="0"/>
            <wp:positionH relativeFrom="column">
              <wp:posOffset>376555</wp:posOffset>
            </wp:positionH>
            <wp:positionV relativeFrom="paragraph">
              <wp:posOffset>6985</wp:posOffset>
            </wp:positionV>
            <wp:extent cx="8415655" cy="4812665"/>
            <wp:effectExtent l="0" t="0" r="12065" b="3175"/>
            <wp:wrapSquare wrapText="bothSides"/>
            <wp:docPr id="7" name="图片 7" descr="附件2：提前下达2021年自治区农村综合改革转移支付区域绩效目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2：提前下达2021年自治区农村综合改革转移支付区域绩效目标表"/>
                    <pic:cNvPicPr>
                      <a:picLocks noChangeAspect="1"/>
                    </pic:cNvPicPr>
                  </pic:nvPicPr>
                  <pic:blipFill>
                    <a:blip r:embed="rId7">
                      <a:lum bright="-12000" contrast="24000"/>
                    </a:blip>
                    <a:srcRect t="1202" b="712"/>
                    <a:stretch>
                      <a:fillRect/>
                    </a:stretch>
                  </pic:blipFill>
                  <pic:spPr>
                    <a:xfrm>
                      <a:off x="0" y="0"/>
                      <a:ext cx="8415655" cy="4812665"/>
                    </a:xfrm>
                    <a:prstGeom prst="rect">
                      <a:avLst/>
                    </a:prstGeom>
                    <a:effectLst/>
                  </pic:spPr>
                </pic:pic>
              </a:graphicData>
            </a:graphic>
          </wp:anchor>
        </w:drawing>
      </w:r>
    </w:p>
    <w:p>
      <w:pPr>
        <w:widowControl/>
        <w:jc w:val="left"/>
        <w:rPr>
          <w:rFonts w:ascii="仿宋_GB2312" w:eastAsia="仿宋_GB2312"/>
          <w:b/>
          <w:sz w:val="32"/>
          <w:szCs w:val="32"/>
        </w:rPr>
        <w:sectPr>
          <w:pgSz w:w="16838" w:h="11906" w:orient="landscape"/>
          <w:pgMar w:top="1797" w:right="1440" w:bottom="1797" w:left="1440" w:header="851" w:footer="992" w:gutter="0"/>
          <w:pgNumType w:fmt="numberInDash"/>
          <w:cols w:space="425" w:num="1"/>
          <w:docGrid w:type="lines" w:linePitch="312" w:charSpace="0"/>
        </w:sectPr>
      </w:pPr>
      <w:r>
        <w:rPr>
          <w:rFonts w:ascii="仿宋_GB2312" w:eastAsia="仿宋_GB2312"/>
          <w:b/>
          <w:sz w:val="32"/>
          <w:szCs w:val="32"/>
        </w:rPr>
        <w:br w:type="page"/>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（3）2021年自治区第二批扶持壮大村级集体经济补助资金绩效目标表：</w:t>
      </w:r>
    </w:p>
    <w:p>
      <w:pPr>
        <w:ind w:firstLine="640" w:firstLineChars="200"/>
        <w:rPr>
          <w:rFonts w:ascii="仿宋_GB2312" w:eastAsia="仿宋_GB2312"/>
          <w:sz w:val="32"/>
          <w:szCs w:val="32"/>
        </w:rPr>
      </w:pP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359410</wp:posOffset>
            </wp:positionH>
            <wp:positionV relativeFrom="paragraph">
              <wp:posOffset>48260</wp:posOffset>
            </wp:positionV>
            <wp:extent cx="8227695" cy="4512945"/>
            <wp:effectExtent l="0" t="0" r="1905" b="13335"/>
            <wp:wrapSquare wrapText="bothSides"/>
            <wp:docPr id="8" name="图片 8" descr="附件2：2021年自治区扶持壮大村级集体经济补助资金绩效目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2：2021年自治区扶持壮大村级集体经济补助资金绩效目标表"/>
                    <pic:cNvPicPr>
                      <a:picLocks noChangeAspect="1"/>
                    </pic:cNvPicPr>
                  </pic:nvPicPr>
                  <pic:blipFill>
                    <a:blip r:embed="rId8">
                      <a:lum bright="-6000" contrast="12000"/>
                    </a:blip>
                    <a:srcRect t="991" b="797"/>
                    <a:stretch>
                      <a:fillRect/>
                    </a:stretch>
                  </pic:blipFill>
                  <pic:spPr>
                    <a:xfrm>
                      <a:off x="0" y="0"/>
                      <a:ext cx="8227695" cy="4512945"/>
                    </a:xfrm>
                    <a:prstGeom prst="rect">
                      <a:avLst/>
                    </a:prstGeom>
                  </pic:spPr>
                </pic:pic>
              </a:graphicData>
            </a:graphic>
          </wp:anchor>
        </w:drawing>
      </w:r>
    </w:p>
    <w:p>
      <w:pPr>
        <w:widowControl/>
        <w:jc w:val="left"/>
        <w:rPr>
          <w:rFonts w:ascii="仿宋_GB2312" w:eastAsia="仿宋_GB2312"/>
          <w:b/>
          <w:sz w:val="32"/>
          <w:szCs w:val="32"/>
        </w:rPr>
        <w:sectPr>
          <w:pgSz w:w="16838" w:h="11906" w:orient="landscape"/>
          <w:pgMar w:top="1797" w:right="1440" w:bottom="1797" w:left="1440" w:header="851" w:footer="992" w:gutter="0"/>
          <w:pgNumType w:fmt="numberInDash"/>
          <w:cols w:space="425" w:num="1"/>
          <w:docGrid w:type="lines" w:linePitch="312" w:charSpace="0"/>
        </w:sectPr>
      </w:pPr>
      <w:r>
        <w:rPr>
          <w:rFonts w:ascii="仿宋_GB2312" w:eastAsia="仿宋_GB2312"/>
          <w:b/>
          <w:sz w:val="32"/>
          <w:szCs w:val="32"/>
        </w:rPr>
        <w:br w:type="page"/>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二、绩效目标完成情况分析</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（一）资金投入情况分析。</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1.项目资金到位情况分析。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度中央下达新疆农村综合改革转移支付项目总预算资金为73061万元，资金到位73061万元，到位率100%,其中，2020年12月中央提前下达新疆2021年农村综合改革转移支付资金49056万元，2021年6月中央下达新疆2021年农村综合改革转移支付资金24005万元。2021年度自治区下达新疆农村综合改革转移支付项目总预算资金为26650</w:t>
      </w:r>
      <w:r>
        <w:rPr>
          <w:rFonts w:ascii="仿宋_GB2312" w:eastAsia="仿宋_GB2312"/>
          <w:sz w:val="32"/>
          <w:szCs w:val="32"/>
        </w:rPr>
        <w:t>万元</w:t>
      </w:r>
      <w:r>
        <w:rPr>
          <w:rFonts w:hint="eastAsia" w:ascii="仿宋_GB2312" w:eastAsia="仿宋_GB2312"/>
          <w:sz w:val="32"/>
          <w:szCs w:val="32"/>
        </w:rPr>
        <w:t>，资金到位26650</w:t>
      </w:r>
      <w:r>
        <w:rPr>
          <w:rFonts w:ascii="仿宋_GB2312" w:eastAsia="仿宋_GB2312"/>
          <w:sz w:val="32"/>
          <w:szCs w:val="32"/>
        </w:rPr>
        <w:t>万元</w:t>
      </w:r>
      <w:r>
        <w:rPr>
          <w:rFonts w:hint="eastAsia" w:ascii="仿宋_GB2312" w:eastAsia="仿宋_GB2312"/>
          <w:sz w:val="32"/>
          <w:szCs w:val="32"/>
        </w:rPr>
        <w:t>，到位率100%,其中，2020年12月自治区提前下达新疆2021年农村综合改革转移支付资金22000万元，2021年10月自治区下达新疆2021年农村综合改革转移支付资金4650万元。</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2021年度用于农村综合改革转移支付的资金总计</w:t>
      </w:r>
      <w:r>
        <w:rPr>
          <w:rFonts w:hint="eastAsia" w:ascii="仿宋_GB2312" w:eastAsia="仿宋_GB2312"/>
          <w:sz w:val="30"/>
          <w:szCs w:val="30"/>
        </w:rPr>
        <w:t>99711</w:t>
      </w:r>
      <w:r>
        <w:rPr>
          <w:rFonts w:hint="eastAsia" w:ascii="仿宋_GB2312" w:eastAsia="仿宋_GB2312"/>
          <w:sz w:val="32"/>
          <w:szCs w:val="32"/>
        </w:rPr>
        <w:t>万元,用于项目部分资金71168.02万元，统筹整合部分</w:t>
      </w:r>
      <w:r>
        <w:rPr>
          <w:rFonts w:hint="eastAsia" w:ascii="仿宋_GB2312" w:hAnsi="Times New Roman" w:eastAsia="仿宋_GB2312" w:cs="Times New Roman"/>
          <w:sz w:val="30"/>
          <w:szCs w:val="30"/>
        </w:rPr>
        <w:t>28542.98万元。</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2.项目资金执行情况分析。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截止到2021年12月31日，2021年度农村综合改革转移支付的资金总计71168.02万元</w:t>
      </w:r>
      <w:r>
        <w:rPr>
          <w:rFonts w:hint="eastAsia" w:ascii="仿宋_GB2312" w:hAnsi="Times New Roman" w:eastAsia="仿宋_GB2312" w:cs="Times New Roman"/>
          <w:sz w:val="30"/>
          <w:szCs w:val="30"/>
        </w:rPr>
        <w:t>，</w:t>
      </w:r>
      <w:r>
        <w:rPr>
          <w:rFonts w:hint="eastAsia" w:ascii="仿宋_GB2312" w:eastAsia="仿宋_GB2312"/>
          <w:sz w:val="32"/>
          <w:szCs w:val="32"/>
        </w:rPr>
        <w:t>执行62849.67万元，执行率88.31%，具体如下：</w:t>
      </w:r>
    </w:p>
    <w:tbl>
      <w:tblPr>
        <w:tblStyle w:val="6"/>
        <w:tblW w:w="852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15"/>
        <w:gridCol w:w="1872"/>
        <w:gridCol w:w="2309"/>
        <w:gridCol w:w="1715"/>
        <w:gridCol w:w="17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7"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序号</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地州市</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资金（万元）</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执行数（万元）</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执行率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8"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乌鲁木齐</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1198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1060.95</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88.56%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克拉玛依</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392</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376.23</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95.98%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伊犁州</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6158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5536.89</w:t>
            </w:r>
          </w:p>
        </w:tc>
        <w:tc>
          <w:tcPr>
            <w:tcW w:w="1715" w:type="dxa"/>
            <w:vAlign w:val="center"/>
          </w:tcPr>
          <w:p>
            <w:pPr>
              <w:spacing w:line="340" w:lineRule="exact"/>
              <w:jc w:val="center"/>
              <w:outlineLvl w:val="0"/>
              <w:rPr>
                <w:rFonts w:ascii="宋体" w:hAnsi="宋体" w:eastAsia="宋体" w:cs="宋体"/>
                <w:color w:val="000000"/>
                <w:sz w:val="24"/>
                <w:szCs w:val="24"/>
              </w:rPr>
            </w:pPr>
            <w:r>
              <w:rPr>
                <w:rFonts w:hint="eastAsia" w:ascii="仿宋_GB2312" w:hAnsi="Times New Roman" w:eastAsia="仿宋_GB2312" w:cs="Times New Roman"/>
                <w:sz w:val="30"/>
                <w:szCs w:val="30"/>
              </w:rPr>
              <w:t>89.91%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塔城地区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4808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4189.99</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87.63%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5</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阿勒泰地区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3588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3301.48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92.01%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6</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博州</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4866</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4833.94</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99.34%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7</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昌吉州</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2710</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2041.71</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75.34%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8</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巴州</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4528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4186.16</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92.45%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9</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阿克苏地区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8423</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6923.63</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82.20%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10</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克州</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2779.08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1808.59</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65.08%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11</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喀什地区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15126.4</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13521.92</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89.39%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12</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和田地区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13236.54</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12182.56</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92.04%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13</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吐鲁番地区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1426</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1034.28</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72.53%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2"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14</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哈密地区</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1929</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1851.34</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hAnsi="Times New Roman" w:eastAsia="仿宋_GB2312" w:cs="Times New Roman"/>
                <w:sz w:val="30"/>
                <w:szCs w:val="30"/>
              </w:rPr>
              <w:t>95.97%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3" w:hRule="atLeast"/>
          <w:jc w:val="center"/>
        </w:trPr>
        <w:tc>
          <w:tcPr>
            <w:tcW w:w="915"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15</w:t>
            </w:r>
          </w:p>
        </w:tc>
        <w:tc>
          <w:tcPr>
            <w:tcW w:w="1872"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合计</w:t>
            </w:r>
          </w:p>
        </w:tc>
        <w:tc>
          <w:tcPr>
            <w:tcW w:w="2309" w:type="dxa"/>
            <w:vAlign w:val="center"/>
          </w:tcPr>
          <w:p>
            <w:pPr>
              <w:spacing w:line="340" w:lineRule="exact"/>
              <w:jc w:val="center"/>
              <w:outlineLvl w:val="0"/>
              <w:rPr>
                <w:rFonts w:ascii="仿宋_GB2312" w:eastAsia="仿宋_GB2312"/>
                <w:sz w:val="30"/>
                <w:szCs w:val="30"/>
              </w:rPr>
            </w:pPr>
            <w:r>
              <w:rPr>
                <w:rFonts w:hint="eastAsia" w:ascii="仿宋_GB2312" w:eastAsia="仿宋_GB2312"/>
                <w:sz w:val="30"/>
                <w:szCs w:val="30"/>
              </w:rPr>
              <w:t>71168.02</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eastAsia="仿宋_GB2312"/>
                <w:sz w:val="30"/>
                <w:szCs w:val="30"/>
              </w:rPr>
              <w:t>62849.67</w:t>
            </w:r>
          </w:p>
        </w:tc>
        <w:tc>
          <w:tcPr>
            <w:tcW w:w="1715" w:type="dxa"/>
            <w:vAlign w:val="center"/>
          </w:tcPr>
          <w:p>
            <w:pPr>
              <w:spacing w:line="340" w:lineRule="exact"/>
              <w:jc w:val="center"/>
              <w:outlineLvl w:val="0"/>
              <w:rPr>
                <w:rFonts w:ascii="仿宋_GB2312" w:hAnsi="Times New Roman" w:eastAsia="仿宋_GB2312" w:cs="Times New Roman"/>
                <w:sz w:val="30"/>
                <w:szCs w:val="30"/>
              </w:rPr>
            </w:pPr>
            <w:r>
              <w:rPr>
                <w:rFonts w:hint="eastAsia" w:ascii="仿宋_GB2312" w:eastAsia="仿宋_GB2312"/>
                <w:sz w:val="32"/>
                <w:szCs w:val="32"/>
              </w:rPr>
              <w:t>88.31%</w:t>
            </w:r>
          </w:p>
        </w:tc>
      </w:tr>
    </w:tbl>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3.项目资金管理情况分析。</w:t>
      </w:r>
    </w:p>
    <w:p>
      <w:pPr>
        <w:spacing w:line="600" w:lineRule="exact"/>
        <w:ind w:firstLine="640" w:firstLineChars="200"/>
        <w:rPr>
          <w:rFonts w:ascii="仿宋_GB2312" w:eastAsia="仿宋_GB2312"/>
          <w:sz w:val="32"/>
          <w:szCs w:val="32"/>
        </w:rPr>
      </w:pPr>
      <w:r>
        <w:rPr>
          <w:rFonts w:hint="eastAsia" w:ascii="仿宋_GB2312" w:eastAsia="仿宋_GB2312"/>
          <w:bCs/>
          <w:sz w:val="32"/>
          <w:szCs w:val="32"/>
        </w:rPr>
        <w:t>按照</w:t>
      </w:r>
      <w:r>
        <w:rPr>
          <w:rFonts w:hint="eastAsia" w:ascii="仿宋_GB2312" w:eastAsia="仿宋_GB2312"/>
          <w:sz w:val="32"/>
          <w:szCs w:val="32"/>
        </w:rPr>
        <w:t>《财政部关于印发&lt;农村综合改革转移支付管理办法&gt;的通知》（财农〔2021〕36号）</w:t>
      </w:r>
      <w:r>
        <w:rPr>
          <w:rFonts w:hint="eastAsia" w:ascii="仿宋_GB2312" w:eastAsia="仿宋_GB2312"/>
          <w:bCs/>
          <w:sz w:val="32"/>
          <w:szCs w:val="32"/>
        </w:rPr>
        <w:t>、财政部关于印发《农村综合改革转移支付绩效管理办法》的通知</w:t>
      </w:r>
      <w:r>
        <w:rPr>
          <w:rFonts w:ascii="仿宋_GB2312" w:eastAsia="仿宋_GB2312"/>
          <w:bCs/>
          <w:sz w:val="32"/>
          <w:szCs w:val="32"/>
        </w:rPr>
        <w:t>(财农</w:t>
      </w:r>
      <w:r>
        <w:rPr>
          <w:rFonts w:hint="eastAsia" w:ascii="仿宋_GB2312" w:eastAsia="仿宋_GB2312"/>
          <w:sz w:val="32"/>
          <w:szCs w:val="32"/>
        </w:rPr>
        <w:t>〔2019〕</w:t>
      </w:r>
      <w:r>
        <w:rPr>
          <w:rFonts w:ascii="仿宋_GB2312" w:eastAsia="仿宋_GB2312"/>
          <w:bCs/>
          <w:sz w:val="32"/>
          <w:szCs w:val="32"/>
        </w:rPr>
        <w:t>18号)</w:t>
      </w:r>
      <w:r>
        <w:rPr>
          <w:rFonts w:hint="eastAsia" w:ascii="仿宋_GB2312" w:eastAsia="仿宋_GB2312"/>
          <w:bCs/>
          <w:sz w:val="32"/>
          <w:szCs w:val="32"/>
        </w:rPr>
        <w:t>要求，</w:t>
      </w:r>
      <w:r>
        <w:rPr>
          <w:rFonts w:hint="eastAsia" w:ascii="仿宋_GB2312" w:eastAsia="仿宋_GB2312"/>
          <w:sz w:val="32"/>
          <w:szCs w:val="32"/>
        </w:rPr>
        <w:t>出台了《关于印发&lt;新疆维吾尔自治区农村综合改革转移支付资金管理办法&gt;的通知》（新财规〔2021〕15号）、《关于印发&lt;新疆维吾尔自治区农村综合改革转移支付资金绩效管理办法实施细则&gt;的通知》（新财规〔2020〕13号）。一方面要求项目实施单位加快预算执行进度，提高资金使用效益；另一方面按照工作职责和财政部有关要求，对农村综合改革转移支付进行监管，确保项目在管理可控范围内顺利实施。总体来看，本项目资金的整体管理水平较好，做到了专款专用、及时拨付、规范支付，并认真落实完善“自治区财政资金使用情况跟踪反馈”工作机制，督促资金使用单位对照绩效目标做好绩效监控，确保农村综合改革转移支付项目顺利实施。</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（二）总体绩效目标完成情况分析。</w:t>
      </w:r>
    </w:p>
    <w:p>
      <w:pPr>
        <w:spacing w:line="600" w:lineRule="exact"/>
        <w:ind w:firstLine="640" w:firstLineChars="200"/>
        <w:rPr>
          <w:rFonts w:ascii="仿宋_GB2312" w:eastAsia="仿宋_GB2312"/>
          <w:sz w:val="32"/>
          <w:szCs w:val="32"/>
        </w:rPr>
      </w:pPr>
      <w:r>
        <w:rPr>
          <w:rFonts w:hint="eastAsia" w:ascii="仿宋_GB2312" w:eastAsia="仿宋_GB2312"/>
          <w:b/>
          <w:sz w:val="32"/>
          <w:szCs w:val="32"/>
        </w:rPr>
        <w:t>1.总体目标：</w:t>
      </w:r>
      <w:r>
        <w:rPr>
          <w:rFonts w:hint="eastAsia" w:ascii="仿宋_GB2312" w:eastAsia="仿宋_GB2312"/>
          <w:sz w:val="32"/>
          <w:szCs w:val="32"/>
        </w:rPr>
        <w:t>一是推进农村公益事业建设，提升农村人居环境；二是建设一批美丽乡村，逐步实现农村人居环境明显改善；三是建设红色美丽村庄，传承红色基因、弘扬革命传统；四是发展村级集体经济，逐步实现村村都有稳定的集体经济收入；五是做好农垦国有农场办社会职能改革补助工作；六是支持“厕所革命”整村推进，提升农村人居环境；七是涉农资金统筹整合部分集中用于脱贫攻坚（按照扶贫资金管理及绩效评价）。</w:t>
      </w:r>
    </w:p>
    <w:p>
      <w:pPr>
        <w:spacing w:line="600" w:lineRule="exact"/>
        <w:ind w:firstLine="640" w:firstLineChars="200"/>
        <w:rPr>
          <w:rFonts w:ascii="仿宋_GB2312" w:eastAsia="仿宋_GB2312"/>
          <w:sz w:val="32"/>
          <w:szCs w:val="32"/>
        </w:rPr>
      </w:pPr>
      <w:r>
        <w:rPr>
          <w:rFonts w:hint="eastAsia" w:ascii="仿宋_GB2312" w:eastAsia="仿宋_GB2312"/>
          <w:b/>
          <w:sz w:val="32"/>
          <w:szCs w:val="32"/>
        </w:rPr>
        <w:t>2.完成情况：</w:t>
      </w:r>
      <w:r>
        <w:rPr>
          <w:rFonts w:hint="eastAsia" w:ascii="仿宋_GB2312" w:eastAsia="仿宋_GB2312"/>
          <w:sz w:val="32"/>
          <w:szCs w:val="32"/>
        </w:rPr>
        <w:t>一是推进农村公益事业建设。根据财政部《关于下达2021年农村综合改革转移支付预算的通知》（财农〔2021〕53号）绩效目标要求，我区2021</w:t>
      </w:r>
      <w:r>
        <w:rPr>
          <w:rFonts w:ascii="仿宋_GB2312" w:eastAsia="仿宋_GB2312"/>
          <w:sz w:val="32"/>
          <w:szCs w:val="32"/>
        </w:rPr>
        <w:t>年已</w:t>
      </w:r>
      <w:r>
        <w:rPr>
          <w:rFonts w:hint="eastAsia" w:ascii="仿宋_GB2312" w:eastAsia="仿宋_GB2312"/>
          <w:sz w:val="32"/>
          <w:szCs w:val="32"/>
        </w:rPr>
        <w:t>建设完成1271个农村公益设施、113678户厕改造</w:t>
      </w:r>
      <w:r>
        <w:rPr>
          <w:rFonts w:ascii="仿宋_GB2312" w:eastAsia="仿宋_GB2312"/>
          <w:sz w:val="32"/>
          <w:szCs w:val="32"/>
        </w:rPr>
        <w:t>。农村公益事业财政奖补资金用于我区</w:t>
      </w:r>
      <w:r>
        <w:rPr>
          <w:rFonts w:hint="eastAsia" w:ascii="仿宋_GB2312" w:eastAsia="仿宋_GB2312"/>
          <w:sz w:val="32"/>
          <w:szCs w:val="32"/>
        </w:rPr>
        <w:t>农村公益建设项目和农村“厕所革命”</w:t>
      </w:r>
      <w:r>
        <w:rPr>
          <w:rFonts w:ascii="仿宋_GB2312" w:eastAsia="仿宋_GB2312"/>
          <w:sz w:val="32"/>
          <w:szCs w:val="32"/>
        </w:rPr>
        <w:t>，</w:t>
      </w:r>
      <w:r>
        <w:rPr>
          <w:rFonts w:hint="eastAsia" w:ascii="仿宋_GB2312" w:eastAsia="仿宋_GB2312"/>
          <w:sz w:val="32"/>
          <w:szCs w:val="32"/>
        </w:rPr>
        <w:t>重点解决群众无绿化、无亮化、村内环境脏乱差，农村户厕</w:t>
      </w:r>
      <w:r>
        <w:rPr>
          <w:rFonts w:ascii="仿宋_GB2312" w:eastAsia="仿宋_GB2312"/>
          <w:sz w:val="32"/>
          <w:szCs w:val="32"/>
        </w:rPr>
        <w:t>防臭防蝇、有遮挡有照明、粪污及时清掏</w:t>
      </w:r>
      <w:r>
        <w:rPr>
          <w:rFonts w:hint="eastAsia" w:ascii="仿宋_GB2312" w:eastAsia="仿宋_GB2312"/>
          <w:sz w:val="32"/>
          <w:szCs w:val="32"/>
        </w:rPr>
        <w:t>等突出问题，</w:t>
      </w:r>
      <w:r>
        <w:rPr>
          <w:rFonts w:ascii="仿宋_GB2312" w:eastAsia="仿宋_GB2312"/>
          <w:sz w:val="32"/>
          <w:szCs w:val="32"/>
        </w:rPr>
        <w:t>很大程度的提升了</w:t>
      </w:r>
      <w:r>
        <w:rPr>
          <w:rFonts w:hint="eastAsia" w:ascii="仿宋_GB2312" w:eastAsia="仿宋_GB2312"/>
          <w:sz w:val="32"/>
          <w:szCs w:val="32"/>
        </w:rPr>
        <w:t>村民</w:t>
      </w:r>
      <w:r>
        <w:rPr>
          <w:rFonts w:ascii="仿宋_GB2312" w:eastAsia="仿宋_GB2312"/>
          <w:sz w:val="32"/>
          <w:szCs w:val="32"/>
        </w:rPr>
        <w:t>清洁卫生文明意识</w:t>
      </w:r>
      <w:r>
        <w:rPr>
          <w:rFonts w:hint="eastAsia" w:ascii="仿宋_GB2312" w:eastAsia="仿宋_GB2312"/>
          <w:sz w:val="32"/>
          <w:szCs w:val="32"/>
        </w:rPr>
        <w:t>，农村生产生活条件和人居环境得到改善。</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二是建设一批美丽乡村。全区已建设美丽乡村17</w:t>
      </w:r>
      <w:r>
        <w:rPr>
          <w:rFonts w:ascii="仿宋_GB2312" w:eastAsia="仿宋_GB2312"/>
          <w:sz w:val="32"/>
          <w:szCs w:val="32"/>
        </w:rPr>
        <w:t>个</w:t>
      </w:r>
      <w:r>
        <w:rPr>
          <w:rFonts w:hint="eastAsia" w:ascii="仿宋_GB2312" w:eastAsia="仿宋_GB2312"/>
          <w:sz w:val="32"/>
          <w:szCs w:val="32"/>
        </w:rPr>
        <w:t>，</w:t>
      </w:r>
      <w:r>
        <w:rPr>
          <w:rFonts w:ascii="仿宋_GB2312" w:eastAsia="仿宋_GB2312"/>
          <w:sz w:val="32"/>
          <w:szCs w:val="32"/>
        </w:rPr>
        <w:t>已完工项目的试点建设了一批地绿、水净、安居、乐业、增收的美丽宜居乡村，实现了农村人居环境明显改善，村庄环境基本做到干净整洁有序，村民环境与健康意识普遍提高。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三是建设红色美丽村庄。全区已建设5个红色美丽村庄试点，试点工作紧紧围绕传承红色基因，充分依托红色资源，全面加强村党组织建设，增强组织凝聚力。</w:t>
      </w:r>
    </w:p>
    <w:p>
      <w:pPr>
        <w:spacing w:line="600" w:lineRule="exact"/>
        <w:ind w:firstLine="640" w:firstLineChars="200"/>
        <w:rPr>
          <w:rFonts w:ascii="仿宋_GB2312" w:hAnsi="楷体" w:eastAsia="仿宋_GB2312"/>
          <w:bCs/>
          <w:sz w:val="32"/>
          <w:szCs w:val="32"/>
        </w:rPr>
      </w:pPr>
      <w:r>
        <w:rPr>
          <w:rFonts w:hint="eastAsia" w:ascii="仿宋_GB2312" w:eastAsia="仿宋_GB2312"/>
          <w:sz w:val="32"/>
          <w:szCs w:val="32"/>
        </w:rPr>
        <w:t>四是发展村级集体经济。已经完工建设扶持壮大村级集体经济补助项目数</w:t>
      </w:r>
      <w:r>
        <w:rPr>
          <w:rFonts w:hint="eastAsia" w:ascii="仿宋_GB2312" w:eastAsia="仿宋_GB2312"/>
          <w:sz w:val="32"/>
          <w:szCs w:val="32"/>
          <w:lang w:val="en-US" w:eastAsia="zh-CN"/>
        </w:rPr>
        <w:t>534</w:t>
      </w:r>
      <w:bookmarkStart w:id="0" w:name="_GoBack"/>
      <w:bookmarkEnd w:id="0"/>
      <w:r>
        <w:rPr>
          <w:rFonts w:hint="eastAsia" w:ascii="仿宋_GB2312" w:eastAsia="仿宋_GB2312"/>
          <w:sz w:val="32"/>
          <w:szCs w:val="32"/>
        </w:rPr>
        <w:t>个，通过村集体经济项目的实施，进一步推动我区新农村建设步伐，</w:t>
      </w:r>
      <w:r>
        <w:rPr>
          <w:rFonts w:hint="eastAsia" w:ascii="仿宋_GB2312" w:hAnsi="楷体" w:eastAsia="仿宋_GB2312"/>
          <w:bCs/>
          <w:sz w:val="32"/>
          <w:szCs w:val="32"/>
        </w:rPr>
        <w:t>逐步实现村村都有稳定的集体经济收入，农民收入不断增加，进一步增强村级自我保障和服务群众能力，充分调动村两委干部带头发展村集体经济和村民参与投资发展村集体的积极性，提升农村基层党组织的组织力。</w:t>
      </w:r>
    </w:p>
    <w:p>
      <w:pPr>
        <w:spacing w:line="600" w:lineRule="exact"/>
        <w:ind w:firstLine="640" w:firstLineChars="200"/>
        <w:rPr>
          <w:rFonts w:ascii="仿宋_GB2312" w:hAnsi="楷体" w:eastAsia="仿宋_GB2312"/>
          <w:bCs/>
          <w:sz w:val="32"/>
          <w:szCs w:val="32"/>
        </w:rPr>
      </w:pPr>
      <w:r>
        <w:rPr>
          <w:rFonts w:hint="eastAsia" w:ascii="仿宋_GB2312" w:eastAsia="仿宋_GB2312"/>
          <w:sz w:val="32"/>
          <w:szCs w:val="32"/>
        </w:rPr>
        <w:t>五是农垦国有农场办社会职能改革补助。对全区81个农垦国有农场办社会职能改革过程中产生的改革成本一次性给予适当补助。</w:t>
      </w:r>
    </w:p>
    <w:p>
      <w:pPr>
        <w:spacing w:line="600" w:lineRule="exact"/>
        <w:ind w:firstLine="640" w:firstLineChars="200"/>
        <w:rPr>
          <w:rFonts w:ascii="楷体_GB2312" w:eastAsia="楷体_GB2312"/>
          <w:b/>
          <w:sz w:val="32"/>
          <w:szCs w:val="32"/>
        </w:rPr>
      </w:pPr>
      <w:r>
        <w:rPr>
          <w:rFonts w:hint="eastAsia" w:ascii="楷体_GB2312" w:eastAsia="楷体_GB2312"/>
          <w:b/>
          <w:sz w:val="32"/>
          <w:szCs w:val="32"/>
        </w:rPr>
        <w:t>（三）绩效指标完成情况分析。</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1.产出指标完成情况分析。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（1）数量指标。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支持农村公益设施建设数量目标，指标值为≥1456个，新疆农村公益设施建设实际建设完成1371个农村公益设施、113678户厕改造，完成率94.16%，偏差率5.84%。原因：未完工项目工程已接近尾声，预计2022年5月完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b.财政部随文下达支持美丽乡村建设数量目标，指标值为≥19个，新疆支持美丽乡村建设实际完成19个，完成率100%。</w:t>
      </w:r>
    </w:p>
    <w:p>
      <w:pPr>
        <w:spacing w:line="600" w:lineRule="exact"/>
        <w:ind w:firstLine="640" w:firstLineChars="200"/>
        <w:rPr>
          <w:rFonts w:ascii="仿宋_GB2312" w:eastAsia="仿宋_GB2312"/>
          <w:sz w:val="32"/>
          <w:szCs w:val="32"/>
          <w:highlight w:val="yellow"/>
        </w:rPr>
      </w:pPr>
      <w:r>
        <w:rPr>
          <w:rFonts w:hint="eastAsia" w:ascii="仿宋_GB2312" w:eastAsia="仿宋_GB2312"/>
          <w:sz w:val="32"/>
          <w:szCs w:val="32"/>
        </w:rPr>
        <w:t>c.财政部随文下达推动红色村组织振兴建设红色美丽村庄试点村数目标，指标值为6个，新疆实际完成6个，完成率100%。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d.财政部随文下达扶持村级集体经济发展村数目标，指标值为≥541个，新疆扶持村级集体经济发展村数实际完成534个，完成率98.71%，偏差率1.29%。原因：未完工项目工程已接近尾声，预计2022年5月完工。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（2）质量指标。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a.财政部随文下达美丽乡村建设台账目标，指标值为基本建立，新疆支持美丽乡村台账建设实际完成100%，完成率100%。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b.财政部随文下达推动红色村组织振兴建设红色美丽村庄试点台账目标，指标值为基本建立，新疆推动红色村组织振兴建设红色美丽村庄试点台账实际完成100%，完成率100%。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c.财政部随文下达扶持村级集体经济台账目标，指标值为基本建立，新疆扶持村级集体经济台账实际完成100%，完成率100%。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d.财政部随文下达美丽乡村建设项目村村容村貌目标，指标值为明显改善，新疆美丽乡村建设项目村村容村貌实际完成100%，完成率100%。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e.财政部随文下达农垦国有农场与周边区域社会管理和公共服务共享共建水平目标，指标值为明显提高，新疆农垦国有农场与周边区域社会管理和公共服务共享共建水平实际完成100%，完成率100%。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f.财政部随文下达对南疆、边疆地区薄弱村、空壳村村级集体经济发展支持力度目标，指标值为有所加大，新疆对南疆、边疆地区薄弱村、空壳村村级集体经济发展支持力度实际完成100%，完成率100%。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g.财政部随文下达工程验收合格率目标，指标值为100%，新疆工程验收合格率实际完成98.67%，完成率98.67%，偏差率1.33%。原因：个别项目已完工，还未验收。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（3）时效指标。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截至2021年底农村综合改革转移支付资金执行率目标，指标值为100%，新疆截至2021年底农村综合改革转移支付资金执行率实际完成88.31%，完成率91.66%，偏差率8.34%。原因：一是部分项目未完工无法形成支付；二是部分项目已实施完毕，还未支付资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b.财政部随文下达制定具体管理办法并报财政部备案目标，指标值为及时报备，新疆制定具体管理办法并报财政部备案实际完成100%，完成率100%。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（4）成本指标。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财政部下达的绩效目标未设定成本指标。</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2.效益指标完成情况分析。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（1）经济效益。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a.财政部随文下达项目村集体经济收入目标，指标值为有所增加，新疆项目村集体经济收入实际完成98.43%，偏差率1.57%。原因：部分项目完工时间较晚，还未发挥效益。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（2）社会效益。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a.财政部随文下达项目村基层党组织的组织力凝聚力战斗力目标，指标值为有所增强，新疆项目村基层党组织的组织力凝聚力战斗力实际完成100%，完成率100%。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（3）生态效益。</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a.财政部随文下达农村人居环境目标，指标值为有效改善，新疆农村人居环境实际完成100%，完成率100%。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（4）可持续影响。</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a.财政部随文下达农村公益事业滚动项目库目标，指标值为基本建立，新疆农村公益事业滚动项目库实际完成100%，完成率100%。</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3.满意度指标完成情况分析。</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（1）服务对象满意度指标。</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a.财政部随文下达项目区农民满意度目标，指标值为≥90%，新疆项目区农民满意度实际完成91%，完成率100.01%。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b.财政部随文下达项目区基层干部满意度目标，指标值为≥90%，新疆项目区农民满意度实际完成93%，完成率100.03%。</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三、偏离绩效目标的原因和下一步改进措施</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1.偏离的绩效目标和原因。</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财政部随文下达支持农村公益设施建设数量目标，指标值为≥1456个，新疆农村公益设施建设实际建设完成1371个农村公益设施、113678户厕改造，完成率94.16%，偏差率5.84%。原因：未完工项目工程已接近尾声，预计2022年5月完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b.财政部随文下达扶持村级集体经济发展村数目标，指标值为≥541个，新疆扶持村级集体经济发展村数实际完成534个，完成率98.71%，偏差率1.29%。原因：未完工项目工程已接近尾声，预计2022年5月完工。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c.财政部随文下达工程验收合格率目标，指标值为100%，新疆工程验收合格率实际完成98.67%，完成率98.67%，偏差率1.33%。原因：个别项目已完工，还未验收。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d.财政部随文下达截至2021年底农村综合改革转移支付资金执行率目标，指标值为100%，新疆截至2021年底农村综合改革转移支付资金执行率实际完成88.31%，完成率91.66%，偏差率8.34%。原因：一是部分项目未完工无法形成支付；二是部分项目已实施完毕，还未支付资金。</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e.财政部随文下达项目村集体经济收入目标，指标值为有所增加，新疆项目村集体经济收入实际完成98.43%，偏差率1.57%。原因：部分项目完工时间较晚，还未发挥效益。</w:t>
      </w:r>
    </w:p>
    <w:p>
      <w:pPr>
        <w:spacing w:line="600" w:lineRule="exact"/>
        <w:ind w:firstLine="640" w:firstLineChars="200"/>
        <w:rPr>
          <w:rFonts w:ascii="仿宋_GB2312" w:eastAsia="仿宋_GB2312"/>
          <w:b/>
          <w:sz w:val="32"/>
          <w:szCs w:val="32"/>
        </w:rPr>
      </w:pPr>
      <w:r>
        <w:rPr>
          <w:rFonts w:hint="eastAsia" w:ascii="仿宋_GB2312" w:eastAsia="仿宋_GB2312"/>
          <w:b/>
          <w:sz w:val="32"/>
          <w:szCs w:val="32"/>
        </w:rPr>
        <w:t>2.项目实施过程中存在不足和改进措施。</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a.存在的不足。通过中央农村综合改革转移支付资金的支持，新疆在改善农村基础设施、推进新农村建设、扶持村集体经济发展等方面取得很大成效，但在项目实施过程中存在一些问题，主要是：</w:t>
      </w:r>
      <w:r>
        <w:rPr>
          <w:rFonts w:hint="eastAsia" w:ascii="仿宋_GB2312" w:eastAsia="仿宋_GB2312"/>
          <w:b/>
          <w:bCs/>
          <w:sz w:val="32"/>
          <w:szCs w:val="32"/>
        </w:rPr>
        <w:t>一是</w:t>
      </w:r>
      <w:r>
        <w:rPr>
          <w:rFonts w:hint="eastAsia" w:ascii="仿宋_GB2312" w:eastAsia="仿宋_GB2312"/>
          <w:sz w:val="32"/>
          <w:szCs w:val="32"/>
        </w:rPr>
        <w:t>建设项目规划意识不强。部分地（州、市）编制项目不能严格从项目库中筛选，不利于推动农村综合改革转移支付工作全面科学有序发展。</w:t>
      </w:r>
      <w:r>
        <w:rPr>
          <w:rFonts w:hint="eastAsia" w:ascii="仿宋_GB2312" w:eastAsia="仿宋_GB2312"/>
          <w:b/>
          <w:bCs/>
          <w:sz w:val="32"/>
          <w:szCs w:val="32"/>
        </w:rPr>
        <w:t>二是</w:t>
      </w:r>
      <w:r>
        <w:rPr>
          <w:rFonts w:hint="eastAsia" w:ascii="仿宋_GB2312" w:eastAsia="仿宋_GB2312"/>
          <w:sz w:val="32"/>
          <w:szCs w:val="32"/>
        </w:rPr>
        <w:t>项目资金执行较慢。随着自治区财政预算管理和国库集中支付工作的全面规范，对基层项目资金拨付提出更加严格的要求，再加上部分地区项目资金执行先验收合格再拨付资金，所以有一部分项目资金支出进度相对项目实施进度较慢一些</w:t>
      </w:r>
      <w:r>
        <w:rPr>
          <w:rFonts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b.改进措施。</w:t>
      </w:r>
      <w:r>
        <w:rPr>
          <w:rFonts w:hint="eastAsia" w:ascii="仿宋_GB2312" w:eastAsia="仿宋_GB2312"/>
          <w:b/>
          <w:bCs/>
          <w:sz w:val="32"/>
          <w:szCs w:val="32"/>
        </w:rPr>
        <w:t>一是</w:t>
      </w:r>
      <w:r>
        <w:rPr>
          <w:rFonts w:hint="eastAsia" w:ascii="仿宋_GB2312" w:eastAsia="仿宋_GB2312"/>
          <w:sz w:val="32"/>
          <w:szCs w:val="32"/>
        </w:rPr>
        <w:t>督导各地提前建立项目库。</w:t>
      </w:r>
      <w:r>
        <w:rPr>
          <w:rFonts w:hint="eastAsia" w:ascii="Times New Roman" w:hAnsi="Times New Roman" w:eastAsia="仿宋_GB2312" w:cs="Times New Roman"/>
          <w:sz w:val="32"/>
          <w:szCs w:val="32"/>
        </w:rPr>
        <w:t>强化项目库储备，</w:t>
      </w:r>
      <w:r>
        <w:rPr>
          <w:rFonts w:ascii="Times New Roman" w:hAnsi="Times New Roman" w:eastAsia="仿宋_GB2312" w:cs="Times New Roman"/>
          <w:sz w:val="32"/>
          <w:szCs w:val="32"/>
        </w:rPr>
        <w:t>对照重点项目年度计划，落实资金使用和项目管理主体责任，强化资金项目定期调度机制，</w:t>
      </w:r>
      <w:r>
        <w:rPr>
          <w:rFonts w:hint="eastAsia" w:ascii="Times New Roman" w:hAnsi="Times New Roman" w:eastAsia="仿宋_GB2312" w:cs="Times New Roman"/>
          <w:sz w:val="32"/>
          <w:szCs w:val="32"/>
        </w:rPr>
        <w:t>及时验收审核、拨付资金，</w:t>
      </w:r>
      <w:r>
        <w:rPr>
          <w:rFonts w:ascii="Times New Roman" w:hAnsi="Times New Roman" w:eastAsia="仿宋_GB2312" w:cs="Times New Roman"/>
          <w:sz w:val="32"/>
          <w:szCs w:val="32"/>
        </w:rPr>
        <w:t>确保项目早完工、早投产、早受益</w:t>
      </w:r>
      <w:r>
        <w:rPr>
          <w:rFonts w:hint="eastAsia" w:ascii="仿宋_GB2312" w:eastAsia="仿宋_GB2312"/>
          <w:sz w:val="32"/>
          <w:szCs w:val="32"/>
        </w:rPr>
        <w:t>。</w:t>
      </w:r>
      <w:r>
        <w:rPr>
          <w:rFonts w:hint="eastAsia" w:ascii="仿宋_GB2312" w:eastAsia="仿宋_GB2312"/>
          <w:b/>
          <w:bCs/>
          <w:sz w:val="32"/>
          <w:szCs w:val="32"/>
        </w:rPr>
        <w:t>二是</w:t>
      </w:r>
      <w:r>
        <w:rPr>
          <w:rFonts w:hint="eastAsia" w:ascii="仿宋_GB2312" w:eastAsia="仿宋_GB2312"/>
          <w:sz w:val="32"/>
          <w:szCs w:val="32"/>
        </w:rPr>
        <w:t>强化预算执行效率。按照全方位、全覆盖原则，按季对项目执行开展绩效评估纠偏离，加强对资金的事前、事中、事后监管，确保资金安全规范有效使用，同时加强督导各地（州、市）根据建设进度和竣工决算情况及时拨付奖补资金，提高预算执行的及时性。</w:t>
      </w:r>
      <w:r>
        <w:rPr>
          <w:rFonts w:hint="eastAsia" w:ascii="仿宋_GB2312" w:eastAsia="仿宋_GB2312"/>
          <w:b/>
          <w:bCs/>
          <w:sz w:val="32"/>
          <w:szCs w:val="32"/>
        </w:rPr>
        <w:t>三是</w:t>
      </w:r>
      <w:r>
        <w:rPr>
          <w:rFonts w:hint="eastAsia" w:ascii="仿宋_GB2312" w:eastAsia="仿宋_GB2312"/>
          <w:sz w:val="32"/>
          <w:szCs w:val="32"/>
        </w:rPr>
        <w:t>加大项目督查力度。自治区要加大对各地建设试点的检查工作，不断总结我区农村综合改革工作经验，检查建设试点补助资金使用情况，跟踪项目建设进度情况，督促各地加快完成项目建设，有效发挥建设试点资金效益。</w:t>
      </w:r>
      <w:r>
        <w:rPr>
          <w:rFonts w:hint="eastAsia" w:ascii="仿宋_GB2312" w:eastAsia="仿宋_GB2312"/>
          <w:b/>
          <w:bCs/>
          <w:sz w:val="32"/>
          <w:szCs w:val="32"/>
        </w:rPr>
        <w:t>四是</w:t>
      </w:r>
      <w:r>
        <w:rPr>
          <w:rFonts w:hint="eastAsia" w:ascii="仿宋_GB2312" w:eastAsia="仿宋_GB2312"/>
          <w:sz w:val="32"/>
          <w:szCs w:val="32"/>
        </w:rPr>
        <w:t>硬化绩效评价结果与预算安排挂钩机制。</w:t>
      </w:r>
      <w:r>
        <w:rPr>
          <w:rFonts w:hint="eastAsia" w:ascii="仿宋_GB2312" w:hAnsi="仿宋" w:eastAsia="仿宋_GB2312"/>
          <w:sz w:val="32"/>
          <w:szCs w:val="32"/>
        </w:rPr>
        <w:t>将对各地绩效评价审核结果，纳入自治区全面实施预算绩效管理年度考核体系，在资金分配时，对评价结果未达“优秀”、“良好”的项目，按比例调减项目预算安排数。</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四、绩效自评结果及拟应用和公开情况</w:t>
      </w:r>
    </w:p>
    <w:p>
      <w:pPr>
        <w:spacing w:line="600" w:lineRule="exact"/>
        <w:ind w:firstLine="640" w:firstLineChars="200"/>
        <w:rPr>
          <w:rFonts w:ascii="仿宋_GB2312" w:eastAsia="仿宋_GB2312"/>
          <w:sz w:val="32"/>
          <w:szCs w:val="32"/>
          <w:highlight w:val="yellow"/>
        </w:rPr>
      </w:pPr>
      <w:r>
        <w:rPr>
          <w:rFonts w:hint="eastAsia" w:ascii="仿宋_GB2312" w:eastAsia="仿宋_GB2312"/>
          <w:sz w:val="32"/>
          <w:szCs w:val="32"/>
        </w:rPr>
        <w:t>1.按照财政部《项目支出绩效评价管理办法》（财预〔2021〕10号）规定，单位自评标准是：预算执行10分、产出指标50分、效益指标30分、服务对象满意度指标10分。经自评，2021年度</w:t>
      </w:r>
      <w:r>
        <w:rPr>
          <w:rFonts w:hint="eastAsia" w:ascii="仿宋_GB2312" w:eastAsia="仿宋_GB2312"/>
          <w:bCs/>
          <w:sz w:val="32"/>
          <w:szCs w:val="32"/>
        </w:rPr>
        <w:t>农村综合改革转移支付综合评价得分为94.66分，其中：预算执行8.83分、产出指标46.43分、</w:t>
      </w:r>
      <w:r>
        <w:rPr>
          <w:rFonts w:hint="eastAsia" w:ascii="仿宋_GB2312" w:eastAsia="仿宋_GB2312"/>
          <w:bCs/>
          <w:spacing w:val="-11"/>
          <w:sz w:val="32"/>
          <w:szCs w:val="32"/>
        </w:rPr>
        <w:t>效益指标29.4分、服务对象满意度指标10分，自评结果为“优”。</w:t>
      </w:r>
    </w:p>
    <w:p>
      <w:pPr>
        <w:spacing w:line="600" w:lineRule="exact"/>
        <w:ind w:firstLine="640" w:firstLineChars="200"/>
        <w:rPr>
          <w:rFonts w:ascii="仿宋_GB2312" w:eastAsia="仿宋_GB2312"/>
          <w:bCs/>
          <w:sz w:val="32"/>
          <w:szCs w:val="32"/>
        </w:rPr>
      </w:pPr>
      <w:r>
        <w:rPr>
          <w:rFonts w:hint="eastAsia" w:ascii="仿宋_GB2312" w:eastAsia="仿宋_GB2312"/>
          <w:sz w:val="32"/>
          <w:szCs w:val="32"/>
        </w:rPr>
        <w:t>2.</w:t>
      </w:r>
      <w:r>
        <w:rPr>
          <w:rFonts w:hint="eastAsia" w:ascii="仿宋_GB2312" w:eastAsia="仿宋_GB2312"/>
          <w:bCs/>
          <w:sz w:val="32"/>
          <w:szCs w:val="32"/>
        </w:rPr>
        <w:t>自评价中未发现问题。大部分地州高度重视绩效评价结果的应用工作，积极探索和建立与预算管理相结合的有效机制，着力提高绩效意识和财政资金使用效益。绩效自评价结果将作为下一年安排项目资金的依据。</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3.评价结果将在相关部门和财政厅门户网站进行公示公开,广泛接受社会监督。</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五、其他需要说明的问题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中央巡视、各级审计和财政监督中未发现问题。</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附：中央农村综合改革转移支付区域（项目）绩效目标自评表</w:t>
      </w:r>
    </w:p>
    <w:p>
      <w:pPr>
        <w:widowControl/>
        <w:jc w:val="left"/>
        <w:rPr>
          <w:rFonts w:ascii="仿宋_GB2312" w:eastAsia="仿宋_GB2312"/>
          <w:sz w:val="32"/>
          <w:szCs w:val="32"/>
        </w:rPr>
      </w:pPr>
      <w:r>
        <w:rPr>
          <w:rFonts w:ascii="仿宋_GB2312" w:eastAsia="仿宋_GB2312"/>
          <w:sz w:val="32"/>
          <w:szCs w:val="32"/>
        </w:rPr>
        <w:br w:type="page"/>
      </w:r>
    </w:p>
    <w:p>
      <w:pPr>
        <w:spacing w:line="400" w:lineRule="exact"/>
        <w:jc w:val="center"/>
        <w:rPr>
          <w:rFonts w:ascii="方正小标宋_GBK" w:hAnsi="方正小标宋_GBK" w:eastAsia="方正小标宋_GBK" w:cs="方正小标宋_GBK"/>
          <w:color w:val="000000"/>
          <w:kern w:val="0"/>
          <w:sz w:val="32"/>
          <w:szCs w:val="32"/>
        </w:rPr>
      </w:pPr>
      <w:r>
        <w:rPr>
          <w:rFonts w:hint="eastAsia" w:ascii="方正小标宋_GBK" w:hAnsi="方正小标宋_GBK" w:eastAsia="方正小标宋_GBK" w:cs="方正小标宋_GBK"/>
          <w:color w:val="000000"/>
          <w:kern w:val="0"/>
          <w:sz w:val="32"/>
          <w:szCs w:val="32"/>
        </w:rPr>
        <w:t>中央</w:t>
      </w:r>
      <w:r>
        <w:rPr>
          <w:rFonts w:ascii="方正小标宋_GBK" w:hAnsi="方正小标宋_GBK" w:eastAsia="方正小标宋_GBK" w:cs="方正小标宋_GBK"/>
          <w:color w:val="000000"/>
          <w:kern w:val="0"/>
          <w:sz w:val="32"/>
          <w:szCs w:val="32"/>
        </w:rPr>
        <w:t>农村综合改革转移支付区域（项目）绩效目标自评表</w:t>
      </w:r>
    </w:p>
    <w:p>
      <w:pPr>
        <w:tabs>
          <w:tab w:val="left" w:pos="3150"/>
          <w:tab w:val="center" w:pos="4156"/>
        </w:tabs>
        <w:spacing w:line="400" w:lineRule="exact"/>
        <w:jc w:val="left"/>
        <w:rPr>
          <w:rFonts w:ascii="宋体" w:hAnsi="宋体" w:eastAsia="宋体" w:cs="宋体"/>
          <w:color w:val="000000"/>
          <w:kern w:val="0"/>
          <w:sz w:val="22"/>
        </w:rPr>
      </w:pPr>
      <w:r>
        <w:rPr>
          <w:rFonts w:ascii="宋体" w:hAnsi="宋体" w:eastAsia="宋体" w:cs="方正小标宋_GBK"/>
          <w:b/>
          <w:color w:val="000000"/>
          <w:kern w:val="0"/>
          <w:sz w:val="24"/>
          <w:szCs w:val="24"/>
        </w:rPr>
        <w:tab/>
      </w:r>
      <w:r>
        <w:rPr>
          <w:rFonts w:ascii="宋体" w:hAnsi="宋体" w:eastAsia="宋体" w:cs="宋体"/>
          <w:color w:val="000000"/>
          <w:kern w:val="0"/>
          <w:sz w:val="22"/>
        </w:rPr>
        <w:tab/>
      </w:r>
      <w:r>
        <w:rPr>
          <w:rFonts w:hint="eastAsia" w:ascii="宋体" w:hAnsi="宋体" w:eastAsia="宋体" w:cs="宋体"/>
          <w:color w:val="000000"/>
          <w:kern w:val="0"/>
          <w:sz w:val="22"/>
        </w:rPr>
        <w:t>（2021年）</w:t>
      </w:r>
    </w:p>
    <w:tbl>
      <w:tblPr>
        <w:tblStyle w:val="5"/>
        <w:tblW w:w="10578" w:type="dxa"/>
        <w:tblInd w:w="-978" w:type="dxa"/>
        <w:tblLayout w:type="fixed"/>
        <w:tblCellMar>
          <w:top w:w="0" w:type="dxa"/>
          <w:left w:w="0" w:type="dxa"/>
          <w:bottom w:w="0" w:type="dxa"/>
          <w:right w:w="0" w:type="dxa"/>
        </w:tblCellMar>
      </w:tblPr>
      <w:tblGrid>
        <w:gridCol w:w="1277"/>
        <w:gridCol w:w="707"/>
        <w:gridCol w:w="994"/>
        <w:gridCol w:w="1984"/>
        <w:gridCol w:w="949"/>
        <w:gridCol w:w="894"/>
        <w:gridCol w:w="851"/>
        <w:gridCol w:w="850"/>
        <w:gridCol w:w="129"/>
        <w:gridCol w:w="1943"/>
      </w:tblGrid>
      <w:tr>
        <w:tblPrEx>
          <w:tblCellMar>
            <w:top w:w="0" w:type="dxa"/>
            <w:left w:w="0" w:type="dxa"/>
            <w:bottom w:w="0" w:type="dxa"/>
            <w:right w:w="0" w:type="dxa"/>
          </w:tblCellMar>
        </w:tblPrEx>
        <w:trPr>
          <w:trHeight w:val="90" w:hRule="atLeast"/>
        </w:trPr>
        <w:tc>
          <w:tcPr>
            <w:tcW w:w="29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转移支付专项（项目）名称</w:t>
            </w:r>
          </w:p>
        </w:tc>
        <w:tc>
          <w:tcPr>
            <w:tcW w:w="760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农村综合改革转移支付</w:t>
            </w:r>
          </w:p>
        </w:tc>
      </w:tr>
      <w:tr>
        <w:tblPrEx>
          <w:tblCellMar>
            <w:top w:w="0" w:type="dxa"/>
            <w:left w:w="0" w:type="dxa"/>
            <w:bottom w:w="0" w:type="dxa"/>
            <w:right w:w="0" w:type="dxa"/>
          </w:tblCellMar>
        </w:tblPrEx>
        <w:trPr>
          <w:trHeight w:val="122" w:hRule="atLeast"/>
        </w:trPr>
        <w:tc>
          <w:tcPr>
            <w:tcW w:w="29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中央主管部门</w:t>
            </w:r>
          </w:p>
        </w:tc>
        <w:tc>
          <w:tcPr>
            <w:tcW w:w="7600"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财政部</w:t>
            </w:r>
          </w:p>
        </w:tc>
      </w:tr>
      <w:tr>
        <w:tblPrEx>
          <w:tblCellMar>
            <w:top w:w="0" w:type="dxa"/>
            <w:left w:w="0" w:type="dxa"/>
            <w:bottom w:w="0" w:type="dxa"/>
            <w:right w:w="0" w:type="dxa"/>
          </w:tblCellMar>
        </w:tblPrEx>
        <w:trPr>
          <w:trHeight w:val="203" w:hRule="atLeast"/>
        </w:trPr>
        <w:tc>
          <w:tcPr>
            <w:tcW w:w="297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地方主管部门</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新疆维吾尔自治区财政厅</w:t>
            </w:r>
          </w:p>
        </w:tc>
        <w:tc>
          <w:tcPr>
            <w:tcW w:w="174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资金使用单位</w:t>
            </w:r>
          </w:p>
        </w:tc>
        <w:tc>
          <w:tcPr>
            <w:tcW w:w="292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各试点县市财政局</w:t>
            </w:r>
          </w:p>
        </w:tc>
      </w:tr>
      <w:tr>
        <w:tblPrEx>
          <w:tblCellMar>
            <w:top w:w="0" w:type="dxa"/>
            <w:left w:w="0" w:type="dxa"/>
            <w:bottom w:w="0" w:type="dxa"/>
            <w:right w:w="0" w:type="dxa"/>
          </w:tblCellMar>
        </w:tblPrEx>
        <w:trPr>
          <w:trHeight w:val="182" w:hRule="atLeast"/>
        </w:trPr>
        <w:tc>
          <w:tcPr>
            <w:tcW w:w="297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项目资金（万元）</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12"/>
                <w:szCs w:val="12"/>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全年预算数（A）</w:t>
            </w:r>
          </w:p>
        </w:tc>
        <w:tc>
          <w:tcPr>
            <w:tcW w:w="272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全年执行数（B）</w:t>
            </w:r>
          </w:p>
        </w:tc>
        <w:tc>
          <w:tcPr>
            <w:tcW w:w="1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执行率（B/A)</w:t>
            </w:r>
          </w:p>
        </w:tc>
      </w:tr>
      <w:tr>
        <w:tblPrEx>
          <w:tblCellMar>
            <w:top w:w="0" w:type="dxa"/>
            <w:left w:w="0" w:type="dxa"/>
            <w:bottom w:w="0" w:type="dxa"/>
            <w:right w:w="0" w:type="dxa"/>
          </w:tblCellMar>
        </w:tblPrEx>
        <w:trPr>
          <w:trHeight w:val="233" w:hRule="atLeast"/>
        </w:trPr>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年度资金总额：</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71168.02</w:t>
            </w:r>
          </w:p>
        </w:tc>
        <w:tc>
          <w:tcPr>
            <w:tcW w:w="272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ascii="宋体" w:hAnsi="宋体" w:eastAsia="宋体" w:cs="宋体"/>
                <w:color w:val="000000"/>
                <w:sz w:val="12"/>
                <w:szCs w:val="12"/>
              </w:rPr>
              <w:t>62849.67</w:t>
            </w:r>
          </w:p>
        </w:tc>
        <w:tc>
          <w:tcPr>
            <w:tcW w:w="1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88.31%</w:t>
            </w:r>
          </w:p>
        </w:tc>
      </w:tr>
      <w:tr>
        <w:tblPrEx>
          <w:tblCellMar>
            <w:top w:w="0" w:type="dxa"/>
            <w:left w:w="0" w:type="dxa"/>
            <w:bottom w:w="0" w:type="dxa"/>
            <w:right w:w="0" w:type="dxa"/>
          </w:tblCellMar>
        </w:tblPrEx>
        <w:trPr>
          <w:trHeight w:val="188" w:hRule="atLeast"/>
        </w:trPr>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2"/>
                <w:szCs w:val="12"/>
              </w:rPr>
            </w:pPr>
            <w:r>
              <w:rPr>
                <w:rStyle w:val="11"/>
                <w:rFonts w:hint="default"/>
                <w:sz w:val="12"/>
                <w:szCs w:val="12"/>
              </w:rPr>
              <w:t>其中：中央财政资金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51128</w:t>
            </w:r>
          </w:p>
        </w:tc>
        <w:tc>
          <w:tcPr>
            <w:tcW w:w="272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43775.26</w:t>
            </w:r>
          </w:p>
        </w:tc>
        <w:tc>
          <w:tcPr>
            <w:tcW w:w="1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85.62%</w:t>
            </w:r>
          </w:p>
        </w:tc>
      </w:tr>
      <w:tr>
        <w:tblPrEx>
          <w:tblCellMar>
            <w:top w:w="0" w:type="dxa"/>
            <w:left w:w="0" w:type="dxa"/>
            <w:bottom w:w="0" w:type="dxa"/>
            <w:right w:w="0" w:type="dxa"/>
          </w:tblCellMar>
        </w:tblPrEx>
        <w:trPr>
          <w:trHeight w:val="182" w:hRule="atLeast"/>
        </w:trPr>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2"/>
                <w:szCs w:val="12"/>
              </w:rPr>
            </w:pPr>
            <w:r>
              <w:rPr>
                <w:rStyle w:val="11"/>
                <w:rFonts w:hint="default"/>
                <w:sz w:val="12"/>
                <w:szCs w:val="12"/>
              </w:rPr>
              <w:t xml:space="preserve">      地方资金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20040.02</w:t>
            </w:r>
          </w:p>
        </w:tc>
        <w:tc>
          <w:tcPr>
            <w:tcW w:w="272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19074.41</w:t>
            </w:r>
          </w:p>
        </w:tc>
        <w:tc>
          <w:tcPr>
            <w:tcW w:w="1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95.18%</w:t>
            </w:r>
          </w:p>
        </w:tc>
      </w:tr>
      <w:tr>
        <w:tblPrEx>
          <w:tblCellMar>
            <w:top w:w="0" w:type="dxa"/>
            <w:left w:w="0" w:type="dxa"/>
            <w:bottom w:w="0" w:type="dxa"/>
            <w:right w:w="0" w:type="dxa"/>
          </w:tblCellMar>
        </w:tblPrEx>
        <w:trPr>
          <w:trHeight w:val="137" w:hRule="atLeast"/>
        </w:trPr>
        <w:tc>
          <w:tcPr>
            <w:tcW w:w="29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2"/>
                <w:szCs w:val="12"/>
              </w:rPr>
            </w:pPr>
            <w:r>
              <w:rPr>
                <w:rStyle w:val="11"/>
                <w:rFonts w:hint="default"/>
                <w:sz w:val="12"/>
                <w:szCs w:val="12"/>
              </w:rPr>
              <w:t xml:space="preserve">  其他资金</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272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19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318" w:hRule="atLeas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总体目标完成请况</w:t>
            </w:r>
          </w:p>
        </w:tc>
        <w:tc>
          <w:tcPr>
            <w:tcW w:w="463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总体目标</w:t>
            </w:r>
          </w:p>
        </w:tc>
        <w:tc>
          <w:tcPr>
            <w:tcW w:w="466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全年实际完成情况</w:t>
            </w:r>
          </w:p>
        </w:tc>
      </w:tr>
      <w:tr>
        <w:tblPrEx>
          <w:tblCellMar>
            <w:top w:w="0" w:type="dxa"/>
            <w:left w:w="0" w:type="dxa"/>
            <w:bottom w:w="0" w:type="dxa"/>
            <w:right w:w="0" w:type="dxa"/>
          </w:tblCellMar>
        </w:tblPrEx>
        <w:trPr>
          <w:trHeight w:val="101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2"/>
                <w:szCs w:val="12"/>
              </w:rPr>
            </w:pPr>
          </w:p>
        </w:tc>
        <w:tc>
          <w:tcPr>
            <w:tcW w:w="463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1.推进农村公益事业建设。</w:t>
            </w:r>
          </w:p>
          <w:p>
            <w:pPr>
              <w:keepNext w:val="0"/>
              <w:keepLines w:val="0"/>
              <w:pageBreakBefore w:val="0"/>
              <w:widowControl/>
              <w:kinsoku/>
              <w:wordWrap/>
              <w:overflowPunct/>
              <w:topLinePunct w:val="0"/>
              <w:autoSpaceDE/>
              <w:autoSpaceDN/>
              <w:bidi w:val="0"/>
              <w:adjustRightInd w:val="0"/>
              <w:snapToGrid w:val="0"/>
              <w:spacing w:line="240" w:lineRule="atLeast"/>
              <w:jc w:val="left"/>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2.建设一批美丽乡村。</w:t>
            </w:r>
          </w:p>
          <w:p>
            <w:pPr>
              <w:keepNext w:val="0"/>
              <w:keepLines w:val="0"/>
              <w:pageBreakBefore w:val="0"/>
              <w:widowControl/>
              <w:kinsoku/>
              <w:wordWrap/>
              <w:overflowPunct/>
              <w:topLinePunct w:val="0"/>
              <w:autoSpaceDE/>
              <w:autoSpaceDN/>
              <w:bidi w:val="0"/>
              <w:adjustRightInd w:val="0"/>
              <w:snapToGrid w:val="0"/>
              <w:spacing w:line="240" w:lineRule="atLeast"/>
              <w:jc w:val="left"/>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3.发展村级集体经济</w:t>
            </w:r>
            <w:r>
              <w:rPr>
                <w:rFonts w:ascii="宋体" w:hAnsi="宋体" w:eastAsia="宋体" w:cs="宋体"/>
                <w:color w:val="000000"/>
                <w:kern w:val="0"/>
                <w:sz w:val="12"/>
                <w:szCs w:val="12"/>
              </w:rPr>
              <w:t>。</w:t>
            </w:r>
          </w:p>
          <w:p>
            <w:pPr>
              <w:keepNext w:val="0"/>
              <w:keepLines w:val="0"/>
              <w:pageBreakBefore w:val="0"/>
              <w:widowControl/>
              <w:kinsoku/>
              <w:wordWrap/>
              <w:overflowPunct/>
              <w:topLinePunct w:val="0"/>
              <w:autoSpaceDE/>
              <w:autoSpaceDN/>
              <w:bidi w:val="0"/>
              <w:adjustRightInd w:val="0"/>
              <w:snapToGrid w:val="0"/>
              <w:spacing w:line="240" w:lineRule="atLeast"/>
              <w:jc w:val="left"/>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4.做好农垦国有农场办社会职能改革补助工作。</w:t>
            </w:r>
          </w:p>
        </w:tc>
        <w:tc>
          <w:tcPr>
            <w:tcW w:w="466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left"/>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1.全区已建设完成1371个农村公益设施；2.全区已建设完工项目19个美丽乡村、6个红色美丽村庄，已完工项目村人居环境明显改善；3.全区已建设完工扶持壮大村级集体经济补助项目数534个，已完工项目村村集体经济有稳定收入；4.对全区81个农垦国有农场办社会职能改革过程中产生的改革成本一次性给予适当补助。</w:t>
            </w:r>
          </w:p>
        </w:tc>
      </w:tr>
      <w:tr>
        <w:tblPrEx>
          <w:tblCellMar>
            <w:top w:w="0" w:type="dxa"/>
            <w:left w:w="0" w:type="dxa"/>
            <w:bottom w:w="0" w:type="dxa"/>
            <w:right w:w="0" w:type="dxa"/>
          </w:tblCellMar>
        </w:tblPrEx>
        <w:trPr>
          <w:trHeight w:val="257" w:hRule="atLeas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绩效指标</w:t>
            </w:r>
          </w:p>
        </w:tc>
        <w:tc>
          <w:tcPr>
            <w:tcW w:w="7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一级指标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二级指标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三级指标</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指标值</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全年实际完成值</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未完成原因和改进措施</w:t>
            </w:r>
          </w:p>
        </w:tc>
      </w:tr>
      <w:tr>
        <w:tblPrEx>
          <w:tblCellMar>
            <w:top w:w="0" w:type="dxa"/>
            <w:left w:w="0" w:type="dxa"/>
            <w:bottom w:w="0" w:type="dxa"/>
            <w:right w:w="0" w:type="dxa"/>
          </w:tblCellMar>
        </w:tblPrEx>
        <w:trPr>
          <w:trHeight w:val="549"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产</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出</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指</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标</w:t>
            </w:r>
          </w:p>
        </w:tc>
        <w:tc>
          <w:tcPr>
            <w:tcW w:w="99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数量指标</w:t>
            </w:r>
          </w:p>
        </w:tc>
        <w:tc>
          <w:tcPr>
            <w:tcW w:w="2933"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支持农村公益设施建设数量</w:t>
            </w:r>
          </w:p>
        </w:tc>
        <w:tc>
          <w:tcPr>
            <w:tcW w:w="89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≥1456个</w:t>
            </w:r>
          </w:p>
        </w:tc>
        <w:tc>
          <w:tcPr>
            <w:tcW w:w="1701"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1371个</w:t>
            </w:r>
          </w:p>
        </w:tc>
        <w:tc>
          <w:tcPr>
            <w:tcW w:w="2072"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宋体" w:hAnsi="宋体" w:eastAsia="宋体" w:cs="宋体"/>
                <w:color w:val="000000"/>
                <w:sz w:val="12"/>
                <w:szCs w:val="12"/>
              </w:rPr>
            </w:pPr>
            <w:r>
              <w:rPr>
                <w:rFonts w:hint="eastAsia" w:ascii="宋体" w:hAnsi="宋体" w:eastAsia="宋体" w:cs="宋体"/>
                <w:color w:val="000000"/>
                <w:sz w:val="12"/>
                <w:szCs w:val="12"/>
              </w:rPr>
              <w:t>未完工项目工程已接近尾声，预计2022年5月完工</w:t>
            </w:r>
          </w:p>
        </w:tc>
      </w:tr>
      <w:tr>
        <w:tblPrEx>
          <w:tblCellMar>
            <w:top w:w="0" w:type="dxa"/>
            <w:left w:w="0" w:type="dxa"/>
            <w:bottom w:w="0" w:type="dxa"/>
            <w:right w:w="0" w:type="dxa"/>
          </w:tblCellMar>
        </w:tblPrEx>
        <w:trPr>
          <w:trHeight w:val="157"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支持美丽乡村建设数量</w:t>
            </w:r>
          </w:p>
        </w:tc>
        <w:tc>
          <w:tcPr>
            <w:tcW w:w="89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≥19个</w:t>
            </w:r>
          </w:p>
        </w:tc>
        <w:tc>
          <w:tcPr>
            <w:tcW w:w="1701"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19个</w:t>
            </w:r>
          </w:p>
        </w:tc>
        <w:tc>
          <w:tcPr>
            <w:tcW w:w="2072"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315" w:hRule="atLeast"/>
        </w:trPr>
        <w:tc>
          <w:tcPr>
            <w:tcW w:w="1277" w:type="dxa"/>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99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推动红色村组织振兴建设红色美丽村庄试点村数</w:t>
            </w:r>
          </w:p>
        </w:tc>
        <w:tc>
          <w:tcPr>
            <w:tcW w:w="89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6个</w:t>
            </w:r>
          </w:p>
        </w:tc>
        <w:tc>
          <w:tcPr>
            <w:tcW w:w="1701"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6个</w:t>
            </w:r>
          </w:p>
        </w:tc>
        <w:tc>
          <w:tcPr>
            <w:tcW w:w="2072"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423" w:hRule="atLeast"/>
        </w:trPr>
        <w:tc>
          <w:tcPr>
            <w:tcW w:w="1277" w:type="dxa"/>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994"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扶持村级集体经济发展村数</w:t>
            </w:r>
          </w:p>
        </w:tc>
        <w:tc>
          <w:tcPr>
            <w:tcW w:w="89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≥541个</w:t>
            </w:r>
          </w:p>
        </w:tc>
        <w:tc>
          <w:tcPr>
            <w:tcW w:w="1701"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534个</w:t>
            </w:r>
          </w:p>
        </w:tc>
        <w:tc>
          <w:tcPr>
            <w:tcW w:w="2072"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未完工项目工程已接近尾声，预计2022年5月完工</w:t>
            </w:r>
          </w:p>
        </w:tc>
      </w:tr>
      <w:tr>
        <w:tblPrEx>
          <w:tblCellMar>
            <w:top w:w="0" w:type="dxa"/>
            <w:left w:w="0" w:type="dxa"/>
            <w:bottom w:w="0" w:type="dxa"/>
            <w:right w:w="0" w:type="dxa"/>
          </w:tblCellMar>
        </w:tblPrEx>
        <w:trPr>
          <w:trHeight w:val="247" w:hRule="atLeast"/>
        </w:trPr>
        <w:tc>
          <w:tcPr>
            <w:tcW w:w="1277"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994"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质量指标</w:t>
            </w:r>
          </w:p>
        </w:tc>
        <w:tc>
          <w:tcPr>
            <w:tcW w:w="2933"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美丽乡村建设台账</w:t>
            </w:r>
          </w:p>
        </w:tc>
        <w:tc>
          <w:tcPr>
            <w:tcW w:w="89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基本建立</w:t>
            </w:r>
          </w:p>
        </w:tc>
        <w:tc>
          <w:tcPr>
            <w:tcW w:w="1701"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2072" w:type="dxa"/>
            <w:gridSpan w:val="2"/>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71"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推动红色村组织振兴建设红色美丽村庄试点台账</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基本建立</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21"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扶持村级集体经济台账</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基本建立</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17"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美丽乡村建设项目村村容村貌</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明显改善</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484"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农垦国有农场与周边区域社会管理和公共服务共享共建水平</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明显提高</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516"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对南疆、边疆地区薄弱村、空壳村村级集体经济发展支持力度</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有所加大</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02"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工程验收合格率</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98.67%</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r>
              <w:rPr>
                <w:rFonts w:hint="eastAsia" w:ascii="宋体" w:hAnsi="宋体" w:eastAsia="宋体" w:cs="宋体"/>
                <w:color w:val="000000"/>
                <w:sz w:val="12"/>
                <w:szCs w:val="12"/>
              </w:rPr>
              <w:t>个别项目已完工，还未验收</w:t>
            </w:r>
          </w:p>
        </w:tc>
      </w:tr>
      <w:tr>
        <w:tblPrEx>
          <w:tblCellMar>
            <w:top w:w="0" w:type="dxa"/>
            <w:left w:w="0" w:type="dxa"/>
            <w:bottom w:w="0" w:type="dxa"/>
            <w:right w:w="0" w:type="dxa"/>
          </w:tblCellMar>
        </w:tblPrEx>
        <w:trPr>
          <w:trHeight w:val="519"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p>
        </w:tc>
        <w:tc>
          <w:tcPr>
            <w:tcW w:w="994" w:type="dxa"/>
            <w:vMerge w:val="restart"/>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时效指标</w:t>
            </w:r>
          </w:p>
        </w:tc>
        <w:tc>
          <w:tcPr>
            <w:tcW w:w="2933" w:type="dxa"/>
            <w:gridSpan w:val="2"/>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截至2021年底，年度农村综合改革转移支付资金执行率</w:t>
            </w:r>
          </w:p>
        </w:tc>
        <w:tc>
          <w:tcPr>
            <w:tcW w:w="894"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91.66%</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ascii="宋体" w:hAnsi="宋体" w:eastAsia="宋体" w:cs="宋体"/>
                <w:color w:val="000000"/>
                <w:sz w:val="12"/>
                <w:szCs w:val="12"/>
              </w:rPr>
            </w:pPr>
            <w:r>
              <w:rPr>
                <w:rFonts w:hint="eastAsia" w:ascii="宋体" w:hAnsi="宋体" w:eastAsia="宋体" w:cs="宋体"/>
                <w:color w:val="000000"/>
                <w:sz w:val="12"/>
                <w:szCs w:val="12"/>
              </w:rPr>
              <w:t>一是部分项目未完工无法形成支付；二是部分项目已实施完毕，还为支付资金</w:t>
            </w:r>
          </w:p>
        </w:tc>
      </w:tr>
      <w:tr>
        <w:tblPrEx>
          <w:tblCellMar>
            <w:top w:w="0" w:type="dxa"/>
            <w:left w:w="0" w:type="dxa"/>
            <w:bottom w:w="0" w:type="dxa"/>
            <w:right w:w="0" w:type="dxa"/>
          </w:tblCellMar>
        </w:tblPrEx>
        <w:trPr>
          <w:trHeight w:val="318"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p>
        </w:tc>
        <w:tc>
          <w:tcPr>
            <w:tcW w:w="99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制定具体管理办法并报财政部备案</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kern w:val="0"/>
                <w:sz w:val="12"/>
                <w:szCs w:val="12"/>
              </w:rPr>
              <w:t>及时报备</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30"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restar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效益指标</w:t>
            </w: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经济效益</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项目村集体经济收入</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有所增加</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98.43%</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528"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社会效益</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项目村基层党组织的组织力凝聚力战斗力</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有所增强</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528"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生态效益</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农村人居环境</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有效改善</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kern w:val="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73"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可持续影响指标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农村公益事业滚动项目库</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基本建立</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100%</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258"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满意度指标</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服务对象</w:t>
            </w:r>
            <w:r>
              <w:rPr>
                <w:rFonts w:hint="eastAsia" w:ascii="宋体" w:hAnsi="宋体" w:eastAsia="宋体" w:cs="宋体"/>
                <w:color w:val="000000"/>
                <w:kern w:val="0"/>
                <w:sz w:val="12"/>
                <w:szCs w:val="12"/>
              </w:rPr>
              <w:br w:type="textWrapping"/>
            </w:r>
            <w:r>
              <w:rPr>
                <w:rFonts w:hint="eastAsia" w:ascii="宋体" w:hAnsi="宋体" w:eastAsia="宋体" w:cs="宋体"/>
                <w:color w:val="000000"/>
                <w:kern w:val="0"/>
                <w:sz w:val="12"/>
                <w:szCs w:val="12"/>
              </w:rPr>
              <w:t>满意度指标</w:t>
            </w: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项目区农民满意度</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≥90%</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91%</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309" w:hRule="atLeas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70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c>
          <w:tcPr>
            <w:tcW w:w="293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项目区基层干部满意度</w:t>
            </w:r>
          </w:p>
        </w:tc>
        <w:tc>
          <w:tcPr>
            <w:tcW w:w="8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≥90%</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sz w:val="12"/>
                <w:szCs w:val="12"/>
              </w:rPr>
              <w:t>93%</w:t>
            </w:r>
          </w:p>
        </w:tc>
        <w:tc>
          <w:tcPr>
            <w:tcW w:w="207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spacing w:line="240" w:lineRule="atLeast"/>
              <w:jc w:val="center"/>
              <w:rPr>
                <w:rFonts w:ascii="宋体" w:hAnsi="宋体" w:eastAsia="宋体" w:cs="宋体"/>
                <w:color w:val="000000"/>
                <w:sz w:val="12"/>
                <w:szCs w:val="12"/>
              </w:rPr>
            </w:pPr>
          </w:p>
        </w:tc>
      </w:tr>
      <w:tr>
        <w:tblPrEx>
          <w:tblCellMar>
            <w:top w:w="0" w:type="dxa"/>
            <w:left w:w="0" w:type="dxa"/>
            <w:bottom w:w="0" w:type="dxa"/>
            <w:right w:w="0" w:type="dxa"/>
          </w:tblCellMar>
        </w:tblPrEx>
        <w:trPr>
          <w:trHeight w:val="318"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说明</w:t>
            </w:r>
          </w:p>
        </w:tc>
        <w:tc>
          <w:tcPr>
            <w:tcW w:w="930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spacing w:line="240" w:lineRule="atLeast"/>
              <w:jc w:val="center"/>
              <w:textAlignment w:val="center"/>
              <w:rPr>
                <w:rFonts w:ascii="宋体" w:hAnsi="宋体" w:eastAsia="宋体" w:cs="宋体"/>
                <w:color w:val="000000"/>
                <w:sz w:val="12"/>
                <w:szCs w:val="12"/>
              </w:rPr>
            </w:pPr>
            <w:r>
              <w:rPr>
                <w:rFonts w:hint="eastAsia" w:ascii="宋体" w:hAnsi="宋体" w:eastAsia="宋体" w:cs="宋体"/>
                <w:color w:val="000000"/>
                <w:kern w:val="0"/>
                <w:sz w:val="12"/>
                <w:szCs w:val="12"/>
              </w:rPr>
              <w:t>无</w:t>
            </w:r>
          </w:p>
        </w:tc>
      </w:tr>
    </w:tbl>
    <w:p>
      <w:pPr>
        <w:keepNext w:val="0"/>
        <w:keepLines w:val="0"/>
        <w:pageBreakBefore w:val="0"/>
        <w:tabs>
          <w:tab w:val="left" w:pos="3150"/>
          <w:tab w:val="center" w:pos="4156"/>
        </w:tabs>
        <w:kinsoku/>
        <w:wordWrap/>
        <w:overflowPunct/>
        <w:topLinePunct w:val="0"/>
        <w:autoSpaceDE/>
        <w:autoSpaceDN/>
        <w:bidi w:val="0"/>
        <w:spacing w:line="240" w:lineRule="atLeast"/>
        <w:jc w:val="left"/>
        <w:rPr>
          <w:rFonts w:ascii="宋体" w:hAnsi="宋体" w:eastAsia="宋体"/>
          <w:sz w:val="12"/>
          <w:szCs w:val="12"/>
        </w:rPr>
      </w:pPr>
    </w:p>
    <w:sectPr>
      <w:pgSz w:w="11906" w:h="16838"/>
      <w:pgMar w:top="1440" w:right="1797" w:bottom="1440" w:left="1797"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680"/>
    </w:sdtPr>
    <w:sdtContent>
      <w:p>
        <w:pPr>
          <w:pStyle w:val="3"/>
          <w:jc w:val="center"/>
        </w:pPr>
        <w:r>
          <w:rPr>
            <w:rFonts w:hint="eastAsia" w:ascii="仿宋" w:hAnsi="仿宋" w:eastAsia="仿宋"/>
            <w:sz w:val="28"/>
            <w:szCs w:val="28"/>
          </w:rPr>
          <w:fldChar w:fldCharType="begin"/>
        </w:r>
        <w:r>
          <w:rPr>
            <w:rFonts w:hint="eastAsia" w:ascii="仿宋" w:hAnsi="仿宋" w:eastAsia="仿宋"/>
            <w:sz w:val="28"/>
            <w:szCs w:val="28"/>
          </w:rPr>
          <w:instrText xml:space="preserve"> PAGE   \* MERGEFORMAT </w:instrText>
        </w:r>
        <w:r>
          <w:rPr>
            <w:rFonts w:hint="eastAsia"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8 -</w:t>
        </w:r>
        <w:r>
          <w:rPr>
            <w:rFonts w:hint="eastAsia" w:ascii="仿宋" w:hAnsi="仿宋" w:eastAsia="仿宋"/>
            <w:sz w:val="28"/>
            <w:szCs w:val="28"/>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800"/>
    <w:rsid w:val="00010C4C"/>
    <w:rsid w:val="000227B1"/>
    <w:rsid w:val="00022CA4"/>
    <w:rsid w:val="00027FC4"/>
    <w:rsid w:val="00030A17"/>
    <w:rsid w:val="00037F30"/>
    <w:rsid w:val="000426F4"/>
    <w:rsid w:val="00042D32"/>
    <w:rsid w:val="00044BD5"/>
    <w:rsid w:val="000515EE"/>
    <w:rsid w:val="00052A9E"/>
    <w:rsid w:val="000550C6"/>
    <w:rsid w:val="00061EAB"/>
    <w:rsid w:val="00067770"/>
    <w:rsid w:val="00070674"/>
    <w:rsid w:val="00070C42"/>
    <w:rsid w:val="00080373"/>
    <w:rsid w:val="00081FE1"/>
    <w:rsid w:val="00084329"/>
    <w:rsid w:val="00090F64"/>
    <w:rsid w:val="000949A5"/>
    <w:rsid w:val="000975C0"/>
    <w:rsid w:val="00097706"/>
    <w:rsid w:val="000B589E"/>
    <w:rsid w:val="000D333B"/>
    <w:rsid w:val="000E743F"/>
    <w:rsid w:val="000E7CB0"/>
    <w:rsid w:val="001012BD"/>
    <w:rsid w:val="001074BA"/>
    <w:rsid w:val="0012176D"/>
    <w:rsid w:val="00123389"/>
    <w:rsid w:val="00144E0C"/>
    <w:rsid w:val="00145761"/>
    <w:rsid w:val="00147878"/>
    <w:rsid w:val="00173117"/>
    <w:rsid w:val="00176C83"/>
    <w:rsid w:val="00181B1D"/>
    <w:rsid w:val="001903D1"/>
    <w:rsid w:val="00190691"/>
    <w:rsid w:val="001910DA"/>
    <w:rsid w:val="0019186B"/>
    <w:rsid w:val="00192161"/>
    <w:rsid w:val="001A0DA0"/>
    <w:rsid w:val="001A1119"/>
    <w:rsid w:val="001B4DA5"/>
    <w:rsid w:val="001B5E67"/>
    <w:rsid w:val="001C59CA"/>
    <w:rsid w:val="001C6186"/>
    <w:rsid w:val="001C6DD8"/>
    <w:rsid w:val="001D07CB"/>
    <w:rsid w:val="001D5A43"/>
    <w:rsid w:val="001E469C"/>
    <w:rsid w:val="001F0169"/>
    <w:rsid w:val="001F51B7"/>
    <w:rsid w:val="001F5258"/>
    <w:rsid w:val="001F6B92"/>
    <w:rsid w:val="001F6FC7"/>
    <w:rsid w:val="00200761"/>
    <w:rsid w:val="00214012"/>
    <w:rsid w:val="00215F58"/>
    <w:rsid w:val="00216F93"/>
    <w:rsid w:val="0021799E"/>
    <w:rsid w:val="00220784"/>
    <w:rsid w:val="0022143F"/>
    <w:rsid w:val="00230C1D"/>
    <w:rsid w:val="00232961"/>
    <w:rsid w:val="00232E51"/>
    <w:rsid w:val="00237349"/>
    <w:rsid w:val="00243319"/>
    <w:rsid w:val="00244CB7"/>
    <w:rsid w:val="002475EB"/>
    <w:rsid w:val="002519CA"/>
    <w:rsid w:val="00262122"/>
    <w:rsid w:val="00275791"/>
    <w:rsid w:val="00291CCF"/>
    <w:rsid w:val="002961D2"/>
    <w:rsid w:val="00296A5A"/>
    <w:rsid w:val="002A3770"/>
    <w:rsid w:val="002B25E8"/>
    <w:rsid w:val="002B710A"/>
    <w:rsid w:val="002F3D68"/>
    <w:rsid w:val="003044F1"/>
    <w:rsid w:val="003174C1"/>
    <w:rsid w:val="00326ED6"/>
    <w:rsid w:val="0033081C"/>
    <w:rsid w:val="00335815"/>
    <w:rsid w:val="00335A40"/>
    <w:rsid w:val="003455F3"/>
    <w:rsid w:val="00356DC1"/>
    <w:rsid w:val="0035769D"/>
    <w:rsid w:val="003776B4"/>
    <w:rsid w:val="00383DE7"/>
    <w:rsid w:val="003A387B"/>
    <w:rsid w:val="003B3FD2"/>
    <w:rsid w:val="003B7470"/>
    <w:rsid w:val="003C07EB"/>
    <w:rsid w:val="003D4B38"/>
    <w:rsid w:val="003D70CA"/>
    <w:rsid w:val="003E57A9"/>
    <w:rsid w:val="004043F1"/>
    <w:rsid w:val="00420F1F"/>
    <w:rsid w:val="00436E92"/>
    <w:rsid w:val="004509A3"/>
    <w:rsid w:val="0045316E"/>
    <w:rsid w:val="00453E35"/>
    <w:rsid w:val="00454511"/>
    <w:rsid w:val="00456D16"/>
    <w:rsid w:val="00490CF8"/>
    <w:rsid w:val="00496768"/>
    <w:rsid w:val="004A37C9"/>
    <w:rsid w:val="004A4723"/>
    <w:rsid w:val="004A6AFA"/>
    <w:rsid w:val="004B1C11"/>
    <w:rsid w:val="004B3535"/>
    <w:rsid w:val="004C2AD0"/>
    <w:rsid w:val="004C5536"/>
    <w:rsid w:val="004C78CF"/>
    <w:rsid w:val="004D38F3"/>
    <w:rsid w:val="004D6E3F"/>
    <w:rsid w:val="004E326E"/>
    <w:rsid w:val="004F1116"/>
    <w:rsid w:val="004F2489"/>
    <w:rsid w:val="00500937"/>
    <w:rsid w:val="00500EC9"/>
    <w:rsid w:val="005032CB"/>
    <w:rsid w:val="00514DDB"/>
    <w:rsid w:val="005301EF"/>
    <w:rsid w:val="00541E30"/>
    <w:rsid w:val="00542560"/>
    <w:rsid w:val="00551198"/>
    <w:rsid w:val="00552F8A"/>
    <w:rsid w:val="00553FCC"/>
    <w:rsid w:val="0055409F"/>
    <w:rsid w:val="00557A22"/>
    <w:rsid w:val="00564BF5"/>
    <w:rsid w:val="0057206A"/>
    <w:rsid w:val="00587D8B"/>
    <w:rsid w:val="00591407"/>
    <w:rsid w:val="00592DE1"/>
    <w:rsid w:val="0059471A"/>
    <w:rsid w:val="00596AB7"/>
    <w:rsid w:val="005A679D"/>
    <w:rsid w:val="005C1AE5"/>
    <w:rsid w:val="005C3348"/>
    <w:rsid w:val="005D5F20"/>
    <w:rsid w:val="005D69FE"/>
    <w:rsid w:val="005E0EF5"/>
    <w:rsid w:val="005F5BDE"/>
    <w:rsid w:val="00602572"/>
    <w:rsid w:val="006041A7"/>
    <w:rsid w:val="006077D4"/>
    <w:rsid w:val="0061703F"/>
    <w:rsid w:val="006219F8"/>
    <w:rsid w:val="00622387"/>
    <w:rsid w:val="00623C54"/>
    <w:rsid w:val="00631931"/>
    <w:rsid w:val="00637772"/>
    <w:rsid w:val="00637D63"/>
    <w:rsid w:val="00643231"/>
    <w:rsid w:val="00644512"/>
    <w:rsid w:val="00647E33"/>
    <w:rsid w:val="00661B63"/>
    <w:rsid w:val="006700BF"/>
    <w:rsid w:val="00670E09"/>
    <w:rsid w:val="00675170"/>
    <w:rsid w:val="00677C98"/>
    <w:rsid w:val="00682116"/>
    <w:rsid w:val="00685464"/>
    <w:rsid w:val="006872CE"/>
    <w:rsid w:val="006A1786"/>
    <w:rsid w:val="006A360C"/>
    <w:rsid w:val="006B3EC1"/>
    <w:rsid w:val="006B7A65"/>
    <w:rsid w:val="006D3A66"/>
    <w:rsid w:val="006E377C"/>
    <w:rsid w:val="007002BF"/>
    <w:rsid w:val="0070067F"/>
    <w:rsid w:val="00704BA0"/>
    <w:rsid w:val="00705690"/>
    <w:rsid w:val="007346EE"/>
    <w:rsid w:val="007360B8"/>
    <w:rsid w:val="00750804"/>
    <w:rsid w:val="00753A54"/>
    <w:rsid w:val="0076074E"/>
    <w:rsid w:val="00764C86"/>
    <w:rsid w:val="0077288D"/>
    <w:rsid w:val="007730C2"/>
    <w:rsid w:val="0077486A"/>
    <w:rsid w:val="0077602D"/>
    <w:rsid w:val="007764DB"/>
    <w:rsid w:val="0077684A"/>
    <w:rsid w:val="00780B03"/>
    <w:rsid w:val="0078145C"/>
    <w:rsid w:val="00781B3D"/>
    <w:rsid w:val="00793892"/>
    <w:rsid w:val="007A2F6A"/>
    <w:rsid w:val="007A53B3"/>
    <w:rsid w:val="007A5FC6"/>
    <w:rsid w:val="007A646B"/>
    <w:rsid w:val="007A7B99"/>
    <w:rsid w:val="007B6E3C"/>
    <w:rsid w:val="007C2DCB"/>
    <w:rsid w:val="007D19AD"/>
    <w:rsid w:val="007F193F"/>
    <w:rsid w:val="007F521E"/>
    <w:rsid w:val="007F5F74"/>
    <w:rsid w:val="008024AA"/>
    <w:rsid w:val="00812912"/>
    <w:rsid w:val="0082206E"/>
    <w:rsid w:val="00836C66"/>
    <w:rsid w:val="00841245"/>
    <w:rsid w:val="008461C8"/>
    <w:rsid w:val="00846FB3"/>
    <w:rsid w:val="008506CE"/>
    <w:rsid w:val="00855C4E"/>
    <w:rsid w:val="00865B25"/>
    <w:rsid w:val="008808F5"/>
    <w:rsid w:val="00893176"/>
    <w:rsid w:val="00896CF9"/>
    <w:rsid w:val="008974C5"/>
    <w:rsid w:val="008A5380"/>
    <w:rsid w:val="008A566E"/>
    <w:rsid w:val="008A5E1D"/>
    <w:rsid w:val="008B3C39"/>
    <w:rsid w:val="008C0075"/>
    <w:rsid w:val="008C52F6"/>
    <w:rsid w:val="008D5973"/>
    <w:rsid w:val="008E1A1E"/>
    <w:rsid w:val="008E1A89"/>
    <w:rsid w:val="008E5D0E"/>
    <w:rsid w:val="008F584E"/>
    <w:rsid w:val="008F5A21"/>
    <w:rsid w:val="00906204"/>
    <w:rsid w:val="00922777"/>
    <w:rsid w:val="009241DB"/>
    <w:rsid w:val="00932C62"/>
    <w:rsid w:val="00936A98"/>
    <w:rsid w:val="00945E62"/>
    <w:rsid w:val="00960B82"/>
    <w:rsid w:val="00963FB6"/>
    <w:rsid w:val="00965DEA"/>
    <w:rsid w:val="00967D16"/>
    <w:rsid w:val="009746BD"/>
    <w:rsid w:val="00985185"/>
    <w:rsid w:val="00993A8B"/>
    <w:rsid w:val="00994D08"/>
    <w:rsid w:val="009B1C6D"/>
    <w:rsid w:val="009B296D"/>
    <w:rsid w:val="009B370A"/>
    <w:rsid w:val="009B710E"/>
    <w:rsid w:val="009C0F8C"/>
    <w:rsid w:val="009C5871"/>
    <w:rsid w:val="009C6187"/>
    <w:rsid w:val="009C7BDE"/>
    <w:rsid w:val="009D466C"/>
    <w:rsid w:val="009E478D"/>
    <w:rsid w:val="009F4238"/>
    <w:rsid w:val="009F6F97"/>
    <w:rsid w:val="00A053F8"/>
    <w:rsid w:val="00A06C50"/>
    <w:rsid w:val="00A12FF0"/>
    <w:rsid w:val="00A22D29"/>
    <w:rsid w:val="00A4049C"/>
    <w:rsid w:val="00A52161"/>
    <w:rsid w:val="00A52A1C"/>
    <w:rsid w:val="00A55D81"/>
    <w:rsid w:val="00A610AD"/>
    <w:rsid w:val="00A72E73"/>
    <w:rsid w:val="00A8424B"/>
    <w:rsid w:val="00AA3224"/>
    <w:rsid w:val="00AB26DD"/>
    <w:rsid w:val="00AB41F7"/>
    <w:rsid w:val="00AB7A8E"/>
    <w:rsid w:val="00AC1D69"/>
    <w:rsid w:val="00AD0E34"/>
    <w:rsid w:val="00AD6C2C"/>
    <w:rsid w:val="00AD7472"/>
    <w:rsid w:val="00AF1F7E"/>
    <w:rsid w:val="00AF62C4"/>
    <w:rsid w:val="00B05169"/>
    <w:rsid w:val="00B15638"/>
    <w:rsid w:val="00B16149"/>
    <w:rsid w:val="00B163F4"/>
    <w:rsid w:val="00B1743E"/>
    <w:rsid w:val="00B2096E"/>
    <w:rsid w:val="00B21890"/>
    <w:rsid w:val="00B24568"/>
    <w:rsid w:val="00B25846"/>
    <w:rsid w:val="00B306D8"/>
    <w:rsid w:val="00B31FAF"/>
    <w:rsid w:val="00B343B4"/>
    <w:rsid w:val="00B36543"/>
    <w:rsid w:val="00B51F64"/>
    <w:rsid w:val="00B6312E"/>
    <w:rsid w:val="00B6578D"/>
    <w:rsid w:val="00B71B7C"/>
    <w:rsid w:val="00B764FE"/>
    <w:rsid w:val="00B81F4F"/>
    <w:rsid w:val="00B82370"/>
    <w:rsid w:val="00B92811"/>
    <w:rsid w:val="00BA4E95"/>
    <w:rsid w:val="00BA78CA"/>
    <w:rsid w:val="00BB18C1"/>
    <w:rsid w:val="00BB692E"/>
    <w:rsid w:val="00BC46AC"/>
    <w:rsid w:val="00BD4BF3"/>
    <w:rsid w:val="00BE3B3F"/>
    <w:rsid w:val="00BE4D48"/>
    <w:rsid w:val="00C0357C"/>
    <w:rsid w:val="00C075C6"/>
    <w:rsid w:val="00C20279"/>
    <w:rsid w:val="00C25592"/>
    <w:rsid w:val="00C26B03"/>
    <w:rsid w:val="00C26DC0"/>
    <w:rsid w:val="00C374B9"/>
    <w:rsid w:val="00C44C12"/>
    <w:rsid w:val="00C5075F"/>
    <w:rsid w:val="00C56BFF"/>
    <w:rsid w:val="00C601EC"/>
    <w:rsid w:val="00C6481B"/>
    <w:rsid w:val="00C8314A"/>
    <w:rsid w:val="00C879F3"/>
    <w:rsid w:val="00C90AB5"/>
    <w:rsid w:val="00C94541"/>
    <w:rsid w:val="00CA1582"/>
    <w:rsid w:val="00CA18AA"/>
    <w:rsid w:val="00CA1EDE"/>
    <w:rsid w:val="00CA44C0"/>
    <w:rsid w:val="00CA74D6"/>
    <w:rsid w:val="00CB734D"/>
    <w:rsid w:val="00CC2501"/>
    <w:rsid w:val="00CC3A0E"/>
    <w:rsid w:val="00CC6D9F"/>
    <w:rsid w:val="00CD0BB5"/>
    <w:rsid w:val="00CF3FC2"/>
    <w:rsid w:val="00CF5FCF"/>
    <w:rsid w:val="00CF7A06"/>
    <w:rsid w:val="00D04BC9"/>
    <w:rsid w:val="00D10795"/>
    <w:rsid w:val="00D22507"/>
    <w:rsid w:val="00D2267A"/>
    <w:rsid w:val="00D24E9A"/>
    <w:rsid w:val="00D260DA"/>
    <w:rsid w:val="00D3306C"/>
    <w:rsid w:val="00D35BA7"/>
    <w:rsid w:val="00D40719"/>
    <w:rsid w:val="00D40D80"/>
    <w:rsid w:val="00D46ABD"/>
    <w:rsid w:val="00D53E9D"/>
    <w:rsid w:val="00D54337"/>
    <w:rsid w:val="00D55800"/>
    <w:rsid w:val="00D55868"/>
    <w:rsid w:val="00D559F0"/>
    <w:rsid w:val="00D562EA"/>
    <w:rsid w:val="00D66B33"/>
    <w:rsid w:val="00D7381D"/>
    <w:rsid w:val="00D8249D"/>
    <w:rsid w:val="00D85C4D"/>
    <w:rsid w:val="00D960F0"/>
    <w:rsid w:val="00DA031F"/>
    <w:rsid w:val="00DB512D"/>
    <w:rsid w:val="00DB72BD"/>
    <w:rsid w:val="00DC346B"/>
    <w:rsid w:val="00DD0AA2"/>
    <w:rsid w:val="00DD66E4"/>
    <w:rsid w:val="00DE42AD"/>
    <w:rsid w:val="00DF0F99"/>
    <w:rsid w:val="00DF257C"/>
    <w:rsid w:val="00DF2AF6"/>
    <w:rsid w:val="00DF32C9"/>
    <w:rsid w:val="00DF5C03"/>
    <w:rsid w:val="00E04345"/>
    <w:rsid w:val="00E05BE1"/>
    <w:rsid w:val="00E10F67"/>
    <w:rsid w:val="00E27879"/>
    <w:rsid w:val="00E345B2"/>
    <w:rsid w:val="00E345C8"/>
    <w:rsid w:val="00E64247"/>
    <w:rsid w:val="00E71F9D"/>
    <w:rsid w:val="00E7664D"/>
    <w:rsid w:val="00E914BF"/>
    <w:rsid w:val="00E91A4F"/>
    <w:rsid w:val="00E92083"/>
    <w:rsid w:val="00E935C3"/>
    <w:rsid w:val="00E9537E"/>
    <w:rsid w:val="00E95BD3"/>
    <w:rsid w:val="00EA468B"/>
    <w:rsid w:val="00EB28C2"/>
    <w:rsid w:val="00EB314E"/>
    <w:rsid w:val="00EC3A4B"/>
    <w:rsid w:val="00EC3DB1"/>
    <w:rsid w:val="00EC6ADA"/>
    <w:rsid w:val="00ED44A5"/>
    <w:rsid w:val="00EE5D96"/>
    <w:rsid w:val="00EE673F"/>
    <w:rsid w:val="00EF4AA2"/>
    <w:rsid w:val="00F15DD5"/>
    <w:rsid w:val="00F25EA4"/>
    <w:rsid w:val="00F3126C"/>
    <w:rsid w:val="00F536AE"/>
    <w:rsid w:val="00F54495"/>
    <w:rsid w:val="00F62A27"/>
    <w:rsid w:val="00F70A8D"/>
    <w:rsid w:val="00F73B9E"/>
    <w:rsid w:val="00F80763"/>
    <w:rsid w:val="00F81DDE"/>
    <w:rsid w:val="00F8449D"/>
    <w:rsid w:val="00F8449E"/>
    <w:rsid w:val="00F851A4"/>
    <w:rsid w:val="00F93268"/>
    <w:rsid w:val="00F94120"/>
    <w:rsid w:val="00F95E0A"/>
    <w:rsid w:val="00FA03D1"/>
    <w:rsid w:val="00FA186F"/>
    <w:rsid w:val="00FA4521"/>
    <w:rsid w:val="00FA6188"/>
    <w:rsid w:val="00FB083A"/>
    <w:rsid w:val="00FB3388"/>
    <w:rsid w:val="00FD695F"/>
    <w:rsid w:val="00FD6A83"/>
    <w:rsid w:val="00FF133C"/>
    <w:rsid w:val="00FF16BC"/>
    <w:rsid w:val="00FF47D3"/>
    <w:rsid w:val="00FF62E1"/>
    <w:rsid w:val="00FF78B6"/>
    <w:rsid w:val="012F3BE7"/>
    <w:rsid w:val="01716545"/>
    <w:rsid w:val="01FA482A"/>
    <w:rsid w:val="02473816"/>
    <w:rsid w:val="025D18B7"/>
    <w:rsid w:val="026C20C7"/>
    <w:rsid w:val="02716A7E"/>
    <w:rsid w:val="0331607D"/>
    <w:rsid w:val="03D1620A"/>
    <w:rsid w:val="04293CFB"/>
    <w:rsid w:val="043C7325"/>
    <w:rsid w:val="05E50DEF"/>
    <w:rsid w:val="05FC0D82"/>
    <w:rsid w:val="063F6ACE"/>
    <w:rsid w:val="0748732D"/>
    <w:rsid w:val="081F50F4"/>
    <w:rsid w:val="08852F02"/>
    <w:rsid w:val="09763064"/>
    <w:rsid w:val="09A40685"/>
    <w:rsid w:val="0A1228C5"/>
    <w:rsid w:val="0A630EC0"/>
    <w:rsid w:val="0ADC5A4C"/>
    <w:rsid w:val="0B0E0D31"/>
    <w:rsid w:val="0B1E7583"/>
    <w:rsid w:val="0B9660B9"/>
    <w:rsid w:val="0BB16B80"/>
    <w:rsid w:val="0CD21C7B"/>
    <w:rsid w:val="0D6D6013"/>
    <w:rsid w:val="0D7B2BB2"/>
    <w:rsid w:val="0DC5067C"/>
    <w:rsid w:val="0E597ED8"/>
    <w:rsid w:val="0F0C28B9"/>
    <w:rsid w:val="0F255F6D"/>
    <w:rsid w:val="0F403993"/>
    <w:rsid w:val="0F493BEC"/>
    <w:rsid w:val="0F7D165B"/>
    <w:rsid w:val="0FCB2853"/>
    <w:rsid w:val="100C4E0A"/>
    <w:rsid w:val="10182550"/>
    <w:rsid w:val="102172BF"/>
    <w:rsid w:val="10502DE1"/>
    <w:rsid w:val="107163FC"/>
    <w:rsid w:val="1086284E"/>
    <w:rsid w:val="111D6FEC"/>
    <w:rsid w:val="11551DC9"/>
    <w:rsid w:val="115C55E8"/>
    <w:rsid w:val="11656469"/>
    <w:rsid w:val="11996697"/>
    <w:rsid w:val="12566CC4"/>
    <w:rsid w:val="12C61B21"/>
    <w:rsid w:val="135D6CC4"/>
    <w:rsid w:val="136455E5"/>
    <w:rsid w:val="13BB3C62"/>
    <w:rsid w:val="13F5417E"/>
    <w:rsid w:val="14407D83"/>
    <w:rsid w:val="15DE0D07"/>
    <w:rsid w:val="161D28B7"/>
    <w:rsid w:val="17112266"/>
    <w:rsid w:val="175736BC"/>
    <w:rsid w:val="17720520"/>
    <w:rsid w:val="17721AEC"/>
    <w:rsid w:val="17B54C4F"/>
    <w:rsid w:val="17BB77F0"/>
    <w:rsid w:val="1813407D"/>
    <w:rsid w:val="185465F0"/>
    <w:rsid w:val="19376266"/>
    <w:rsid w:val="194752D9"/>
    <w:rsid w:val="197F1C0E"/>
    <w:rsid w:val="198B1CC1"/>
    <w:rsid w:val="19C65E5F"/>
    <w:rsid w:val="19EB66D2"/>
    <w:rsid w:val="19F920F4"/>
    <w:rsid w:val="1A9F4685"/>
    <w:rsid w:val="1BC52760"/>
    <w:rsid w:val="1BCE7474"/>
    <w:rsid w:val="1CC83127"/>
    <w:rsid w:val="1DC80C5F"/>
    <w:rsid w:val="1DD705CD"/>
    <w:rsid w:val="1F6D2BBE"/>
    <w:rsid w:val="20266D8A"/>
    <w:rsid w:val="21132153"/>
    <w:rsid w:val="217F7D78"/>
    <w:rsid w:val="236D7CC0"/>
    <w:rsid w:val="239116F9"/>
    <w:rsid w:val="24535B2D"/>
    <w:rsid w:val="24F60CEE"/>
    <w:rsid w:val="25397CD2"/>
    <w:rsid w:val="25BC4207"/>
    <w:rsid w:val="25DE0E83"/>
    <w:rsid w:val="262C606D"/>
    <w:rsid w:val="265D5639"/>
    <w:rsid w:val="26672631"/>
    <w:rsid w:val="26F33AE5"/>
    <w:rsid w:val="27065F43"/>
    <w:rsid w:val="274C00F3"/>
    <w:rsid w:val="27A675FA"/>
    <w:rsid w:val="291B6A5F"/>
    <w:rsid w:val="29436065"/>
    <w:rsid w:val="29AB3369"/>
    <w:rsid w:val="2A684F32"/>
    <w:rsid w:val="2B8A543C"/>
    <w:rsid w:val="2BEF29AB"/>
    <w:rsid w:val="2C122968"/>
    <w:rsid w:val="2CD47BC0"/>
    <w:rsid w:val="2D4C786A"/>
    <w:rsid w:val="2DB634BD"/>
    <w:rsid w:val="2E434D33"/>
    <w:rsid w:val="2EA700BB"/>
    <w:rsid w:val="2EA76ACE"/>
    <w:rsid w:val="2F94264F"/>
    <w:rsid w:val="30267E9D"/>
    <w:rsid w:val="302765C7"/>
    <w:rsid w:val="30580D45"/>
    <w:rsid w:val="305A2CB0"/>
    <w:rsid w:val="30C84E61"/>
    <w:rsid w:val="319E6326"/>
    <w:rsid w:val="31F84E8E"/>
    <w:rsid w:val="33705686"/>
    <w:rsid w:val="33BF3EFE"/>
    <w:rsid w:val="33DA3D91"/>
    <w:rsid w:val="34655CC5"/>
    <w:rsid w:val="34C374C3"/>
    <w:rsid w:val="359E24B7"/>
    <w:rsid w:val="366148E4"/>
    <w:rsid w:val="3707583F"/>
    <w:rsid w:val="37C71A7E"/>
    <w:rsid w:val="37D64B34"/>
    <w:rsid w:val="380363FC"/>
    <w:rsid w:val="3846223E"/>
    <w:rsid w:val="38616E0F"/>
    <w:rsid w:val="38910E1B"/>
    <w:rsid w:val="394728E3"/>
    <w:rsid w:val="394936D4"/>
    <w:rsid w:val="39820393"/>
    <w:rsid w:val="399932B9"/>
    <w:rsid w:val="3A357178"/>
    <w:rsid w:val="3A5C7A1E"/>
    <w:rsid w:val="3A8223BA"/>
    <w:rsid w:val="3AAF5FED"/>
    <w:rsid w:val="3B88474A"/>
    <w:rsid w:val="3C351412"/>
    <w:rsid w:val="3C79117D"/>
    <w:rsid w:val="3D814536"/>
    <w:rsid w:val="3DEA61A3"/>
    <w:rsid w:val="3E314596"/>
    <w:rsid w:val="3E5C2E13"/>
    <w:rsid w:val="3F1453E2"/>
    <w:rsid w:val="3F6E03EA"/>
    <w:rsid w:val="3F875451"/>
    <w:rsid w:val="3F9722A7"/>
    <w:rsid w:val="40266BC0"/>
    <w:rsid w:val="404B72E9"/>
    <w:rsid w:val="424779B1"/>
    <w:rsid w:val="43311772"/>
    <w:rsid w:val="437A6AAC"/>
    <w:rsid w:val="43912142"/>
    <w:rsid w:val="43BB6137"/>
    <w:rsid w:val="44DD3637"/>
    <w:rsid w:val="450A03CE"/>
    <w:rsid w:val="451930DF"/>
    <w:rsid w:val="45A07594"/>
    <w:rsid w:val="45C649C8"/>
    <w:rsid w:val="45DD4EEC"/>
    <w:rsid w:val="46193601"/>
    <w:rsid w:val="467811B4"/>
    <w:rsid w:val="468E49CF"/>
    <w:rsid w:val="46CE3DAE"/>
    <w:rsid w:val="47776128"/>
    <w:rsid w:val="480109E1"/>
    <w:rsid w:val="487D67F8"/>
    <w:rsid w:val="49601DCE"/>
    <w:rsid w:val="4A8F3EEC"/>
    <w:rsid w:val="4B6D5936"/>
    <w:rsid w:val="4B8B1A51"/>
    <w:rsid w:val="4BF45AF4"/>
    <w:rsid w:val="4C3860BD"/>
    <w:rsid w:val="4CC94B9E"/>
    <w:rsid w:val="4D4774EB"/>
    <w:rsid w:val="4DD11B63"/>
    <w:rsid w:val="4F0B3991"/>
    <w:rsid w:val="4F18074C"/>
    <w:rsid w:val="4FC70E2B"/>
    <w:rsid w:val="50287AB7"/>
    <w:rsid w:val="503C4BB7"/>
    <w:rsid w:val="509C5C2D"/>
    <w:rsid w:val="510B5604"/>
    <w:rsid w:val="514A52A4"/>
    <w:rsid w:val="52440E17"/>
    <w:rsid w:val="525A01F6"/>
    <w:rsid w:val="526D68B8"/>
    <w:rsid w:val="5274067B"/>
    <w:rsid w:val="52AB09A4"/>
    <w:rsid w:val="53012D86"/>
    <w:rsid w:val="5365566B"/>
    <w:rsid w:val="53686091"/>
    <w:rsid w:val="548B076D"/>
    <w:rsid w:val="55C721AD"/>
    <w:rsid w:val="55E170C6"/>
    <w:rsid w:val="56256738"/>
    <w:rsid w:val="56B52D59"/>
    <w:rsid w:val="56F80A17"/>
    <w:rsid w:val="58DD0D97"/>
    <w:rsid w:val="592314F5"/>
    <w:rsid w:val="5930722A"/>
    <w:rsid w:val="598E0D10"/>
    <w:rsid w:val="59A70E73"/>
    <w:rsid w:val="59C93B16"/>
    <w:rsid w:val="5A593EA2"/>
    <w:rsid w:val="5A6842B2"/>
    <w:rsid w:val="5B37355E"/>
    <w:rsid w:val="5CE76D03"/>
    <w:rsid w:val="5DB1535D"/>
    <w:rsid w:val="5E15517A"/>
    <w:rsid w:val="5E2F1AB2"/>
    <w:rsid w:val="5E8B68A9"/>
    <w:rsid w:val="5F6318A0"/>
    <w:rsid w:val="604A7E4D"/>
    <w:rsid w:val="607F5FA2"/>
    <w:rsid w:val="60816481"/>
    <w:rsid w:val="60A83BEF"/>
    <w:rsid w:val="61283336"/>
    <w:rsid w:val="61363509"/>
    <w:rsid w:val="61CB086F"/>
    <w:rsid w:val="61EC61D5"/>
    <w:rsid w:val="620F3632"/>
    <w:rsid w:val="622D5B65"/>
    <w:rsid w:val="62C03308"/>
    <w:rsid w:val="62C27FB5"/>
    <w:rsid w:val="63105834"/>
    <w:rsid w:val="631B356D"/>
    <w:rsid w:val="63301864"/>
    <w:rsid w:val="63A41FE7"/>
    <w:rsid w:val="667941CF"/>
    <w:rsid w:val="670F6A13"/>
    <w:rsid w:val="681D0C49"/>
    <w:rsid w:val="68560D90"/>
    <w:rsid w:val="69552B32"/>
    <w:rsid w:val="69632DF4"/>
    <w:rsid w:val="699A5665"/>
    <w:rsid w:val="6A6E5B44"/>
    <w:rsid w:val="6B001804"/>
    <w:rsid w:val="6C4C4637"/>
    <w:rsid w:val="6C9A5754"/>
    <w:rsid w:val="6CDA70B2"/>
    <w:rsid w:val="6D0013D1"/>
    <w:rsid w:val="6D0476D0"/>
    <w:rsid w:val="6D5F48CC"/>
    <w:rsid w:val="6DF220B0"/>
    <w:rsid w:val="6F577A4B"/>
    <w:rsid w:val="70673839"/>
    <w:rsid w:val="70E039B2"/>
    <w:rsid w:val="711423BB"/>
    <w:rsid w:val="71A63542"/>
    <w:rsid w:val="71B67DD9"/>
    <w:rsid w:val="72044B77"/>
    <w:rsid w:val="72F12042"/>
    <w:rsid w:val="73AB02E7"/>
    <w:rsid w:val="73BB21EF"/>
    <w:rsid w:val="7500581E"/>
    <w:rsid w:val="75A131ED"/>
    <w:rsid w:val="765D7FA0"/>
    <w:rsid w:val="76637569"/>
    <w:rsid w:val="76C119FE"/>
    <w:rsid w:val="771A43C7"/>
    <w:rsid w:val="77B04AC2"/>
    <w:rsid w:val="787A25CC"/>
    <w:rsid w:val="790E5DD7"/>
    <w:rsid w:val="79367BCD"/>
    <w:rsid w:val="7973513E"/>
    <w:rsid w:val="79FF8547"/>
    <w:rsid w:val="7B540214"/>
    <w:rsid w:val="7B6E4B58"/>
    <w:rsid w:val="7BDF19B6"/>
    <w:rsid w:val="7C11009B"/>
    <w:rsid w:val="7C2B5754"/>
    <w:rsid w:val="7DCE3C29"/>
    <w:rsid w:val="7DEE5D7A"/>
    <w:rsid w:val="7E4C2E92"/>
    <w:rsid w:val="7E765AE7"/>
    <w:rsid w:val="7FB67832"/>
    <w:rsid w:val="FBAF44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 w:type="character" w:customStyle="1" w:styleId="11">
    <w:name w:val="font81"/>
    <w:basedOn w:val="7"/>
    <w:qFormat/>
    <w:uiPriority w:val="0"/>
    <w:rPr>
      <w:rFonts w:hint="eastAsia" w:ascii="宋体" w:hAnsi="宋体" w:eastAsia="宋体" w:cs="宋体"/>
      <w:color w:val="000000"/>
      <w:sz w:val="20"/>
      <w:szCs w:val="20"/>
      <w:u w:val="none"/>
    </w:rPr>
  </w:style>
  <w:style w:type="character" w:customStyle="1" w:styleId="12">
    <w:name w:val="font71"/>
    <w:basedOn w:val="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1283</Words>
  <Characters>7315</Characters>
  <Lines>60</Lines>
  <Paragraphs>17</Paragraphs>
  <TotalTime>22</TotalTime>
  <ScaleCrop>false</ScaleCrop>
  <LinksUpToDate>false</LinksUpToDate>
  <CharactersWithSpaces>8581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2020-05-09T20:47:00Z</dcterms:created>
  <dc:creator>翘楚 李</dc:creator>
  <cp:lastModifiedBy>殷梦婷</cp:lastModifiedBy>
  <cp:lastPrinted>2022-03-22T19:49:00Z</cp:lastPrinted>
  <dcterms:modified xsi:type="dcterms:W3CDTF">2022-04-08T08:38:35Z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