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278" w:rsidRPr="00C53CBA" w:rsidRDefault="00C53CBA">
      <w:pPr>
        <w:spacing w:line="600" w:lineRule="exact"/>
        <w:jc w:val="left"/>
        <w:rPr>
          <w:rFonts w:ascii="黑体" w:eastAsia="黑体" w:hAnsi="黑体" w:cs="Arial" w:hint="eastAsia"/>
          <w:bCs/>
          <w:sz w:val="32"/>
          <w:szCs w:val="32"/>
        </w:rPr>
      </w:pPr>
      <w:r w:rsidRPr="00C53CBA">
        <w:rPr>
          <w:rFonts w:ascii="黑体" w:eastAsia="黑体" w:hAnsi="黑体" w:cs="Arial" w:hint="eastAsia"/>
          <w:bCs/>
          <w:sz w:val="32"/>
          <w:szCs w:val="32"/>
        </w:rPr>
        <w:t>附件2：</w:t>
      </w:r>
    </w:p>
    <w:p w:rsidR="00C53CBA" w:rsidRPr="00C53CBA" w:rsidRDefault="00C53CBA" w:rsidP="00C53CBA">
      <w:pPr>
        <w:pStyle w:val="Style1"/>
      </w:pPr>
    </w:p>
    <w:p w:rsidR="00E52278" w:rsidRDefault="00D701C6">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新疆农业资源及生态保护补助专项转移支付绩效自评报告</w:t>
      </w:r>
    </w:p>
    <w:p w:rsidR="00E52278" w:rsidRDefault="00D701C6">
      <w:pPr>
        <w:spacing w:line="540" w:lineRule="exact"/>
        <w:jc w:val="center"/>
        <w:rPr>
          <w:rFonts w:hAnsi="宋体" w:cs="宋体"/>
          <w:kern w:val="0"/>
          <w:sz w:val="36"/>
          <w:szCs w:val="36"/>
        </w:rPr>
      </w:pPr>
      <w:r>
        <w:rPr>
          <w:rFonts w:hAnsi="宋体" w:cs="宋体" w:hint="eastAsia"/>
          <w:kern w:val="0"/>
          <w:sz w:val="36"/>
          <w:szCs w:val="36"/>
        </w:rPr>
        <w:t>（</w:t>
      </w:r>
      <w:r>
        <w:rPr>
          <w:rFonts w:hAnsi="宋体" w:cs="宋体" w:hint="eastAsia"/>
          <w:kern w:val="0"/>
          <w:sz w:val="36"/>
          <w:szCs w:val="36"/>
        </w:rPr>
        <w:t>2019</w:t>
      </w:r>
      <w:r>
        <w:rPr>
          <w:rFonts w:hAnsi="宋体" w:cs="宋体" w:hint="eastAsia"/>
          <w:kern w:val="0"/>
          <w:sz w:val="36"/>
          <w:szCs w:val="36"/>
        </w:rPr>
        <w:t>年度）</w:t>
      </w:r>
    </w:p>
    <w:p w:rsidR="00E52278" w:rsidRPr="00C53CBA" w:rsidRDefault="00E52278">
      <w:pPr>
        <w:spacing w:line="540" w:lineRule="exact"/>
        <w:jc w:val="center"/>
        <w:rPr>
          <w:rFonts w:hAnsi="宋体" w:cs="宋体"/>
          <w:kern w:val="0"/>
          <w:szCs w:val="30"/>
        </w:rPr>
      </w:pPr>
    </w:p>
    <w:p w:rsidR="00E52278" w:rsidRDefault="00E52278">
      <w:pPr>
        <w:spacing w:line="540" w:lineRule="exact"/>
        <w:jc w:val="center"/>
        <w:rPr>
          <w:rFonts w:hAnsi="宋体" w:cs="宋体"/>
          <w:kern w:val="0"/>
          <w:szCs w:val="30"/>
        </w:rPr>
      </w:pPr>
    </w:p>
    <w:p w:rsidR="00E52278" w:rsidRDefault="00E52278">
      <w:pPr>
        <w:spacing w:line="540" w:lineRule="exact"/>
        <w:jc w:val="center"/>
        <w:rPr>
          <w:rFonts w:hAnsi="宋体" w:cs="宋体"/>
          <w:kern w:val="0"/>
          <w:szCs w:val="30"/>
        </w:rPr>
      </w:pPr>
    </w:p>
    <w:p w:rsidR="00E52278" w:rsidRDefault="00E52278">
      <w:pPr>
        <w:spacing w:line="540" w:lineRule="exact"/>
        <w:jc w:val="center"/>
        <w:rPr>
          <w:rFonts w:hAnsi="宋体" w:cs="宋体"/>
          <w:kern w:val="0"/>
          <w:szCs w:val="30"/>
        </w:rPr>
      </w:pPr>
    </w:p>
    <w:p w:rsidR="00E52278" w:rsidRDefault="00E52278">
      <w:pPr>
        <w:spacing w:line="540" w:lineRule="exact"/>
        <w:jc w:val="center"/>
        <w:rPr>
          <w:rFonts w:hAnsi="宋体" w:cs="宋体"/>
          <w:kern w:val="0"/>
          <w:szCs w:val="30"/>
        </w:rPr>
      </w:pPr>
    </w:p>
    <w:p w:rsidR="00E52278" w:rsidRDefault="00E52278">
      <w:pPr>
        <w:spacing w:line="540" w:lineRule="exact"/>
        <w:rPr>
          <w:rFonts w:hAnsi="宋体" w:cs="宋体"/>
          <w:kern w:val="0"/>
          <w:szCs w:val="30"/>
        </w:rPr>
      </w:pPr>
    </w:p>
    <w:p w:rsidR="00E52278" w:rsidRDefault="00D701C6" w:rsidP="00AB4717">
      <w:pPr>
        <w:spacing w:line="700" w:lineRule="exact"/>
        <w:ind w:firstLineChars="200" w:firstLine="720"/>
        <w:jc w:val="left"/>
        <w:rPr>
          <w:rFonts w:hAnsi="宋体" w:cs="宋体"/>
          <w:kern w:val="0"/>
          <w:sz w:val="36"/>
          <w:szCs w:val="36"/>
        </w:rPr>
      </w:pPr>
      <w:r>
        <w:rPr>
          <w:rFonts w:hAnsi="宋体" w:cs="宋体" w:hint="eastAsia"/>
          <w:kern w:val="0"/>
          <w:sz w:val="36"/>
          <w:szCs w:val="36"/>
        </w:rPr>
        <w:t>项目名称：农业资源及生态保护补助</w:t>
      </w:r>
    </w:p>
    <w:p w:rsidR="00E52278" w:rsidRDefault="00D701C6" w:rsidP="00AB4717">
      <w:pPr>
        <w:spacing w:line="700" w:lineRule="exact"/>
        <w:ind w:firstLineChars="200" w:firstLine="720"/>
        <w:jc w:val="left"/>
        <w:rPr>
          <w:rFonts w:hAnsi="宋体" w:cs="宋体"/>
          <w:kern w:val="0"/>
          <w:sz w:val="36"/>
          <w:szCs w:val="36"/>
        </w:rPr>
      </w:pPr>
      <w:r>
        <w:rPr>
          <w:rFonts w:hAnsi="宋体" w:cs="宋体" w:hint="eastAsia"/>
          <w:kern w:val="0"/>
          <w:sz w:val="36"/>
          <w:szCs w:val="36"/>
        </w:rPr>
        <w:t>实施单位（公章）：自治区农业农村厅</w:t>
      </w:r>
    </w:p>
    <w:p w:rsidR="00E52278" w:rsidRDefault="00D701C6" w:rsidP="00AB4717">
      <w:pPr>
        <w:spacing w:line="700" w:lineRule="exact"/>
        <w:ind w:firstLineChars="200" w:firstLine="720"/>
        <w:jc w:val="left"/>
        <w:rPr>
          <w:rFonts w:hAnsi="宋体" w:cs="宋体"/>
          <w:kern w:val="0"/>
          <w:sz w:val="36"/>
          <w:szCs w:val="36"/>
        </w:rPr>
      </w:pPr>
      <w:r>
        <w:rPr>
          <w:rFonts w:hAnsi="宋体" w:cs="宋体" w:hint="eastAsia"/>
          <w:kern w:val="0"/>
          <w:sz w:val="36"/>
          <w:szCs w:val="36"/>
        </w:rPr>
        <w:t>主管部门（公章）：自治区农业农村厅</w:t>
      </w:r>
    </w:p>
    <w:p w:rsidR="00E52278" w:rsidRDefault="00D701C6" w:rsidP="00AB4717">
      <w:pPr>
        <w:spacing w:line="700" w:lineRule="exact"/>
        <w:ind w:firstLineChars="200" w:firstLine="720"/>
        <w:jc w:val="left"/>
        <w:rPr>
          <w:rFonts w:hAnsi="宋体" w:cs="宋体"/>
          <w:kern w:val="0"/>
          <w:sz w:val="36"/>
          <w:szCs w:val="36"/>
        </w:rPr>
      </w:pPr>
      <w:r>
        <w:rPr>
          <w:rFonts w:hAnsi="宋体" w:cs="宋体" w:hint="eastAsia"/>
          <w:kern w:val="0"/>
          <w:sz w:val="36"/>
          <w:szCs w:val="36"/>
        </w:rPr>
        <w:t>项目负责人（签章）：胥原</w:t>
      </w:r>
    </w:p>
    <w:p w:rsidR="00E52278" w:rsidRDefault="00D701C6" w:rsidP="00AB4717">
      <w:pPr>
        <w:spacing w:line="600" w:lineRule="exact"/>
        <w:ind w:firstLineChars="200" w:firstLine="720"/>
        <w:jc w:val="left"/>
        <w:rPr>
          <w:rFonts w:asciiTheme="minorEastAsia" w:eastAsiaTheme="minorEastAsia" w:hAnsiTheme="minorEastAsia" w:cs="Arial"/>
          <w:bCs/>
          <w:sz w:val="32"/>
          <w:szCs w:val="32"/>
        </w:rPr>
        <w:sectPr w:rsidR="00E52278">
          <w:footerReference w:type="default" r:id="rId9"/>
          <w:pgSz w:w="11906" w:h="16838"/>
          <w:pgMar w:top="1440" w:right="1800" w:bottom="1440" w:left="1800" w:header="851" w:footer="992" w:gutter="0"/>
          <w:cols w:space="425"/>
          <w:docGrid w:type="lines" w:linePitch="312"/>
        </w:sectPr>
      </w:pPr>
      <w:r>
        <w:rPr>
          <w:rFonts w:hAnsi="宋体" w:cs="宋体" w:hint="eastAsia"/>
          <w:kern w:val="0"/>
          <w:sz w:val="36"/>
          <w:szCs w:val="36"/>
        </w:rPr>
        <w:t>填报时间：</w:t>
      </w:r>
      <w:r>
        <w:rPr>
          <w:rFonts w:hAnsi="宋体" w:cs="宋体" w:hint="eastAsia"/>
          <w:kern w:val="0"/>
          <w:sz w:val="36"/>
          <w:szCs w:val="36"/>
        </w:rPr>
        <w:t>2020</w:t>
      </w:r>
      <w:r>
        <w:rPr>
          <w:rFonts w:hAnsi="宋体" w:cs="宋体" w:hint="eastAsia"/>
          <w:kern w:val="0"/>
          <w:sz w:val="36"/>
          <w:szCs w:val="36"/>
        </w:rPr>
        <w:t>年</w:t>
      </w:r>
      <w:r>
        <w:rPr>
          <w:rFonts w:hAnsi="宋体" w:cs="宋体" w:hint="eastAsia"/>
          <w:kern w:val="0"/>
          <w:sz w:val="36"/>
          <w:szCs w:val="36"/>
        </w:rPr>
        <w:t>4</w:t>
      </w:r>
      <w:r>
        <w:rPr>
          <w:rFonts w:hAnsi="宋体" w:cs="宋体" w:hint="eastAsia"/>
          <w:kern w:val="0"/>
          <w:sz w:val="36"/>
          <w:szCs w:val="36"/>
        </w:rPr>
        <w:t>月</w:t>
      </w:r>
      <w:r>
        <w:rPr>
          <w:rFonts w:hAnsi="宋体" w:cs="宋体" w:hint="eastAsia"/>
          <w:kern w:val="0"/>
          <w:sz w:val="36"/>
          <w:szCs w:val="36"/>
        </w:rPr>
        <w:t>30</w:t>
      </w:r>
      <w:r>
        <w:rPr>
          <w:rFonts w:hAnsi="宋体" w:cs="宋体" w:hint="eastAsia"/>
          <w:kern w:val="0"/>
          <w:sz w:val="36"/>
          <w:szCs w:val="36"/>
        </w:rPr>
        <w:t>日</w:t>
      </w:r>
    </w:p>
    <w:p w:rsidR="00E52278" w:rsidRDefault="00D701C6">
      <w:pPr>
        <w:jc w:val="center"/>
        <w:rPr>
          <w:rFonts w:ascii="宋体" w:eastAsia="宋体" w:hAnsi="宋体" w:cs="宋体"/>
          <w:b/>
          <w:sz w:val="36"/>
          <w:szCs w:val="44"/>
        </w:rPr>
      </w:pPr>
      <w:r>
        <w:rPr>
          <w:rFonts w:ascii="Arial" w:eastAsia="宋体" w:hAnsi="Arial" w:cs="Arial" w:hint="eastAsia"/>
          <w:b/>
          <w:sz w:val="36"/>
          <w:szCs w:val="44"/>
        </w:rPr>
        <w:lastRenderedPageBreak/>
        <w:t>新疆农业资源及生态保护补助</w:t>
      </w:r>
      <w:r>
        <w:rPr>
          <w:rFonts w:ascii="宋体" w:eastAsia="宋体" w:hAnsi="宋体" w:cs="宋体" w:hint="eastAsia"/>
          <w:b/>
          <w:sz w:val="36"/>
          <w:szCs w:val="44"/>
        </w:rPr>
        <w:t>专项转移支付</w:t>
      </w:r>
      <w:r>
        <w:rPr>
          <w:rFonts w:ascii="Arial" w:eastAsia="宋体" w:hAnsi="Arial" w:cs="Arial" w:hint="eastAsia"/>
          <w:b/>
          <w:sz w:val="36"/>
          <w:szCs w:val="44"/>
        </w:rPr>
        <w:t>2019</w:t>
      </w:r>
      <w:r>
        <w:rPr>
          <w:rFonts w:ascii="宋体" w:eastAsia="宋体" w:hAnsi="宋体" w:cs="宋体" w:hint="eastAsia"/>
          <w:b/>
          <w:sz w:val="36"/>
          <w:szCs w:val="44"/>
        </w:rPr>
        <w:t>年度绩效自评报告</w:t>
      </w:r>
    </w:p>
    <w:p w:rsidR="00E52278" w:rsidRDefault="00E52278">
      <w:pPr>
        <w:rPr>
          <w:rFonts w:ascii="仿宋_GB2312"/>
          <w:szCs w:val="32"/>
        </w:rPr>
      </w:pPr>
    </w:p>
    <w:p w:rsidR="00E52278" w:rsidRDefault="00D701C6">
      <w:pPr>
        <w:ind w:firstLineChars="200" w:firstLine="640"/>
        <w:rPr>
          <w:rFonts w:ascii="黑体" w:eastAsia="黑体" w:hAnsi="黑体" w:cs="黑体"/>
          <w:bCs/>
          <w:szCs w:val="32"/>
        </w:rPr>
      </w:pPr>
      <w:r>
        <w:rPr>
          <w:rFonts w:ascii="仿宋_GB2312" w:hAnsi="仿宋_GB2312" w:cs="仿宋_GB2312" w:hint="eastAsia"/>
          <w:bCs/>
          <w:sz w:val="32"/>
          <w:szCs w:val="36"/>
        </w:rPr>
        <w:t>根据《财政部关于开展2019年度中央对地方转移支付预算执行情况绩效自评工作的通知》（财监[2020]3号），自治区农业农村厅开展了2019年度农业资源及生态保护补助专项绩效自评价工作，现将自评情况报告如下：</w:t>
      </w:r>
    </w:p>
    <w:p w:rsidR="00E52278" w:rsidRDefault="00D701C6">
      <w:pPr>
        <w:ind w:firstLineChars="200" w:firstLine="600"/>
        <w:rPr>
          <w:rFonts w:ascii="黑体" w:eastAsia="黑体" w:hAnsi="黑体" w:cs="黑体"/>
          <w:bCs/>
          <w:szCs w:val="32"/>
        </w:rPr>
      </w:pPr>
      <w:r>
        <w:rPr>
          <w:rFonts w:ascii="黑体" w:eastAsia="黑体" w:hAnsi="黑体" w:cs="黑体" w:hint="eastAsia"/>
          <w:bCs/>
          <w:szCs w:val="32"/>
        </w:rPr>
        <w:t>一、绩效目标分解下达情况</w:t>
      </w:r>
    </w:p>
    <w:p w:rsidR="00E52278" w:rsidRDefault="00D701C6">
      <w:pPr>
        <w:spacing w:line="600" w:lineRule="exact"/>
        <w:ind w:firstLineChars="200" w:firstLine="600"/>
        <w:outlineLvl w:val="0"/>
        <w:rPr>
          <w:rFonts w:ascii="仿宋_GB2312"/>
          <w:szCs w:val="30"/>
        </w:rPr>
      </w:pPr>
      <w:r>
        <w:rPr>
          <w:rFonts w:ascii="仿宋_GB2312" w:hint="eastAsia"/>
          <w:szCs w:val="30"/>
        </w:rPr>
        <w:t>（一）中央下达农业资源及生态保护补助专项转移支付预算和绩效目标情况。</w:t>
      </w:r>
    </w:p>
    <w:p w:rsidR="00E52278" w:rsidRDefault="00D701C6">
      <w:pPr>
        <w:spacing w:line="600" w:lineRule="exact"/>
        <w:ind w:firstLineChars="200" w:firstLine="602"/>
        <w:outlineLvl w:val="0"/>
        <w:rPr>
          <w:rFonts w:ascii="仿宋_GB2312"/>
          <w:b/>
          <w:bCs/>
          <w:szCs w:val="32"/>
        </w:rPr>
      </w:pPr>
      <w:r>
        <w:rPr>
          <w:rFonts w:ascii="仿宋_GB2312" w:hint="eastAsia"/>
          <w:b/>
          <w:bCs/>
          <w:szCs w:val="32"/>
        </w:rPr>
        <w:t>1.下达预算情况</w:t>
      </w:r>
    </w:p>
    <w:p w:rsidR="00E52278" w:rsidRDefault="00D701C6">
      <w:pPr>
        <w:spacing w:line="600" w:lineRule="exact"/>
        <w:ind w:firstLineChars="200" w:firstLine="600"/>
        <w:outlineLvl w:val="0"/>
        <w:rPr>
          <w:rFonts w:ascii="仿宋_GB2312"/>
          <w:szCs w:val="32"/>
        </w:rPr>
      </w:pPr>
      <w:r>
        <w:rPr>
          <w:rFonts w:ascii="仿宋_GB2312" w:hint="eastAsia"/>
          <w:szCs w:val="32"/>
        </w:rPr>
        <w:t>2019年4月根据《财政部关于下达2019年农业资源及生态保护补助资金预算的通知》（财农〔2019〕28号），安排农业资源及生态保护补助资金261063万元</w:t>
      </w:r>
    </w:p>
    <w:p w:rsidR="00E52278" w:rsidRDefault="00D701C6">
      <w:pPr>
        <w:spacing w:line="600" w:lineRule="exact"/>
        <w:ind w:firstLineChars="200" w:firstLine="602"/>
        <w:outlineLvl w:val="0"/>
        <w:rPr>
          <w:rFonts w:ascii="仿宋_GB2312"/>
          <w:b/>
          <w:bCs/>
          <w:szCs w:val="32"/>
        </w:rPr>
      </w:pPr>
      <w:r>
        <w:rPr>
          <w:rFonts w:ascii="仿宋_GB2312" w:hint="eastAsia"/>
          <w:b/>
          <w:bCs/>
          <w:szCs w:val="32"/>
        </w:rPr>
        <w:t>2.下达绩效目标情况</w:t>
      </w:r>
    </w:p>
    <w:p w:rsidR="00E52278" w:rsidRDefault="00D701C6">
      <w:pPr>
        <w:jc w:val="center"/>
        <w:rPr>
          <w:rFonts w:ascii="仿宋_GB2312" w:hAnsi="仿宋_GB2312" w:cs="仿宋_GB2312"/>
          <w:b/>
          <w:bCs/>
          <w:kern w:val="0"/>
          <w:sz w:val="24"/>
        </w:rPr>
      </w:pPr>
      <w:r>
        <w:rPr>
          <w:rFonts w:ascii="仿宋_GB2312" w:hAnsi="仿宋_GB2312" w:cs="仿宋_GB2312" w:hint="eastAsia"/>
          <w:b/>
          <w:bCs/>
          <w:sz w:val="24"/>
        </w:rPr>
        <w:t>表1</w:t>
      </w:r>
      <w:r>
        <w:rPr>
          <w:rFonts w:ascii="仿宋_GB2312" w:hAnsi="仿宋_GB2312" w:cs="仿宋_GB2312" w:hint="eastAsia"/>
          <w:b/>
          <w:bCs/>
          <w:kern w:val="0"/>
          <w:sz w:val="24"/>
        </w:rPr>
        <w:t>农业资源及生态保护补助资金区域绩效目标表</w:t>
      </w:r>
    </w:p>
    <w:tbl>
      <w:tblPr>
        <w:tblpPr w:leftFromText="180" w:rightFromText="180" w:vertAnchor="text" w:horzAnchor="margin" w:tblpXSpec="center" w:tblpY="1321"/>
        <w:tblOverlap w:val="never"/>
        <w:tblW w:w="9636" w:type="dxa"/>
        <w:tblLayout w:type="fixed"/>
        <w:tblCellMar>
          <w:left w:w="0" w:type="dxa"/>
          <w:right w:w="0" w:type="dxa"/>
        </w:tblCellMar>
        <w:tblLook w:val="04A0"/>
      </w:tblPr>
      <w:tblGrid>
        <w:gridCol w:w="1363"/>
        <w:gridCol w:w="1930"/>
        <w:gridCol w:w="1363"/>
        <w:gridCol w:w="4980"/>
      </w:tblGrid>
      <w:tr w:rsidR="00E52278" w:rsidTr="00D701C6">
        <w:trPr>
          <w:trHeight w:val="288"/>
        </w:trPr>
        <w:tc>
          <w:tcPr>
            <w:tcW w:w="136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D701C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转移支付名称</w:t>
            </w:r>
          </w:p>
        </w:tc>
        <w:tc>
          <w:tcPr>
            <w:tcW w:w="8273"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D701C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农业资源及生态保护补助资金</w:t>
            </w:r>
          </w:p>
        </w:tc>
      </w:tr>
      <w:tr w:rsidR="00E52278" w:rsidTr="00D701C6">
        <w:trPr>
          <w:trHeight w:val="288"/>
        </w:trPr>
        <w:tc>
          <w:tcPr>
            <w:tcW w:w="136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D701C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中央主管部门</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D701C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财政部、农业农村部</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D701C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实施期限</w:t>
            </w:r>
          </w:p>
        </w:tc>
        <w:tc>
          <w:tcPr>
            <w:tcW w:w="49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D701C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长期</w:t>
            </w:r>
          </w:p>
        </w:tc>
      </w:tr>
      <w:tr w:rsidR="00E52278" w:rsidTr="00D701C6">
        <w:trPr>
          <w:trHeight w:val="585"/>
        </w:trPr>
        <w:tc>
          <w:tcPr>
            <w:tcW w:w="136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D701C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省级财政部门</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D701C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新疆维吾尔自治区财政厅</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D701C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省级主管部门</w:t>
            </w:r>
          </w:p>
        </w:tc>
        <w:tc>
          <w:tcPr>
            <w:tcW w:w="49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D701C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新疆维吾尔自治区农业农村厅</w:t>
            </w:r>
          </w:p>
        </w:tc>
      </w:tr>
      <w:tr w:rsidR="00E52278" w:rsidTr="00D701C6">
        <w:trPr>
          <w:trHeight w:val="315"/>
        </w:trPr>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D701C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资金</w:t>
            </w:r>
            <w:r>
              <w:rPr>
                <w:rFonts w:ascii="宋体" w:eastAsia="宋体" w:hAnsi="宋体" w:cs="宋体" w:hint="eastAsia"/>
                <w:color w:val="000000"/>
                <w:kern w:val="0"/>
                <w:sz w:val="20"/>
                <w:szCs w:val="20"/>
              </w:rPr>
              <w:br/>
              <w:t>情况</w:t>
            </w:r>
            <w:r>
              <w:rPr>
                <w:rFonts w:ascii="宋体" w:eastAsia="宋体" w:hAnsi="宋体" w:cs="宋体" w:hint="eastAsia"/>
                <w:color w:val="000000"/>
                <w:kern w:val="0"/>
                <w:sz w:val="20"/>
                <w:szCs w:val="20"/>
              </w:rPr>
              <w:br/>
              <w:t>（万元）</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D701C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年度金额：</w:t>
            </w:r>
          </w:p>
        </w:tc>
        <w:tc>
          <w:tcPr>
            <w:tcW w:w="6343"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D701C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261063</w:t>
            </w:r>
          </w:p>
        </w:tc>
      </w:tr>
      <w:tr w:rsidR="00E52278" w:rsidTr="00D701C6">
        <w:trPr>
          <w:trHeight w:val="288"/>
        </w:trPr>
        <w:tc>
          <w:tcPr>
            <w:tcW w:w="136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D701C6">
            <w:pPr>
              <w:jc w:val="center"/>
              <w:rPr>
                <w:rFonts w:ascii="宋体" w:eastAsia="宋体" w:hAnsi="宋体" w:cs="宋体"/>
                <w:color w:val="000000"/>
                <w:sz w:val="20"/>
                <w:szCs w:val="20"/>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D701C6">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其中：中央补助</w:t>
            </w:r>
          </w:p>
        </w:tc>
        <w:tc>
          <w:tcPr>
            <w:tcW w:w="6343"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D701C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261063</w:t>
            </w:r>
          </w:p>
        </w:tc>
      </w:tr>
      <w:tr w:rsidR="00E52278" w:rsidTr="00D701C6">
        <w:trPr>
          <w:trHeight w:val="312"/>
        </w:trPr>
        <w:tc>
          <w:tcPr>
            <w:tcW w:w="136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D701C6">
            <w:pPr>
              <w:jc w:val="center"/>
              <w:rPr>
                <w:rFonts w:ascii="宋体" w:eastAsia="宋体" w:hAnsi="宋体" w:cs="宋体"/>
                <w:color w:val="000000"/>
                <w:sz w:val="20"/>
                <w:szCs w:val="20"/>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D701C6">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地方资金</w:t>
            </w:r>
          </w:p>
        </w:tc>
        <w:tc>
          <w:tcPr>
            <w:tcW w:w="6343"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D701C6">
            <w:pPr>
              <w:jc w:val="center"/>
              <w:rPr>
                <w:rFonts w:ascii="宋体" w:eastAsia="宋体" w:hAnsi="宋体" w:cs="宋体"/>
                <w:color w:val="000000"/>
                <w:sz w:val="20"/>
                <w:szCs w:val="20"/>
              </w:rPr>
            </w:pPr>
          </w:p>
        </w:tc>
      </w:tr>
    </w:tbl>
    <w:tbl>
      <w:tblPr>
        <w:tblpPr w:leftFromText="180" w:rightFromText="180" w:vertAnchor="text" w:horzAnchor="margin" w:tblpXSpec="center" w:tblpY="578"/>
        <w:tblOverlap w:val="never"/>
        <w:tblW w:w="9636" w:type="dxa"/>
        <w:tblLayout w:type="fixed"/>
        <w:tblCellMar>
          <w:left w:w="0" w:type="dxa"/>
          <w:right w:w="0" w:type="dxa"/>
        </w:tblCellMar>
        <w:tblLook w:val="04A0"/>
      </w:tblPr>
      <w:tblGrid>
        <w:gridCol w:w="1363"/>
        <w:gridCol w:w="1930"/>
        <w:gridCol w:w="1363"/>
        <w:gridCol w:w="3751"/>
        <w:gridCol w:w="1229"/>
      </w:tblGrid>
      <w:tr w:rsidR="00D701C6" w:rsidTr="00D701C6">
        <w:trPr>
          <w:trHeight w:val="312"/>
        </w:trPr>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年度目标</w:t>
            </w:r>
          </w:p>
        </w:tc>
        <w:tc>
          <w:tcPr>
            <w:tcW w:w="827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left"/>
              <w:textAlignment w:val="center"/>
              <w:rPr>
                <w:rFonts w:ascii="宋体" w:eastAsia="宋体" w:hAnsi="宋体" w:cs="宋体"/>
                <w:color w:val="000000"/>
                <w:sz w:val="20"/>
                <w:szCs w:val="20"/>
              </w:rPr>
            </w:pPr>
            <w:r>
              <w:rPr>
                <w:rStyle w:val="font31"/>
                <w:rFonts w:hint="default"/>
              </w:rPr>
              <w:t>1、提高耕地质量，减少化肥用量；</w:t>
            </w:r>
            <w:r>
              <w:rPr>
                <w:rStyle w:val="font31"/>
                <w:rFonts w:hint="default"/>
              </w:rPr>
              <w:br/>
              <w:t>2、探索农作物秸秆还田、离田利用有效模式，提高农作物秸秆利用率；</w:t>
            </w:r>
            <w:r>
              <w:rPr>
                <w:rStyle w:val="font31"/>
                <w:rFonts w:hint="default"/>
              </w:rPr>
              <w:br/>
            </w:r>
            <w:r>
              <w:rPr>
                <w:rStyle w:val="font31"/>
                <w:rFonts w:hint="default"/>
              </w:rPr>
              <w:lastRenderedPageBreak/>
              <w:t>3、水域生态环境得改善；渔业种群资源加快恢复；</w:t>
            </w:r>
            <w:r>
              <w:rPr>
                <w:rStyle w:val="font31"/>
                <w:rFonts w:hint="default"/>
              </w:rPr>
              <w:br/>
              <w:t>4、牧民政策性收入稳步增长，畜牧业生产方式不断改善。</w:t>
            </w:r>
          </w:p>
        </w:tc>
      </w:tr>
      <w:tr w:rsidR="00D701C6" w:rsidTr="00D701C6">
        <w:trPr>
          <w:trHeight w:val="315"/>
        </w:trPr>
        <w:tc>
          <w:tcPr>
            <w:tcW w:w="136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827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jc w:val="left"/>
              <w:rPr>
                <w:rFonts w:ascii="宋体" w:eastAsia="宋体" w:hAnsi="宋体" w:cs="宋体"/>
                <w:color w:val="000000"/>
                <w:sz w:val="20"/>
                <w:szCs w:val="20"/>
              </w:rPr>
            </w:pPr>
          </w:p>
        </w:tc>
      </w:tr>
      <w:tr w:rsidR="00D701C6" w:rsidTr="00D701C6">
        <w:trPr>
          <w:trHeight w:val="312"/>
        </w:trPr>
        <w:tc>
          <w:tcPr>
            <w:tcW w:w="136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827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jc w:val="left"/>
              <w:rPr>
                <w:rFonts w:ascii="宋体" w:eastAsia="宋体" w:hAnsi="宋体" w:cs="宋体"/>
                <w:color w:val="000000"/>
                <w:sz w:val="20"/>
                <w:szCs w:val="20"/>
              </w:rPr>
            </w:pPr>
          </w:p>
        </w:tc>
      </w:tr>
      <w:tr w:rsidR="00D701C6" w:rsidTr="00D701C6">
        <w:trPr>
          <w:trHeight w:val="312"/>
        </w:trPr>
        <w:tc>
          <w:tcPr>
            <w:tcW w:w="136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827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jc w:val="left"/>
              <w:rPr>
                <w:rFonts w:ascii="宋体" w:eastAsia="宋体" w:hAnsi="宋体" w:cs="宋体"/>
                <w:color w:val="000000"/>
                <w:sz w:val="20"/>
                <w:szCs w:val="20"/>
              </w:rPr>
            </w:pPr>
          </w:p>
        </w:tc>
      </w:tr>
      <w:tr w:rsidR="00D701C6" w:rsidTr="00D701C6">
        <w:trPr>
          <w:trHeight w:val="288"/>
        </w:trPr>
        <w:tc>
          <w:tcPr>
            <w:tcW w:w="1363" w:type="dxa"/>
            <w:vMerge w:val="restart"/>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701C6" w:rsidRDefault="00D701C6" w:rsidP="00D701C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绩效指标</w:t>
            </w:r>
          </w:p>
        </w:tc>
        <w:tc>
          <w:tcPr>
            <w:tcW w:w="1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701C6" w:rsidRDefault="00D701C6" w:rsidP="00D701C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一级指标</w:t>
            </w:r>
          </w:p>
        </w:tc>
        <w:tc>
          <w:tcPr>
            <w:tcW w:w="1363"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二级指标</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三级指标</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指标值</w:t>
            </w:r>
          </w:p>
        </w:tc>
      </w:tr>
      <w:tr w:rsidR="00D701C6" w:rsidTr="00D701C6">
        <w:trPr>
          <w:trHeight w:val="288"/>
        </w:trPr>
        <w:tc>
          <w:tcPr>
            <w:tcW w:w="1363"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701C6" w:rsidRDefault="00D701C6" w:rsidP="00D701C6">
            <w:pPr>
              <w:widowControl/>
              <w:jc w:val="center"/>
              <w:textAlignment w:val="center"/>
              <w:rPr>
                <w:rFonts w:ascii="宋体" w:eastAsia="宋体" w:hAnsi="宋体" w:cs="宋体"/>
                <w:color w:val="000000"/>
                <w:sz w:val="20"/>
                <w:szCs w:val="20"/>
              </w:rPr>
            </w:pPr>
          </w:p>
        </w:tc>
        <w:tc>
          <w:tcPr>
            <w:tcW w:w="1930" w:type="dxa"/>
            <w:vMerge w:val="restart"/>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701C6" w:rsidRDefault="00D701C6" w:rsidP="00D701C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产出指标</w:t>
            </w:r>
          </w:p>
        </w:tc>
        <w:tc>
          <w:tcPr>
            <w:tcW w:w="1363" w:type="dxa"/>
            <w:vMerge w:val="restart"/>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数量指标</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化肥减量增效示范县数量</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11个</w:t>
            </w:r>
          </w:p>
        </w:tc>
      </w:tr>
      <w:tr w:rsidR="00D701C6" w:rsidTr="00D701C6">
        <w:trPr>
          <w:trHeight w:val="288"/>
        </w:trPr>
        <w:tc>
          <w:tcPr>
            <w:tcW w:w="1363" w:type="dxa"/>
            <w:vMerge/>
            <w:tcBorders>
              <w:top w:val="single" w:sz="4" w:space="0" w:color="auto"/>
              <w:left w:val="single" w:sz="4" w:space="0" w:color="auto"/>
              <w:bottom w:val="single" w:sz="4" w:space="0" w:color="auto"/>
              <w:right w:val="single" w:sz="4" w:space="0" w:color="000000"/>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1930" w:type="dxa"/>
            <w:vMerge/>
            <w:tcBorders>
              <w:top w:val="single" w:sz="4" w:space="0" w:color="auto"/>
              <w:left w:val="single" w:sz="4" w:space="0" w:color="000000"/>
              <w:bottom w:val="single" w:sz="4" w:space="0" w:color="auto"/>
              <w:right w:val="single" w:sz="4" w:space="0" w:color="auto"/>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1363" w:type="dxa"/>
            <w:vMerge/>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取土化验数量</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≥3000个</w:t>
            </w:r>
          </w:p>
        </w:tc>
      </w:tr>
      <w:tr w:rsidR="00D701C6" w:rsidTr="00D701C6">
        <w:trPr>
          <w:trHeight w:val="288"/>
        </w:trPr>
        <w:tc>
          <w:tcPr>
            <w:tcW w:w="1363" w:type="dxa"/>
            <w:vMerge/>
            <w:tcBorders>
              <w:top w:val="single" w:sz="4" w:space="0" w:color="auto"/>
              <w:left w:val="single" w:sz="4" w:space="0" w:color="auto"/>
              <w:bottom w:val="single" w:sz="4" w:space="0" w:color="auto"/>
              <w:right w:val="single" w:sz="4" w:space="0" w:color="000000"/>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1930" w:type="dxa"/>
            <w:vMerge/>
            <w:tcBorders>
              <w:top w:val="single" w:sz="4" w:space="0" w:color="auto"/>
              <w:left w:val="single" w:sz="4" w:space="0" w:color="000000"/>
              <w:bottom w:val="single" w:sz="4" w:space="0" w:color="auto"/>
              <w:right w:val="single" w:sz="4" w:space="0" w:color="auto"/>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1363" w:type="dxa"/>
            <w:vMerge/>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田间肥效试验数量</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≥150个</w:t>
            </w:r>
          </w:p>
        </w:tc>
      </w:tr>
      <w:tr w:rsidR="00D701C6" w:rsidTr="00D701C6">
        <w:trPr>
          <w:trHeight w:val="600"/>
        </w:trPr>
        <w:tc>
          <w:tcPr>
            <w:tcW w:w="1363" w:type="dxa"/>
            <w:vMerge/>
            <w:tcBorders>
              <w:top w:val="single" w:sz="4" w:space="0" w:color="auto"/>
              <w:left w:val="single" w:sz="4" w:space="0" w:color="auto"/>
              <w:bottom w:val="single" w:sz="4" w:space="0" w:color="auto"/>
              <w:right w:val="single" w:sz="4" w:space="0" w:color="000000"/>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1930" w:type="dxa"/>
            <w:vMerge/>
            <w:tcBorders>
              <w:top w:val="single" w:sz="4" w:space="0" w:color="auto"/>
              <w:left w:val="single" w:sz="4" w:space="0" w:color="000000"/>
              <w:bottom w:val="single" w:sz="4" w:space="0" w:color="auto"/>
              <w:right w:val="single" w:sz="4" w:space="0" w:color="auto"/>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1363" w:type="dxa"/>
            <w:vMerge/>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省级以上增值放流活动（省级以上渔业主管部门作为活动主办单位）举办次数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≥3次</w:t>
            </w:r>
          </w:p>
        </w:tc>
      </w:tr>
      <w:tr w:rsidR="00D701C6" w:rsidTr="00D701C6">
        <w:trPr>
          <w:trHeight w:val="600"/>
        </w:trPr>
        <w:tc>
          <w:tcPr>
            <w:tcW w:w="1363" w:type="dxa"/>
            <w:vMerge/>
            <w:tcBorders>
              <w:top w:val="single" w:sz="4" w:space="0" w:color="auto"/>
              <w:left w:val="single" w:sz="4" w:space="0" w:color="auto"/>
              <w:bottom w:val="single" w:sz="4" w:space="0" w:color="auto"/>
              <w:right w:val="single" w:sz="4" w:space="0" w:color="000000"/>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1930" w:type="dxa"/>
            <w:vMerge/>
            <w:tcBorders>
              <w:top w:val="single" w:sz="4" w:space="0" w:color="auto"/>
              <w:left w:val="single" w:sz="4" w:space="0" w:color="000000"/>
              <w:bottom w:val="single" w:sz="4" w:space="0" w:color="auto"/>
              <w:right w:val="single" w:sz="4" w:space="0" w:color="auto"/>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1363" w:type="dxa"/>
            <w:vMerge/>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渔业增殖放流规模</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≥1600万尾（粒）</w:t>
            </w:r>
          </w:p>
        </w:tc>
      </w:tr>
      <w:tr w:rsidR="00D701C6" w:rsidTr="00D701C6">
        <w:trPr>
          <w:trHeight w:val="288"/>
        </w:trPr>
        <w:tc>
          <w:tcPr>
            <w:tcW w:w="1363" w:type="dxa"/>
            <w:vMerge/>
            <w:tcBorders>
              <w:top w:val="single" w:sz="4" w:space="0" w:color="auto"/>
              <w:left w:val="single" w:sz="4" w:space="0" w:color="auto"/>
              <w:bottom w:val="single" w:sz="4" w:space="0" w:color="auto"/>
              <w:right w:val="single" w:sz="4" w:space="0" w:color="000000"/>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1930" w:type="dxa"/>
            <w:vMerge/>
            <w:tcBorders>
              <w:top w:val="single" w:sz="4" w:space="0" w:color="auto"/>
              <w:left w:val="single" w:sz="4" w:space="0" w:color="000000"/>
              <w:bottom w:val="single" w:sz="4" w:space="0" w:color="auto"/>
              <w:right w:val="single" w:sz="4" w:space="0" w:color="auto"/>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1363" w:type="dxa"/>
            <w:vMerge/>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完成自治区级耕地地力评价报告份数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1份</w:t>
            </w:r>
          </w:p>
        </w:tc>
      </w:tr>
      <w:tr w:rsidR="00D701C6" w:rsidTr="00D701C6">
        <w:trPr>
          <w:trHeight w:val="288"/>
        </w:trPr>
        <w:tc>
          <w:tcPr>
            <w:tcW w:w="1363" w:type="dxa"/>
            <w:vMerge/>
            <w:tcBorders>
              <w:top w:val="single" w:sz="4" w:space="0" w:color="auto"/>
              <w:left w:val="single" w:sz="4" w:space="0" w:color="auto"/>
              <w:bottom w:val="single" w:sz="4" w:space="0" w:color="auto"/>
              <w:right w:val="single" w:sz="4" w:space="0" w:color="000000"/>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1930" w:type="dxa"/>
            <w:vMerge/>
            <w:tcBorders>
              <w:top w:val="single" w:sz="4" w:space="0" w:color="auto"/>
              <w:left w:val="single" w:sz="4" w:space="0" w:color="000000"/>
              <w:bottom w:val="single" w:sz="4" w:space="0" w:color="auto"/>
              <w:right w:val="single" w:sz="4" w:space="0" w:color="auto"/>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1363" w:type="dxa"/>
            <w:vMerge/>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建设秸秆综合利用重点县</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9个</w:t>
            </w:r>
          </w:p>
        </w:tc>
      </w:tr>
      <w:tr w:rsidR="00D701C6" w:rsidTr="00D701C6">
        <w:trPr>
          <w:trHeight w:val="288"/>
        </w:trPr>
        <w:tc>
          <w:tcPr>
            <w:tcW w:w="1363" w:type="dxa"/>
            <w:vMerge/>
            <w:tcBorders>
              <w:top w:val="single" w:sz="4" w:space="0" w:color="auto"/>
              <w:left w:val="single" w:sz="4" w:space="0" w:color="auto"/>
              <w:bottom w:val="single" w:sz="4" w:space="0" w:color="auto"/>
              <w:right w:val="single" w:sz="4" w:space="0" w:color="000000"/>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1930" w:type="dxa"/>
            <w:vMerge/>
            <w:tcBorders>
              <w:top w:val="single" w:sz="4" w:space="0" w:color="auto"/>
              <w:left w:val="single" w:sz="4" w:space="0" w:color="000000"/>
              <w:bottom w:val="single" w:sz="4" w:space="0" w:color="auto"/>
              <w:right w:val="single" w:sz="4" w:space="0" w:color="auto"/>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1363" w:type="dxa"/>
            <w:vMerge w:val="restart"/>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质量指标</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资金使用重大违规违纪问题</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无</w:t>
            </w:r>
          </w:p>
        </w:tc>
      </w:tr>
      <w:tr w:rsidR="00D701C6" w:rsidTr="00D701C6">
        <w:trPr>
          <w:trHeight w:val="795"/>
        </w:trPr>
        <w:tc>
          <w:tcPr>
            <w:tcW w:w="1363" w:type="dxa"/>
            <w:vMerge/>
            <w:tcBorders>
              <w:top w:val="single" w:sz="4" w:space="0" w:color="auto"/>
              <w:left w:val="single" w:sz="4" w:space="0" w:color="auto"/>
              <w:bottom w:val="single" w:sz="4" w:space="0" w:color="auto"/>
              <w:right w:val="single" w:sz="4" w:space="0" w:color="000000"/>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1930" w:type="dxa"/>
            <w:vMerge/>
            <w:tcBorders>
              <w:top w:val="single" w:sz="4" w:space="0" w:color="auto"/>
              <w:left w:val="single" w:sz="4" w:space="0" w:color="000000"/>
              <w:bottom w:val="single" w:sz="4" w:space="0" w:color="auto"/>
              <w:right w:val="single" w:sz="4" w:space="0" w:color="auto"/>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1363" w:type="dxa"/>
            <w:vMerge/>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耕地质量提升与化肥减量增效示范县测土配方施肥技术覆盖率</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≥95%</w:t>
            </w:r>
          </w:p>
        </w:tc>
      </w:tr>
      <w:tr w:rsidR="00D701C6" w:rsidTr="00D701C6">
        <w:trPr>
          <w:trHeight w:val="960"/>
        </w:trPr>
        <w:tc>
          <w:tcPr>
            <w:tcW w:w="1363" w:type="dxa"/>
            <w:vMerge/>
            <w:tcBorders>
              <w:top w:val="single" w:sz="4" w:space="0" w:color="auto"/>
              <w:left w:val="single" w:sz="4" w:space="0" w:color="auto"/>
              <w:bottom w:val="single" w:sz="4" w:space="0" w:color="auto"/>
              <w:right w:val="single" w:sz="4" w:space="0" w:color="000000"/>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1930" w:type="dxa"/>
            <w:vMerge/>
            <w:tcBorders>
              <w:top w:val="single" w:sz="4" w:space="0" w:color="auto"/>
              <w:left w:val="single" w:sz="4" w:space="0" w:color="000000"/>
              <w:bottom w:val="single" w:sz="4" w:space="0" w:color="auto"/>
              <w:right w:val="single" w:sz="4" w:space="0" w:color="auto"/>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1363" w:type="dxa"/>
            <w:vMerge/>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秸秆综合利用重点县秸秆综合利用率</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达到90%以上或比上年提高5个百分点</w:t>
            </w:r>
          </w:p>
        </w:tc>
      </w:tr>
      <w:tr w:rsidR="00D701C6" w:rsidTr="00D701C6">
        <w:trPr>
          <w:trHeight w:val="288"/>
        </w:trPr>
        <w:tc>
          <w:tcPr>
            <w:tcW w:w="1363" w:type="dxa"/>
            <w:vMerge/>
            <w:tcBorders>
              <w:top w:val="single" w:sz="4" w:space="0" w:color="auto"/>
              <w:left w:val="single" w:sz="4" w:space="0" w:color="auto"/>
              <w:bottom w:val="single" w:sz="4" w:space="0" w:color="auto"/>
              <w:right w:val="single" w:sz="4" w:space="0" w:color="000000"/>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1930" w:type="dxa"/>
            <w:vMerge/>
            <w:tcBorders>
              <w:top w:val="single" w:sz="4" w:space="0" w:color="auto"/>
              <w:left w:val="single" w:sz="4" w:space="0" w:color="000000"/>
              <w:bottom w:val="single" w:sz="4" w:space="0" w:color="auto"/>
              <w:right w:val="single" w:sz="4" w:space="0" w:color="auto"/>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1363" w:type="dxa"/>
            <w:vMerge/>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珍稀濒危放流苗种进行标志比例</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p>
        </w:tc>
      </w:tr>
      <w:tr w:rsidR="00D701C6" w:rsidTr="00D701C6">
        <w:trPr>
          <w:trHeight w:val="600"/>
        </w:trPr>
        <w:tc>
          <w:tcPr>
            <w:tcW w:w="1363" w:type="dxa"/>
            <w:vMerge/>
            <w:tcBorders>
              <w:top w:val="single" w:sz="4" w:space="0" w:color="auto"/>
              <w:left w:val="single" w:sz="4" w:space="0" w:color="auto"/>
              <w:bottom w:val="single" w:sz="4" w:space="0" w:color="auto"/>
              <w:right w:val="single" w:sz="4" w:space="0" w:color="000000"/>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1930" w:type="dxa"/>
            <w:vMerge/>
            <w:tcBorders>
              <w:top w:val="single" w:sz="4" w:space="0" w:color="auto"/>
              <w:left w:val="single" w:sz="4" w:space="0" w:color="000000"/>
              <w:bottom w:val="single" w:sz="4" w:space="0" w:color="auto"/>
              <w:right w:val="single" w:sz="4" w:space="0" w:color="auto"/>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1363" w:type="dxa"/>
            <w:vMerge/>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渔业增殖放流经济物种放流经检验检疫的批次比例</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≥90%</w:t>
            </w:r>
          </w:p>
        </w:tc>
      </w:tr>
      <w:tr w:rsidR="00D701C6" w:rsidTr="00D701C6">
        <w:trPr>
          <w:trHeight w:val="288"/>
        </w:trPr>
        <w:tc>
          <w:tcPr>
            <w:tcW w:w="1363" w:type="dxa"/>
            <w:vMerge/>
            <w:tcBorders>
              <w:top w:val="single" w:sz="4" w:space="0" w:color="auto"/>
              <w:left w:val="single" w:sz="4" w:space="0" w:color="auto"/>
              <w:bottom w:val="single" w:sz="4" w:space="0" w:color="auto"/>
              <w:right w:val="single" w:sz="4" w:space="0" w:color="000000"/>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1930" w:type="dxa"/>
            <w:vMerge/>
            <w:tcBorders>
              <w:top w:val="single" w:sz="4" w:space="0" w:color="auto"/>
              <w:left w:val="single" w:sz="4" w:space="0" w:color="000000"/>
              <w:bottom w:val="single" w:sz="4" w:space="0" w:color="auto"/>
              <w:right w:val="single" w:sz="4" w:space="0" w:color="auto"/>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1363" w:type="dxa"/>
            <w:vMerge/>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补贴资金到户（项目单位）率</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≥95%</w:t>
            </w:r>
          </w:p>
        </w:tc>
      </w:tr>
      <w:tr w:rsidR="00D701C6" w:rsidTr="00D701C6">
        <w:trPr>
          <w:trHeight w:val="288"/>
        </w:trPr>
        <w:tc>
          <w:tcPr>
            <w:tcW w:w="1363" w:type="dxa"/>
            <w:vMerge/>
            <w:tcBorders>
              <w:top w:val="single" w:sz="4" w:space="0" w:color="auto"/>
              <w:left w:val="single" w:sz="4" w:space="0" w:color="auto"/>
              <w:bottom w:val="single" w:sz="4" w:space="0" w:color="auto"/>
              <w:right w:val="single" w:sz="4" w:space="0" w:color="000000"/>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1930" w:type="dxa"/>
            <w:vMerge/>
            <w:tcBorders>
              <w:top w:val="single" w:sz="4" w:space="0" w:color="auto"/>
              <w:left w:val="single" w:sz="4" w:space="0" w:color="000000"/>
              <w:bottom w:val="single" w:sz="4" w:space="0" w:color="auto"/>
              <w:right w:val="single" w:sz="4" w:space="0" w:color="auto"/>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1363" w:type="dxa"/>
            <w:vMerge/>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补奖资金发放到位时间</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10月前</w:t>
            </w:r>
          </w:p>
        </w:tc>
      </w:tr>
      <w:tr w:rsidR="00D701C6" w:rsidTr="00D701C6">
        <w:trPr>
          <w:trHeight w:val="288"/>
        </w:trPr>
        <w:tc>
          <w:tcPr>
            <w:tcW w:w="1363" w:type="dxa"/>
            <w:vMerge/>
            <w:tcBorders>
              <w:top w:val="single" w:sz="4" w:space="0" w:color="auto"/>
              <w:left w:val="single" w:sz="4" w:space="0" w:color="auto"/>
              <w:bottom w:val="single" w:sz="4" w:space="0" w:color="auto"/>
              <w:right w:val="single" w:sz="4" w:space="0" w:color="000000"/>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1930" w:type="dxa"/>
            <w:vMerge w:val="restart"/>
            <w:tcBorders>
              <w:top w:val="single" w:sz="4" w:space="0" w:color="auto"/>
              <w:left w:val="single" w:sz="4" w:space="0" w:color="000000"/>
              <w:bottom w:val="single" w:sz="4" w:space="0" w:color="auto"/>
              <w:right w:val="single" w:sz="4" w:space="0" w:color="000000"/>
            </w:tcBorders>
            <w:shd w:val="clear" w:color="auto" w:fill="auto"/>
            <w:tcMar>
              <w:top w:w="12" w:type="dxa"/>
              <w:left w:w="12" w:type="dxa"/>
              <w:right w:w="12" w:type="dxa"/>
            </w:tcMar>
            <w:vAlign w:val="center"/>
          </w:tcPr>
          <w:p w:rsidR="00D701C6" w:rsidRDefault="00D701C6" w:rsidP="00D701C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效益指标</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社会效益指标</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建立秸秆综合利用长效机制</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建立</w:t>
            </w:r>
          </w:p>
        </w:tc>
      </w:tr>
      <w:tr w:rsidR="00D701C6" w:rsidTr="00D701C6">
        <w:trPr>
          <w:trHeight w:val="600"/>
        </w:trPr>
        <w:tc>
          <w:tcPr>
            <w:tcW w:w="1363" w:type="dxa"/>
            <w:vMerge/>
            <w:tcBorders>
              <w:top w:val="single" w:sz="4" w:space="0" w:color="auto"/>
              <w:left w:val="single" w:sz="4" w:space="0" w:color="auto"/>
              <w:bottom w:val="single" w:sz="4" w:space="0" w:color="auto"/>
              <w:right w:val="single" w:sz="4" w:space="0" w:color="000000"/>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1930" w:type="dxa"/>
            <w:vMerge/>
            <w:tcBorders>
              <w:top w:val="single" w:sz="4" w:space="0" w:color="auto"/>
              <w:left w:val="single" w:sz="4" w:space="0" w:color="000000"/>
              <w:bottom w:val="single" w:sz="4" w:space="0" w:color="auto"/>
              <w:right w:val="single" w:sz="4" w:space="0" w:color="000000"/>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生态效益指标</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重要经济物种放流回捕产量对照（未开展增殖放流时期或地区）增长比率</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p>
        </w:tc>
      </w:tr>
      <w:tr w:rsidR="00D701C6" w:rsidTr="00D701C6">
        <w:trPr>
          <w:trHeight w:val="288"/>
        </w:trPr>
        <w:tc>
          <w:tcPr>
            <w:tcW w:w="1363" w:type="dxa"/>
            <w:vMerge/>
            <w:tcBorders>
              <w:top w:val="single" w:sz="4" w:space="0" w:color="auto"/>
              <w:left w:val="single" w:sz="4" w:space="0" w:color="auto"/>
              <w:bottom w:val="single" w:sz="4" w:space="0" w:color="auto"/>
              <w:right w:val="single" w:sz="4" w:space="0" w:color="000000"/>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1930" w:type="dxa"/>
            <w:vMerge/>
            <w:tcBorders>
              <w:top w:val="single" w:sz="4" w:space="0" w:color="auto"/>
              <w:left w:val="single" w:sz="4" w:space="0" w:color="000000"/>
              <w:bottom w:val="single" w:sz="4" w:space="0" w:color="auto"/>
              <w:right w:val="single" w:sz="4" w:space="0" w:color="000000"/>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化肥使用量增幅</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≤0%</w:t>
            </w:r>
          </w:p>
        </w:tc>
      </w:tr>
      <w:tr w:rsidR="00D701C6" w:rsidTr="00D701C6">
        <w:trPr>
          <w:trHeight w:val="600"/>
        </w:trPr>
        <w:tc>
          <w:tcPr>
            <w:tcW w:w="1363" w:type="dxa"/>
            <w:vMerge/>
            <w:tcBorders>
              <w:top w:val="single" w:sz="4" w:space="0" w:color="auto"/>
              <w:left w:val="single" w:sz="4" w:space="0" w:color="auto"/>
              <w:bottom w:val="single" w:sz="4" w:space="0" w:color="auto"/>
              <w:right w:val="single" w:sz="4" w:space="0" w:color="000000"/>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1930" w:type="dxa"/>
            <w:vMerge/>
            <w:tcBorders>
              <w:top w:val="single" w:sz="4" w:space="0" w:color="auto"/>
              <w:left w:val="single" w:sz="4" w:space="0" w:color="000000"/>
              <w:bottom w:val="single" w:sz="4" w:space="0" w:color="auto"/>
              <w:right w:val="single" w:sz="4" w:space="0" w:color="000000"/>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果菜茶有机肥替代化肥示范县项目区果园土壤有机质含量提升</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D701C6" w:rsidTr="00D701C6">
        <w:trPr>
          <w:trHeight w:val="600"/>
        </w:trPr>
        <w:tc>
          <w:tcPr>
            <w:tcW w:w="1363" w:type="dxa"/>
            <w:vMerge/>
            <w:tcBorders>
              <w:top w:val="single" w:sz="4" w:space="0" w:color="auto"/>
              <w:left w:val="single" w:sz="4" w:space="0" w:color="auto"/>
              <w:bottom w:val="single" w:sz="4" w:space="0" w:color="auto"/>
              <w:right w:val="single" w:sz="4" w:space="0" w:color="000000"/>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1930" w:type="dxa"/>
            <w:vMerge/>
            <w:tcBorders>
              <w:top w:val="single" w:sz="4" w:space="0" w:color="auto"/>
              <w:left w:val="single" w:sz="4" w:space="0" w:color="000000"/>
              <w:bottom w:val="single" w:sz="4" w:space="0" w:color="auto"/>
              <w:right w:val="single" w:sz="4" w:space="0" w:color="000000"/>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耕地质量提升与化肥减量增效示范县项目区耕地土壤有机质含量提升</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w:t>
            </w:r>
          </w:p>
        </w:tc>
      </w:tr>
      <w:tr w:rsidR="00D701C6" w:rsidTr="00D701C6">
        <w:trPr>
          <w:trHeight w:val="288"/>
        </w:trPr>
        <w:tc>
          <w:tcPr>
            <w:tcW w:w="1363" w:type="dxa"/>
            <w:vMerge/>
            <w:tcBorders>
              <w:top w:val="single" w:sz="4" w:space="0" w:color="auto"/>
              <w:left w:val="single" w:sz="4" w:space="0" w:color="auto"/>
              <w:bottom w:val="single" w:sz="4" w:space="0" w:color="auto"/>
              <w:right w:val="single" w:sz="4" w:space="0" w:color="000000"/>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1930" w:type="dxa"/>
            <w:vMerge/>
            <w:tcBorders>
              <w:top w:val="single" w:sz="4" w:space="0" w:color="auto"/>
              <w:left w:val="single" w:sz="4" w:space="0" w:color="000000"/>
              <w:bottom w:val="single" w:sz="4" w:space="0" w:color="auto"/>
              <w:right w:val="single" w:sz="4" w:space="0" w:color="000000"/>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耕地质量等级</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持平或提升</w:t>
            </w:r>
          </w:p>
        </w:tc>
      </w:tr>
      <w:tr w:rsidR="00D701C6" w:rsidTr="00D701C6">
        <w:trPr>
          <w:trHeight w:val="288"/>
        </w:trPr>
        <w:tc>
          <w:tcPr>
            <w:tcW w:w="1363" w:type="dxa"/>
            <w:vMerge/>
            <w:tcBorders>
              <w:top w:val="single" w:sz="4" w:space="0" w:color="auto"/>
              <w:left w:val="single" w:sz="4" w:space="0" w:color="auto"/>
              <w:bottom w:val="single" w:sz="4" w:space="0" w:color="auto"/>
              <w:right w:val="single" w:sz="4" w:space="0" w:color="000000"/>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1930" w:type="dxa"/>
            <w:vMerge w:val="restart"/>
            <w:tcBorders>
              <w:top w:val="single" w:sz="4" w:space="0" w:color="auto"/>
              <w:left w:val="single" w:sz="4" w:space="0" w:color="000000"/>
              <w:bottom w:val="single" w:sz="4" w:space="0" w:color="auto"/>
              <w:right w:val="single" w:sz="4" w:space="0" w:color="000000"/>
            </w:tcBorders>
            <w:shd w:val="clear" w:color="auto" w:fill="auto"/>
            <w:tcMar>
              <w:top w:w="12" w:type="dxa"/>
              <w:left w:w="12" w:type="dxa"/>
              <w:right w:w="12" w:type="dxa"/>
            </w:tcMar>
            <w:vAlign w:val="center"/>
          </w:tcPr>
          <w:p w:rsidR="00D701C6" w:rsidRDefault="00D701C6" w:rsidP="00D701C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满意度指标</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服务对象满意度指标</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捕捞渔民抽样调查满意度</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≥80%</w:t>
            </w:r>
          </w:p>
        </w:tc>
      </w:tr>
      <w:tr w:rsidR="00D701C6" w:rsidTr="00D701C6">
        <w:trPr>
          <w:trHeight w:val="315"/>
        </w:trPr>
        <w:tc>
          <w:tcPr>
            <w:tcW w:w="1363" w:type="dxa"/>
            <w:vMerge/>
            <w:tcBorders>
              <w:top w:val="single" w:sz="4" w:space="0" w:color="auto"/>
              <w:left w:val="single" w:sz="4" w:space="0" w:color="auto"/>
              <w:bottom w:val="single" w:sz="4" w:space="0" w:color="auto"/>
              <w:right w:val="single" w:sz="4" w:space="0" w:color="000000"/>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1930" w:type="dxa"/>
            <w:vMerge/>
            <w:tcBorders>
              <w:top w:val="single" w:sz="4" w:space="0" w:color="auto"/>
              <w:left w:val="single" w:sz="4" w:space="0" w:color="000000"/>
              <w:bottom w:val="single" w:sz="4" w:space="0" w:color="auto"/>
              <w:right w:val="single" w:sz="4" w:space="0" w:color="000000"/>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jc w:val="center"/>
              <w:rPr>
                <w:rFonts w:ascii="宋体" w:eastAsia="宋体" w:hAnsi="宋体" w:cs="宋体"/>
                <w:color w:val="000000"/>
                <w:sz w:val="20"/>
                <w:szCs w:val="20"/>
              </w:rPr>
            </w:pP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农牧民满意度</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701C6" w:rsidRDefault="00D701C6" w:rsidP="00D701C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≥80%</w:t>
            </w:r>
          </w:p>
        </w:tc>
      </w:tr>
    </w:tbl>
    <w:p w:rsidR="00E52278" w:rsidRDefault="00E52278">
      <w:pPr>
        <w:pStyle w:val="Style1"/>
      </w:pPr>
    </w:p>
    <w:p w:rsidR="00E52278" w:rsidRDefault="00E52278">
      <w:pPr>
        <w:spacing w:line="600" w:lineRule="exact"/>
        <w:rPr>
          <w:rFonts w:ascii="仿宋_GB2312"/>
          <w:szCs w:val="30"/>
        </w:rPr>
      </w:pPr>
    </w:p>
    <w:p w:rsidR="00E52278" w:rsidRDefault="00D701C6">
      <w:pPr>
        <w:spacing w:line="600" w:lineRule="exact"/>
        <w:ind w:firstLineChars="200" w:firstLine="600"/>
        <w:rPr>
          <w:rFonts w:ascii="仿宋_GB2312"/>
          <w:b/>
          <w:bCs/>
          <w:color w:val="FF0000"/>
          <w:szCs w:val="30"/>
        </w:rPr>
      </w:pPr>
      <w:r>
        <w:rPr>
          <w:rFonts w:ascii="仿宋_GB2312" w:hint="eastAsia"/>
          <w:szCs w:val="30"/>
        </w:rPr>
        <w:t>（二）自治区资金安排、分解下达预算和绩效目标情况。</w:t>
      </w:r>
    </w:p>
    <w:p w:rsidR="00E52278" w:rsidRDefault="00E52278">
      <w:pPr>
        <w:widowControl/>
        <w:adjustRightInd w:val="0"/>
        <w:snapToGrid w:val="0"/>
        <w:spacing w:line="600" w:lineRule="exact"/>
        <w:ind w:firstLineChars="200" w:firstLine="600"/>
        <w:rPr>
          <w:rFonts w:ascii="仿宋_GB2312"/>
          <w:szCs w:val="30"/>
        </w:rPr>
      </w:pPr>
    </w:p>
    <w:p w:rsidR="00E52278" w:rsidRDefault="00D701C6">
      <w:pPr>
        <w:widowControl/>
        <w:adjustRightInd w:val="0"/>
        <w:snapToGrid w:val="0"/>
        <w:spacing w:line="600" w:lineRule="exact"/>
        <w:ind w:firstLineChars="200" w:firstLine="600"/>
        <w:rPr>
          <w:rFonts w:ascii="仿宋_GB2312" w:hAnsi="宋体" w:cs="Arial"/>
          <w:bCs/>
          <w:szCs w:val="30"/>
        </w:rPr>
      </w:pPr>
      <w:r>
        <w:rPr>
          <w:rFonts w:ascii="仿宋_GB2312" w:hint="eastAsia"/>
          <w:szCs w:val="30"/>
        </w:rPr>
        <w:lastRenderedPageBreak/>
        <w:t>2019年分两批共下达</w:t>
      </w:r>
      <w:r>
        <w:rPr>
          <w:rFonts w:ascii="仿宋_GB2312" w:hAnsi="仿宋_GB2312" w:cs="仿宋_GB2312" w:hint="eastAsia"/>
          <w:szCs w:val="32"/>
        </w:rPr>
        <w:t>自治区农业资源及生态保护补助资金261063万元，其中：第一批</w:t>
      </w:r>
      <w:r>
        <w:rPr>
          <w:rFonts w:ascii="仿宋_GB2312" w:hint="eastAsia"/>
          <w:szCs w:val="30"/>
        </w:rPr>
        <w:t>2018年12月根据《关于提前下达2019年中央部分农业转移支付项目资金预算的通知》（新财农〔2018〕144号）下达资金8026万元；第二批2019年6月《关于下达2</w:t>
      </w:r>
      <w:r>
        <w:rPr>
          <w:rFonts w:ascii="仿宋_GB2312"/>
          <w:szCs w:val="30"/>
        </w:rPr>
        <w:t>019</w:t>
      </w:r>
      <w:r>
        <w:rPr>
          <w:rFonts w:ascii="仿宋_GB2312" w:hint="eastAsia"/>
          <w:szCs w:val="30"/>
        </w:rPr>
        <w:t>年中央资源及生态农业生产发展资金（项目部分）预算的通知》（新财农〔201</w:t>
      </w:r>
      <w:r>
        <w:rPr>
          <w:rFonts w:ascii="仿宋_GB2312"/>
          <w:szCs w:val="30"/>
        </w:rPr>
        <w:t>9</w:t>
      </w:r>
      <w:r>
        <w:rPr>
          <w:rFonts w:ascii="仿宋_GB2312" w:hint="eastAsia"/>
          <w:szCs w:val="30"/>
        </w:rPr>
        <w:t>〕</w:t>
      </w:r>
      <w:r>
        <w:rPr>
          <w:rFonts w:ascii="仿宋_GB2312"/>
          <w:szCs w:val="30"/>
        </w:rPr>
        <w:t>50</w:t>
      </w:r>
      <w:r>
        <w:rPr>
          <w:rFonts w:ascii="仿宋_GB2312" w:hint="eastAsia"/>
          <w:szCs w:val="30"/>
        </w:rPr>
        <w:t>号）下达资金249275万元。</w:t>
      </w:r>
      <w:r>
        <w:rPr>
          <w:rFonts w:ascii="仿宋_GB2312" w:hAnsi="仿宋_GB2312" w:cs="仿宋_GB2312" w:hint="eastAsia"/>
          <w:szCs w:val="32"/>
        </w:rPr>
        <w:t>统筹整合资金3762万元，用于支持脱贫攻坚，</w:t>
      </w:r>
      <w:r>
        <w:rPr>
          <w:rFonts w:ascii="仿宋_GB2312" w:hAnsi="宋体" w:cs="Arial" w:hint="eastAsia"/>
          <w:bCs/>
          <w:szCs w:val="30"/>
        </w:rPr>
        <w:t>剩余该专项资金为257301万元，资金分配如下表：</w:t>
      </w:r>
    </w:p>
    <w:p w:rsidR="00E52278" w:rsidRDefault="00E52278">
      <w:pPr>
        <w:pStyle w:val="Style1"/>
        <w:rPr>
          <w:rFonts w:ascii="仿宋_GB2312" w:eastAsia="仿宋_GB2312" w:hAnsi="仿宋_GB2312" w:cs="仿宋_GB2312"/>
          <w:b/>
          <w:sz w:val="24"/>
          <w:szCs w:val="24"/>
        </w:rPr>
      </w:pPr>
    </w:p>
    <w:p w:rsidR="00E52278" w:rsidRDefault="00D701C6">
      <w:pPr>
        <w:pStyle w:val="Style1"/>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2019年中央农业资源及生态保护补助资金分配表</w:t>
      </w:r>
    </w:p>
    <w:p w:rsidR="00E52278" w:rsidRDefault="00D701C6">
      <w:pPr>
        <w:pStyle w:val="Style1"/>
        <w:jc w:val="right"/>
        <w:rPr>
          <w:rFonts w:ascii="仿宋_GB2312" w:eastAsia="仿宋_GB2312" w:hAnsi="仿宋_GB2312" w:cs="仿宋_GB2312"/>
          <w:b/>
          <w:sz w:val="20"/>
          <w:szCs w:val="20"/>
        </w:rPr>
      </w:pPr>
      <w:r>
        <w:rPr>
          <w:rFonts w:ascii="仿宋_GB2312" w:eastAsia="仿宋_GB2312" w:hAnsi="仿宋_GB2312" w:cs="仿宋_GB2312" w:hint="eastAsia"/>
          <w:b/>
          <w:sz w:val="20"/>
          <w:szCs w:val="20"/>
        </w:rPr>
        <w:t>单位：万元</w:t>
      </w:r>
    </w:p>
    <w:tbl>
      <w:tblPr>
        <w:tblStyle w:val="ab"/>
        <w:tblW w:w="8522" w:type="dxa"/>
        <w:tblLayout w:type="fixed"/>
        <w:tblLook w:val="04A0"/>
      </w:tblPr>
      <w:tblGrid>
        <w:gridCol w:w="924"/>
        <w:gridCol w:w="4117"/>
        <w:gridCol w:w="3481"/>
      </w:tblGrid>
      <w:tr w:rsidR="00E52278">
        <w:tc>
          <w:tcPr>
            <w:tcW w:w="924" w:type="dxa"/>
          </w:tcPr>
          <w:p w:rsidR="00E52278" w:rsidRDefault="00D701C6">
            <w:pPr>
              <w:pStyle w:val="Style1"/>
              <w:jc w:val="center"/>
              <w:rPr>
                <w:rFonts w:asciiTheme="minorEastAsia" w:hAnsiTheme="minorEastAsia" w:cstheme="minorEastAsia"/>
                <w:b/>
                <w:sz w:val="20"/>
                <w:szCs w:val="20"/>
              </w:rPr>
            </w:pPr>
            <w:r>
              <w:rPr>
                <w:rFonts w:asciiTheme="minorEastAsia" w:hAnsiTheme="minorEastAsia" w:cstheme="minorEastAsia" w:hint="eastAsia"/>
                <w:b/>
                <w:sz w:val="20"/>
                <w:szCs w:val="20"/>
              </w:rPr>
              <w:t>序号</w:t>
            </w:r>
          </w:p>
        </w:tc>
        <w:tc>
          <w:tcPr>
            <w:tcW w:w="4117" w:type="dxa"/>
          </w:tcPr>
          <w:p w:rsidR="00E52278" w:rsidRDefault="00D701C6">
            <w:pPr>
              <w:pStyle w:val="Style1"/>
              <w:jc w:val="center"/>
              <w:rPr>
                <w:rFonts w:asciiTheme="minorEastAsia" w:hAnsiTheme="minorEastAsia" w:cstheme="minorEastAsia"/>
                <w:b/>
                <w:sz w:val="20"/>
                <w:szCs w:val="20"/>
              </w:rPr>
            </w:pPr>
            <w:r>
              <w:rPr>
                <w:rFonts w:asciiTheme="minorEastAsia" w:hAnsiTheme="minorEastAsia" w:cstheme="minorEastAsia" w:hint="eastAsia"/>
                <w:b/>
                <w:sz w:val="20"/>
                <w:szCs w:val="20"/>
              </w:rPr>
              <w:t>地州（市）/单位</w:t>
            </w:r>
          </w:p>
        </w:tc>
        <w:tc>
          <w:tcPr>
            <w:tcW w:w="3481" w:type="dxa"/>
          </w:tcPr>
          <w:p w:rsidR="00E52278" w:rsidRDefault="00D701C6">
            <w:pPr>
              <w:pStyle w:val="Style1"/>
              <w:jc w:val="center"/>
              <w:rPr>
                <w:rFonts w:asciiTheme="minorEastAsia" w:hAnsiTheme="minorEastAsia" w:cstheme="minorEastAsia"/>
                <w:b/>
                <w:sz w:val="20"/>
                <w:szCs w:val="20"/>
              </w:rPr>
            </w:pPr>
            <w:r>
              <w:rPr>
                <w:rFonts w:asciiTheme="minorEastAsia" w:hAnsiTheme="minorEastAsia" w:cstheme="minorEastAsia" w:hint="eastAsia"/>
                <w:b/>
                <w:sz w:val="20"/>
                <w:szCs w:val="20"/>
              </w:rPr>
              <w:t>金额</w:t>
            </w:r>
          </w:p>
        </w:tc>
      </w:tr>
      <w:tr w:rsidR="00E52278">
        <w:tc>
          <w:tcPr>
            <w:tcW w:w="924"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1</w:t>
            </w:r>
          </w:p>
        </w:tc>
        <w:tc>
          <w:tcPr>
            <w:tcW w:w="4117" w:type="dxa"/>
          </w:tcPr>
          <w:p w:rsidR="00E52278" w:rsidRDefault="00D701C6">
            <w:pPr>
              <w:pStyle w:val="Style1"/>
              <w:tabs>
                <w:tab w:val="left" w:pos="755"/>
              </w:tabs>
              <w:jc w:val="center"/>
              <w:rPr>
                <w:rFonts w:asciiTheme="minorEastAsia" w:hAnsiTheme="minorEastAsia" w:cstheme="minorEastAsia"/>
                <w:bCs/>
                <w:sz w:val="20"/>
                <w:szCs w:val="20"/>
              </w:rPr>
            </w:pPr>
            <w:r>
              <w:rPr>
                <w:rFonts w:asciiTheme="minorEastAsia" w:hAnsiTheme="minorEastAsia" w:cstheme="minorEastAsia" w:hint="eastAsia"/>
                <w:bCs/>
                <w:sz w:val="20"/>
                <w:szCs w:val="20"/>
              </w:rPr>
              <w:t>伊犁州</w:t>
            </w:r>
          </w:p>
        </w:tc>
        <w:tc>
          <w:tcPr>
            <w:tcW w:w="3481"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24397.1</w:t>
            </w:r>
          </w:p>
        </w:tc>
      </w:tr>
      <w:tr w:rsidR="00E52278">
        <w:tc>
          <w:tcPr>
            <w:tcW w:w="924"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2</w:t>
            </w:r>
          </w:p>
        </w:tc>
        <w:tc>
          <w:tcPr>
            <w:tcW w:w="4117"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塔城地区</w:t>
            </w:r>
          </w:p>
        </w:tc>
        <w:tc>
          <w:tcPr>
            <w:tcW w:w="3481"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27614.6</w:t>
            </w:r>
          </w:p>
        </w:tc>
      </w:tr>
      <w:tr w:rsidR="00E52278">
        <w:tc>
          <w:tcPr>
            <w:tcW w:w="924"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3</w:t>
            </w:r>
          </w:p>
        </w:tc>
        <w:tc>
          <w:tcPr>
            <w:tcW w:w="4117"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阿勒泰地区</w:t>
            </w:r>
          </w:p>
        </w:tc>
        <w:tc>
          <w:tcPr>
            <w:tcW w:w="3481"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36070.2</w:t>
            </w:r>
          </w:p>
        </w:tc>
      </w:tr>
      <w:tr w:rsidR="00E52278">
        <w:tc>
          <w:tcPr>
            <w:tcW w:w="924"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4</w:t>
            </w:r>
          </w:p>
        </w:tc>
        <w:tc>
          <w:tcPr>
            <w:tcW w:w="4117"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昌吉州</w:t>
            </w:r>
          </w:p>
        </w:tc>
        <w:tc>
          <w:tcPr>
            <w:tcW w:w="3481"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29450.5</w:t>
            </w:r>
          </w:p>
        </w:tc>
      </w:tr>
      <w:tr w:rsidR="00E52278">
        <w:tc>
          <w:tcPr>
            <w:tcW w:w="924"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5</w:t>
            </w:r>
          </w:p>
        </w:tc>
        <w:tc>
          <w:tcPr>
            <w:tcW w:w="4117"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乌鲁木齐市</w:t>
            </w:r>
          </w:p>
        </w:tc>
        <w:tc>
          <w:tcPr>
            <w:tcW w:w="3481"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7955</w:t>
            </w:r>
          </w:p>
        </w:tc>
      </w:tr>
      <w:tr w:rsidR="00E52278">
        <w:tc>
          <w:tcPr>
            <w:tcW w:w="924"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6</w:t>
            </w:r>
          </w:p>
        </w:tc>
        <w:tc>
          <w:tcPr>
            <w:tcW w:w="4117"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克拉玛依市</w:t>
            </w:r>
          </w:p>
        </w:tc>
        <w:tc>
          <w:tcPr>
            <w:tcW w:w="3481"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1320.5</w:t>
            </w:r>
          </w:p>
        </w:tc>
      </w:tr>
      <w:tr w:rsidR="00E52278">
        <w:tc>
          <w:tcPr>
            <w:tcW w:w="924"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7</w:t>
            </w:r>
          </w:p>
        </w:tc>
        <w:tc>
          <w:tcPr>
            <w:tcW w:w="4117"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博州</w:t>
            </w:r>
          </w:p>
        </w:tc>
        <w:tc>
          <w:tcPr>
            <w:tcW w:w="3481"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9875</w:t>
            </w:r>
          </w:p>
        </w:tc>
      </w:tr>
      <w:tr w:rsidR="00E52278">
        <w:tc>
          <w:tcPr>
            <w:tcW w:w="924"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8</w:t>
            </w:r>
          </w:p>
        </w:tc>
        <w:tc>
          <w:tcPr>
            <w:tcW w:w="4117"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吐鲁番市</w:t>
            </w:r>
          </w:p>
        </w:tc>
        <w:tc>
          <w:tcPr>
            <w:tcW w:w="3481"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6373</w:t>
            </w:r>
          </w:p>
        </w:tc>
      </w:tr>
      <w:tr w:rsidR="00E52278">
        <w:tc>
          <w:tcPr>
            <w:tcW w:w="924"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9</w:t>
            </w:r>
          </w:p>
        </w:tc>
        <w:tc>
          <w:tcPr>
            <w:tcW w:w="4117"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哈密市</w:t>
            </w:r>
          </w:p>
        </w:tc>
        <w:tc>
          <w:tcPr>
            <w:tcW w:w="3481"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16127.6</w:t>
            </w:r>
          </w:p>
        </w:tc>
      </w:tr>
      <w:tr w:rsidR="00E52278">
        <w:trPr>
          <w:trHeight w:val="288"/>
        </w:trPr>
        <w:tc>
          <w:tcPr>
            <w:tcW w:w="924"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10</w:t>
            </w:r>
          </w:p>
        </w:tc>
        <w:tc>
          <w:tcPr>
            <w:tcW w:w="4117"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巴州</w:t>
            </w:r>
          </w:p>
        </w:tc>
        <w:tc>
          <w:tcPr>
            <w:tcW w:w="3481"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36741.5</w:t>
            </w:r>
          </w:p>
        </w:tc>
      </w:tr>
      <w:tr w:rsidR="00E52278">
        <w:tc>
          <w:tcPr>
            <w:tcW w:w="924"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11</w:t>
            </w:r>
          </w:p>
        </w:tc>
        <w:tc>
          <w:tcPr>
            <w:tcW w:w="4117"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阿克苏地区</w:t>
            </w:r>
          </w:p>
        </w:tc>
        <w:tc>
          <w:tcPr>
            <w:tcW w:w="3481"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17941.4</w:t>
            </w:r>
          </w:p>
        </w:tc>
      </w:tr>
      <w:tr w:rsidR="00E52278">
        <w:tc>
          <w:tcPr>
            <w:tcW w:w="924"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12</w:t>
            </w:r>
          </w:p>
        </w:tc>
        <w:tc>
          <w:tcPr>
            <w:tcW w:w="4117"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克州</w:t>
            </w:r>
          </w:p>
        </w:tc>
        <w:tc>
          <w:tcPr>
            <w:tcW w:w="3481"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16416.5</w:t>
            </w:r>
          </w:p>
        </w:tc>
      </w:tr>
      <w:tr w:rsidR="00E52278">
        <w:tc>
          <w:tcPr>
            <w:tcW w:w="924"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13</w:t>
            </w:r>
          </w:p>
        </w:tc>
        <w:tc>
          <w:tcPr>
            <w:tcW w:w="4117"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喀什地区</w:t>
            </w:r>
          </w:p>
        </w:tc>
        <w:tc>
          <w:tcPr>
            <w:tcW w:w="3481"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13777.5</w:t>
            </w:r>
          </w:p>
        </w:tc>
      </w:tr>
      <w:tr w:rsidR="00E52278">
        <w:tc>
          <w:tcPr>
            <w:tcW w:w="924"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14</w:t>
            </w:r>
          </w:p>
        </w:tc>
        <w:tc>
          <w:tcPr>
            <w:tcW w:w="4117"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和田地区</w:t>
            </w:r>
          </w:p>
        </w:tc>
        <w:tc>
          <w:tcPr>
            <w:tcW w:w="3481"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12880.5</w:t>
            </w:r>
          </w:p>
        </w:tc>
      </w:tr>
      <w:tr w:rsidR="00E52278">
        <w:tc>
          <w:tcPr>
            <w:tcW w:w="924"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15</w:t>
            </w:r>
          </w:p>
        </w:tc>
        <w:tc>
          <w:tcPr>
            <w:tcW w:w="4117"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新疆农业科学院土壤肥料与农业节水研究所</w:t>
            </w:r>
          </w:p>
        </w:tc>
        <w:tc>
          <w:tcPr>
            <w:tcW w:w="3481"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70</w:t>
            </w:r>
          </w:p>
        </w:tc>
      </w:tr>
      <w:tr w:rsidR="00E52278">
        <w:tc>
          <w:tcPr>
            <w:tcW w:w="924"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16</w:t>
            </w:r>
          </w:p>
        </w:tc>
        <w:tc>
          <w:tcPr>
            <w:tcW w:w="4117"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额河监管局</w:t>
            </w:r>
          </w:p>
        </w:tc>
        <w:tc>
          <w:tcPr>
            <w:tcW w:w="3481"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25</w:t>
            </w:r>
          </w:p>
        </w:tc>
      </w:tr>
      <w:tr w:rsidR="00E52278">
        <w:tc>
          <w:tcPr>
            <w:tcW w:w="924"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17</w:t>
            </w:r>
          </w:p>
        </w:tc>
        <w:tc>
          <w:tcPr>
            <w:tcW w:w="4117"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伊河监管局</w:t>
            </w:r>
          </w:p>
        </w:tc>
        <w:tc>
          <w:tcPr>
            <w:tcW w:w="3481"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25</w:t>
            </w:r>
          </w:p>
        </w:tc>
      </w:tr>
      <w:tr w:rsidR="00E52278">
        <w:tc>
          <w:tcPr>
            <w:tcW w:w="924"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18</w:t>
            </w:r>
          </w:p>
        </w:tc>
        <w:tc>
          <w:tcPr>
            <w:tcW w:w="4117"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自治区水产科研所</w:t>
            </w:r>
          </w:p>
        </w:tc>
        <w:tc>
          <w:tcPr>
            <w:tcW w:w="3481"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170.1</w:t>
            </w:r>
          </w:p>
        </w:tc>
      </w:tr>
      <w:tr w:rsidR="00E52278">
        <w:tc>
          <w:tcPr>
            <w:tcW w:w="924"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19</w:t>
            </w:r>
          </w:p>
        </w:tc>
        <w:tc>
          <w:tcPr>
            <w:tcW w:w="4117"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自治区渔政管理总站</w:t>
            </w:r>
          </w:p>
        </w:tc>
        <w:tc>
          <w:tcPr>
            <w:tcW w:w="3481"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50</w:t>
            </w:r>
          </w:p>
        </w:tc>
      </w:tr>
      <w:tr w:rsidR="00E52278">
        <w:tc>
          <w:tcPr>
            <w:tcW w:w="924"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20</w:t>
            </w:r>
          </w:p>
        </w:tc>
        <w:tc>
          <w:tcPr>
            <w:tcW w:w="4117"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克孜尔水库管理局</w:t>
            </w:r>
          </w:p>
        </w:tc>
        <w:tc>
          <w:tcPr>
            <w:tcW w:w="3481"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20</w:t>
            </w:r>
          </w:p>
        </w:tc>
      </w:tr>
      <w:tr w:rsidR="00E52278">
        <w:tc>
          <w:tcPr>
            <w:tcW w:w="5041" w:type="dxa"/>
            <w:gridSpan w:val="2"/>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
                <w:sz w:val="20"/>
                <w:szCs w:val="20"/>
              </w:rPr>
              <w:t>合计</w:t>
            </w:r>
          </w:p>
        </w:tc>
        <w:tc>
          <w:tcPr>
            <w:tcW w:w="3481" w:type="dxa"/>
          </w:tcPr>
          <w:p w:rsidR="00E52278" w:rsidRDefault="00D701C6">
            <w:pPr>
              <w:pStyle w:val="Style1"/>
              <w:jc w:val="center"/>
              <w:rPr>
                <w:rFonts w:asciiTheme="minorEastAsia" w:hAnsiTheme="minorEastAsia" w:cstheme="minorEastAsia"/>
                <w:b/>
                <w:sz w:val="20"/>
                <w:szCs w:val="20"/>
              </w:rPr>
            </w:pPr>
            <w:r>
              <w:rPr>
                <w:rFonts w:asciiTheme="minorEastAsia" w:hAnsiTheme="minorEastAsia" w:cstheme="minorEastAsia" w:hint="eastAsia"/>
                <w:b/>
                <w:sz w:val="20"/>
                <w:szCs w:val="20"/>
              </w:rPr>
              <w:t>257301</w:t>
            </w:r>
          </w:p>
        </w:tc>
      </w:tr>
    </w:tbl>
    <w:p w:rsidR="00E52278" w:rsidRDefault="00E52278">
      <w:pPr>
        <w:widowControl/>
        <w:adjustRightInd w:val="0"/>
        <w:snapToGrid w:val="0"/>
        <w:spacing w:line="600" w:lineRule="exact"/>
        <w:ind w:firstLineChars="200" w:firstLine="600"/>
        <w:rPr>
          <w:rFonts w:ascii="仿宋_GB2312" w:hAnsi="宋体" w:cs="Arial"/>
          <w:bCs/>
          <w:szCs w:val="30"/>
        </w:rPr>
      </w:pPr>
    </w:p>
    <w:p w:rsidR="00E52278" w:rsidRDefault="00D701C6">
      <w:pPr>
        <w:widowControl/>
        <w:adjustRightInd w:val="0"/>
        <w:snapToGrid w:val="0"/>
        <w:spacing w:line="600" w:lineRule="exact"/>
        <w:ind w:firstLineChars="200" w:firstLine="600"/>
        <w:rPr>
          <w:rFonts w:ascii="仿宋_GB2312" w:hAnsi="宋体" w:cs="Arial"/>
          <w:bCs/>
          <w:szCs w:val="30"/>
        </w:rPr>
      </w:pPr>
      <w:r>
        <w:rPr>
          <w:rFonts w:ascii="仿宋_GB2312" w:hint="eastAsia"/>
          <w:szCs w:val="32"/>
        </w:rPr>
        <w:lastRenderedPageBreak/>
        <w:t>随文下达的区域绩效目标表如下：</w:t>
      </w:r>
    </w:p>
    <w:p w:rsidR="00E52278" w:rsidRDefault="00E52278">
      <w:pPr>
        <w:pStyle w:val="Style1"/>
        <w:rPr>
          <w:rFonts w:ascii="仿宋" w:eastAsia="仿宋" w:hAnsi="仿宋" w:cs="仿宋"/>
          <w:b/>
          <w:sz w:val="24"/>
          <w:szCs w:val="24"/>
        </w:rPr>
      </w:pPr>
    </w:p>
    <w:p w:rsidR="00E52278" w:rsidRDefault="00D701C6">
      <w:pPr>
        <w:pStyle w:val="Style1"/>
        <w:jc w:val="center"/>
        <w:rPr>
          <w:rFonts w:ascii="仿宋" w:eastAsia="仿宋" w:hAnsi="仿宋" w:cs="仿宋"/>
          <w:b/>
          <w:sz w:val="24"/>
          <w:szCs w:val="24"/>
        </w:rPr>
      </w:pPr>
      <w:r>
        <w:rPr>
          <w:rFonts w:ascii="仿宋" w:eastAsia="仿宋" w:hAnsi="仿宋" w:cs="仿宋" w:hint="eastAsia"/>
          <w:b/>
          <w:sz w:val="24"/>
          <w:szCs w:val="24"/>
        </w:rPr>
        <w:t>2019中央财政部分农业资源及生态保护补助资金区域绩效目标表</w:t>
      </w:r>
    </w:p>
    <w:p w:rsidR="00E52278" w:rsidRDefault="00E52278">
      <w:pPr>
        <w:pStyle w:val="Style1"/>
        <w:jc w:val="center"/>
        <w:rPr>
          <w:rFonts w:ascii="仿宋" w:eastAsia="仿宋" w:hAnsi="仿宋" w:cs="仿宋"/>
          <w:b/>
          <w:sz w:val="24"/>
          <w:szCs w:val="24"/>
        </w:rPr>
      </w:pPr>
    </w:p>
    <w:tbl>
      <w:tblPr>
        <w:tblStyle w:val="ab"/>
        <w:tblW w:w="8044" w:type="dxa"/>
        <w:tblInd w:w="174" w:type="dxa"/>
        <w:tblLayout w:type="fixed"/>
        <w:tblLook w:val="04A0"/>
      </w:tblPr>
      <w:tblGrid>
        <w:gridCol w:w="1245"/>
        <w:gridCol w:w="1102"/>
        <w:gridCol w:w="1320"/>
        <w:gridCol w:w="3107"/>
        <w:gridCol w:w="1270"/>
      </w:tblGrid>
      <w:tr w:rsidR="00E52278">
        <w:tc>
          <w:tcPr>
            <w:tcW w:w="1245" w:type="dxa"/>
          </w:tcPr>
          <w:p w:rsidR="00E52278" w:rsidRDefault="00E52278">
            <w:pPr>
              <w:pStyle w:val="Style1"/>
              <w:jc w:val="center"/>
              <w:rPr>
                <w:rFonts w:asciiTheme="minorEastAsia" w:hAnsiTheme="minorEastAsia" w:cstheme="minorEastAsia"/>
                <w:bCs/>
                <w:sz w:val="20"/>
                <w:szCs w:val="20"/>
              </w:rPr>
            </w:pPr>
          </w:p>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年度目标</w:t>
            </w:r>
          </w:p>
        </w:tc>
        <w:tc>
          <w:tcPr>
            <w:tcW w:w="6799" w:type="dxa"/>
            <w:gridSpan w:val="4"/>
          </w:tcPr>
          <w:p w:rsidR="00E52278" w:rsidRDefault="00D701C6">
            <w:pPr>
              <w:pStyle w:val="Style1"/>
              <w:jc w:val="left"/>
              <w:rPr>
                <w:rFonts w:asciiTheme="minorEastAsia" w:hAnsiTheme="minorEastAsia" w:cstheme="minorEastAsia"/>
                <w:bCs/>
                <w:sz w:val="20"/>
                <w:szCs w:val="20"/>
              </w:rPr>
            </w:pPr>
            <w:r>
              <w:rPr>
                <w:rFonts w:asciiTheme="minorEastAsia" w:hAnsiTheme="minorEastAsia" w:cstheme="minorEastAsia" w:hint="eastAsia"/>
                <w:bCs/>
                <w:sz w:val="20"/>
                <w:szCs w:val="20"/>
              </w:rPr>
              <w:t>目标1:提高耕地质量，减少化肥用量</w:t>
            </w:r>
          </w:p>
          <w:p w:rsidR="00E52278" w:rsidRDefault="00D701C6">
            <w:pPr>
              <w:pStyle w:val="Style1"/>
              <w:jc w:val="left"/>
              <w:rPr>
                <w:rFonts w:asciiTheme="minorEastAsia" w:hAnsiTheme="minorEastAsia" w:cstheme="minorEastAsia"/>
                <w:bCs/>
                <w:sz w:val="20"/>
                <w:szCs w:val="20"/>
              </w:rPr>
            </w:pPr>
            <w:r>
              <w:rPr>
                <w:rFonts w:asciiTheme="minorEastAsia" w:hAnsiTheme="minorEastAsia" w:cstheme="minorEastAsia" w:hint="eastAsia"/>
                <w:bCs/>
                <w:sz w:val="20"/>
                <w:szCs w:val="20"/>
              </w:rPr>
              <w:t>目标2：探索农作物还田利有效模式，提高农作物秸秆利用率</w:t>
            </w:r>
          </w:p>
          <w:p w:rsidR="00E52278" w:rsidRDefault="00D701C6">
            <w:pPr>
              <w:pStyle w:val="Style1"/>
              <w:jc w:val="left"/>
              <w:rPr>
                <w:rFonts w:asciiTheme="minorEastAsia" w:hAnsiTheme="minorEastAsia" w:cstheme="minorEastAsia"/>
                <w:bCs/>
                <w:sz w:val="20"/>
                <w:szCs w:val="20"/>
              </w:rPr>
            </w:pPr>
            <w:r>
              <w:rPr>
                <w:rFonts w:asciiTheme="minorEastAsia" w:hAnsiTheme="minorEastAsia" w:cstheme="minorEastAsia" w:hint="eastAsia"/>
                <w:bCs/>
                <w:sz w:val="20"/>
                <w:szCs w:val="20"/>
              </w:rPr>
              <w:t>目标3:水域生态环境得到改善，渔业种群资源得到恢复</w:t>
            </w:r>
          </w:p>
        </w:tc>
      </w:tr>
      <w:tr w:rsidR="00E52278">
        <w:tc>
          <w:tcPr>
            <w:tcW w:w="1245" w:type="dxa"/>
            <w:vMerge w:val="restart"/>
          </w:tcPr>
          <w:p w:rsidR="00E52278" w:rsidRDefault="00E52278">
            <w:pPr>
              <w:pStyle w:val="Style1"/>
              <w:jc w:val="center"/>
              <w:rPr>
                <w:rFonts w:asciiTheme="minorEastAsia" w:hAnsiTheme="minorEastAsia" w:cstheme="minorEastAsia"/>
                <w:bCs/>
                <w:sz w:val="20"/>
                <w:szCs w:val="20"/>
              </w:rPr>
            </w:pPr>
          </w:p>
          <w:p w:rsidR="00E52278" w:rsidRDefault="00E52278">
            <w:pPr>
              <w:pStyle w:val="Style1"/>
              <w:jc w:val="center"/>
              <w:rPr>
                <w:rFonts w:asciiTheme="minorEastAsia" w:hAnsiTheme="minorEastAsia" w:cstheme="minorEastAsia"/>
                <w:bCs/>
                <w:sz w:val="20"/>
                <w:szCs w:val="20"/>
              </w:rPr>
            </w:pPr>
          </w:p>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绩效指标</w:t>
            </w:r>
          </w:p>
        </w:tc>
        <w:tc>
          <w:tcPr>
            <w:tcW w:w="1102"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一级指标</w:t>
            </w:r>
          </w:p>
        </w:tc>
        <w:tc>
          <w:tcPr>
            <w:tcW w:w="1320"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二级指标</w:t>
            </w:r>
          </w:p>
        </w:tc>
        <w:tc>
          <w:tcPr>
            <w:tcW w:w="3107"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三级指标</w:t>
            </w:r>
          </w:p>
        </w:tc>
        <w:tc>
          <w:tcPr>
            <w:tcW w:w="1270"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指标值</w:t>
            </w:r>
          </w:p>
        </w:tc>
      </w:tr>
      <w:tr w:rsidR="00E52278">
        <w:tc>
          <w:tcPr>
            <w:tcW w:w="1245" w:type="dxa"/>
            <w:vMerge/>
          </w:tcPr>
          <w:p w:rsidR="00E52278" w:rsidRDefault="00E52278">
            <w:pPr>
              <w:pStyle w:val="Style1"/>
              <w:jc w:val="center"/>
              <w:rPr>
                <w:rFonts w:asciiTheme="minorEastAsia" w:hAnsiTheme="minorEastAsia" w:cstheme="minorEastAsia"/>
                <w:bCs/>
                <w:sz w:val="20"/>
                <w:szCs w:val="20"/>
              </w:rPr>
            </w:pPr>
          </w:p>
        </w:tc>
        <w:tc>
          <w:tcPr>
            <w:tcW w:w="1102" w:type="dxa"/>
            <w:vMerge w:val="restart"/>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产出指标</w:t>
            </w:r>
          </w:p>
        </w:tc>
        <w:tc>
          <w:tcPr>
            <w:tcW w:w="1320" w:type="dxa"/>
            <w:vMerge w:val="restart"/>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数量指标</w:t>
            </w:r>
          </w:p>
        </w:tc>
        <w:tc>
          <w:tcPr>
            <w:tcW w:w="3107" w:type="dxa"/>
          </w:tcPr>
          <w:p w:rsidR="00E52278" w:rsidRDefault="00D701C6">
            <w:pPr>
              <w:pStyle w:val="Style1"/>
              <w:jc w:val="left"/>
              <w:rPr>
                <w:rFonts w:asciiTheme="minorEastAsia" w:hAnsiTheme="minorEastAsia" w:cstheme="minorEastAsia"/>
                <w:bCs/>
                <w:sz w:val="20"/>
                <w:szCs w:val="20"/>
              </w:rPr>
            </w:pPr>
            <w:r>
              <w:rPr>
                <w:rFonts w:asciiTheme="minorEastAsia" w:hAnsiTheme="minorEastAsia" w:cstheme="minorEastAsia" w:hint="eastAsia"/>
                <w:bCs/>
                <w:sz w:val="20"/>
                <w:szCs w:val="20"/>
              </w:rPr>
              <w:t>指标1：耕地质量提升与化肥减量增效示范县数量（个）</w:t>
            </w:r>
          </w:p>
        </w:tc>
        <w:tc>
          <w:tcPr>
            <w:tcW w:w="1270" w:type="dxa"/>
          </w:tcPr>
          <w:p w:rsidR="00E52278" w:rsidRDefault="00E52278">
            <w:pPr>
              <w:pStyle w:val="Style1"/>
              <w:jc w:val="center"/>
              <w:rPr>
                <w:rFonts w:asciiTheme="minorEastAsia" w:hAnsiTheme="minorEastAsia" w:cstheme="minorEastAsia"/>
                <w:bCs/>
                <w:sz w:val="20"/>
                <w:szCs w:val="20"/>
              </w:rPr>
            </w:pPr>
          </w:p>
        </w:tc>
      </w:tr>
      <w:tr w:rsidR="00E52278">
        <w:tc>
          <w:tcPr>
            <w:tcW w:w="1245" w:type="dxa"/>
            <w:vMerge/>
          </w:tcPr>
          <w:p w:rsidR="00E52278" w:rsidRDefault="00E52278">
            <w:pPr>
              <w:pStyle w:val="Style1"/>
              <w:jc w:val="center"/>
              <w:rPr>
                <w:rFonts w:asciiTheme="minorEastAsia" w:hAnsiTheme="minorEastAsia" w:cstheme="minorEastAsia"/>
                <w:bCs/>
                <w:sz w:val="20"/>
                <w:szCs w:val="20"/>
              </w:rPr>
            </w:pPr>
          </w:p>
        </w:tc>
        <w:tc>
          <w:tcPr>
            <w:tcW w:w="1102" w:type="dxa"/>
            <w:vMerge/>
          </w:tcPr>
          <w:p w:rsidR="00E52278" w:rsidRDefault="00E52278">
            <w:pPr>
              <w:pStyle w:val="Style1"/>
              <w:jc w:val="center"/>
              <w:rPr>
                <w:rFonts w:asciiTheme="minorEastAsia" w:hAnsiTheme="minorEastAsia" w:cstheme="minorEastAsia"/>
                <w:bCs/>
                <w:sz w:val="20"/>
                <w:szCs w:val="20"/>
              </w:rPr>
            </w:pPr>
          </w:p>
        </w:tc>
        <w:tc>
          <w:tcPr>
            <w:tcW w:w="1320" w:type="dxa"/>
            <w:vMerge/>
          </w:tcPr>
          <w:p w:rsidR="00E52278" w:rsidRDefault="00E52278">
            <w:pPr>
              <w:pStyle w:val="Style1"/>
              <w:jc w:val="center"/>
              <w:rPr>
                <w:rFonts w:asciiTheme="minorEastAsia" w:hAnsiTheme="minorEastAsia" w:cstheme="minorEastAsia"/>
                <w:bCs/>
                <w:sz w:val="20"/>
                <w:szCs w:val="20"/>
              </w:rPr>
            </w:pPr>
          </w:p>
        </w:tc>
        <w:tc>
          <w:tcPr>
            <w:tcW w:w="3107" w:type="dxa"/>
          </w:tcPr>
          <w:p w:rsidR="00E52278" w:rsidRDefault="00D701C6">
            <w:pPr>
              <w:pStyle w:val="Style1"/>
              <w:jc w:val="left"/>
              <w:rPr>
                <w:rFonts w:asciiTheme="minorEastAsia" w:hAnsiTheme="minorEastAsia" w:cstheme="minorEastAsia"/>
                <w:bCs/>
                <w:sz w:val="20"/>
                <w:szCs w:val="20"/>
              </w:rPr>
            </w:pPr>
            <w:r>
              <w:rPr>
                <w:rFonts w:asciiTheme="minorEastAsia" w:hAnsiTheme="minorEastAsia" w:cstheme="minorEastAsia" w:hint="eastAsia"/>
                <w:bCs/>
                <w:sz w:val="20"/>
                <w:szCs w:val="20"/>
              </w:rPr>
              <w:t>指标2：取土化验数量（个）</w:t>
            </w:r>
          </w:p>
        </w:tc>
        <w:tc>
          <w:tcPr>
            <w:tcW w:w="1270" w:type="dxa"/>
          </w:tcPr>
          <w:p w:rsidR="00E52278" w:rsidRDefault="00E52278">
            <w:pPr>
              <w:pStyle w:val="Style1"/>
              <w:jc w:val="center"/>
              <w:rPr>
                <w:rFonts w:asciiTheme="minorEastAsia" w:hAnsiTheme="minorEastAsia" w:cstheme="minorEastAsia"/>
                <w:bCs/>
                <w:sz w:val="20"/>
                <w:szCs w:val="20"/>
              </w:rPr>
            </w:pPr>
          </w:p>
        </w:tc>
      </w:tr>
      <w:tr w:rsidR="00E52278">
        <w:tc>
          <w:tcPr>
            <w:tcW w:w="1245" w:type="dxa"/>
            <w:vMerge/>
          </w:tcPr>
          <w:p w:rsidR="00E52278" w:rsidRDefault="00E52278">
            <w:pPr>
              <w:pStyle w:val="Style1"/>
              <w:jc w:val="center"/>
              <w:rPr>
                <w:rFonts w:asciiTheme="minorEastAsia" w:hAnsiTheme="minorEastAsia" w:cstheme="minorEastAsia"/>
                <w:bCs/>
                <w:sz w:val="20"/>
                <w:szCs w:val="20"/>
              </w:rPr>
            </w:pPr>
          </w:p>
        </w:tc>
        <w:tc>
          <w:tcPr>
            <w:tcW w:w="1102" w:type="dxa"/>
            <w:vMerge/>
          </w:tcPr>
          <w:p w:rsidR="00E52278" w:rsidRDefault="00E52278">
            <w:pPr>
              <w:pStyle w:val="Style1"/>
              <w:jc w:val="center"/>
              <w:rPr>
                <w:rFonts w:asciiTheme="minorEastAsia" w:hAnsiTheme="minorEastAsia" w:cstheme="minorEastAsia"/>
                <w:bCs/>
                <w:sz w:val="20"/>
                <w:szCs w:val="20"/>
              </w:rPr>
            </w:pPr>
          </w:p>
        </w:tc>
        <w:tc>
          <w:tcPr>
            <w:tcW w:w="1320" w:type="dxa"/>
            <w:vMerge/>
          </w:tcPr>
          <w:p w:rsidR="00E52278" w:rsidRDefault="00E52278">
            <w:pPr>
              <w:pStyle w:val="Style1"/>
              <w:jc w:val="center"/>
              <w:rPr>
                <w:rFonts w:asciiTheme="minorEastAsia" w:hAnsiTheme="minorEastAsia" w:cstheme="minorEastAsia"/>
                <w:bCs/>
                <w:sz w:val="20"/>
                <w:szCs w:val="20"/>
              </w:rPr>
            </w:pPr>
          </w:p>
        </w:tc>
        <w:tc>
          <w:tcPr>
            <w:tcW w:w="3107" w:type="dxa"/>
          </w:tcPr>
          <w:p w:rsidR="00E52278" w:rsidRDefault="00D701C6">
            <w:pPr>
              <w:pStyle w:val="Style1"/>
              <w:jc w:val="left"/>
              <w:rPr>
                <w:rFonts w:asciiTheme="minorEastAsia" w:hAnsiTheme="minorEastAsia" w:cstheme="minorEastAsia"/>
                <w:bCs/>
                <w:sz w:val="20"/>
                <w:szCs w:val="20"/>
              </w:rPr>
            </w:pPr>
            <w:r>
              <w:rPr>
                <w:rFonts w:asciiTheme="minorEastAsia" w:hAnsiTheme="minorEastAsia" w:cstheme="minorEastAsia" w:hint="eastAsia"/>
                <w:bCs/>
                <w:sz w:val="20"/>
                <w:szCs w:val="20"/>
              </w:rPr>
              <w:t>指标3：田间肥效示范数量（个）</w:t>
            </w:r>
          </w:p>
        </w:tc>
        <w:tc>
          <w:tcPr>
            <w:tcW w:w="1270" w:type="dxa"/>
          </w:tcPr>
          <w:p w:rsidR="00E52278" w:rsidRDefault="00E52278">
            <w:pPr>
              <w:pStyle w:val="Style1"/>
              <w:jc w:val="center"/>
              <w:rPr>
                <w:rFonts w:asciiTheme="minorEastAsia" w:hAnsiTheme="minorEastAsia" w:cstheme="minorEastAsia"/>
                <w:bCs/>
                <w:sz w:val="20"/>
                <w:szCs w:val="20"/>
              </w:rPr>
            </w:pPr>
          </w:p>
        </w:tc>
      </w:tr>
      <w:tr w:rsidR="00E52278">
        <w:tc>
          <w:tcPr>
            <w:tcW w:w="1245" w:type="dxa"/>
            <w:vMerge/>
          </w:tcPr>
          <w:p w:rsidR="00E52278" w:rsidRDefault="00E52278">
            <w:pPr>
              <w:pStyle w:val="Style1"/>
              <w:jc w:val="center"/>
              <w:rPr>
                <w:rFonts w:asciiTheme="minorEastAsia" w:hAnsiTheme="minorEastAsia" w:cstheme="minorEastAsia"/>
                <w:bCs/>
                <w:sz w:val="20"/>
                <w:szCs w:val="20"/>
              </w:rPr>
            </w:pPr>
          </w:p>
        </w:tc>
        <w:tc>
          <w:tcPr>
            <w:tcW w:w="1102" w:type="dxa"/>
            <w:vMerge/>
          </w:tcPr>
          <w:p w:rsidR="00E52278" w:rsidRDefault="00E52278">
            <w:pPr>
              <w:pStyle w:val="Style1"/>
              <w:jc w:val="center"/>
              <w:rPr>
                <w:rFonts w:asciiTheme="minorEastAsia" w:hAnsiTheme="minorEastAsia" w:cstheme="minorEastAsia"/>
                <w:bCs/>
                <w:sz w:val="20"/>
                <w:szCs w:val="20"/>
              </w:rPr>
            </w:pPr>
          </w:p>
        </w:tc>
        <w:tc>
          <w:tcPr>
            <w:tcW w:w="1320" w:type="dxa"/>
            <w:vMerge/>
          </w:tcPr>
          <w:p w:rsidR="00E52278" w:rsidRDefault="00E52278">
            <w:pPr>
              <w:pStyle w:val="Style1"/>
              <w:jc w:val="center"/>
              <w:rPr>
                <w:rFonts w:asciiTheme="minorEastAsia" w:hAnsiTheme="minorEastAsia" w:cstheme="minorEastAsia"/>
                <w:bCs/>
                <w:sz w:val="20"/>
                <w:szCs w:val="20"/>
              </w:rPr>
            </w:pPr>
          </w:p>
        </w:tc>
        <w:tc>
          <w:tcPr>
            <w:tcW w:w="3107" w:type="dxa"/>
          </w:tcPr>
          <w:p w:rsidR="00E52278" w:rsidRDefault="00D701C6">
            <w:pPr>
              <w:pStyle w:val="Style1"/>
              <w:jc w:val="left"/>
              <w:rPr>
                <w:rFonts w:asciiTheme="minorEastAsia" w:hAnsiTheme="minorEastAsia" w:cstheme="minorEastAsia"/>
                <w:bCs/>
                <w:sz w:val="20"/>
                <w:szCs w:val="20"/>
              </w:rPr>
            </w:pPr>
            <w:r>
              <w:rPr>
                <w:rFonts w:asciiTheme="minorEastAsia" w:hAnsiTheme="minorEastAsia" w:cstheme="minorEastAsia" w:hint="eastAsia"/>
                <w:bCs/>
                <w:sz w:val="20"/>
                <w:szCs w:val="20"/>
              </w:rPr>
              <w:t>指标4：退化耕地治理面积（万亩）</w:t>
            </w:r>
          </w:p>
        </w:tc>
        <w:tc>
          <w:tcPr>
            <w:tcW w:w="1270" w:type="dxa"/>
          </w:tcPr>
          <w:p w:rsidR="00E52278" w:rsidRDefault="00E52278">
            <w:pPr>
              <w:pStyle w:val="Style1"/>
              <w:jc w:val="center"/>
              <w:rPr>
                <w:rFonts w:asciiTheme="minorEastAsia" w:hAnsiTheme="minorEastAsia" w:cstheme="minorEastAsia"/>
                <w:bCs/>
                <w:sz w:val="20"/>
                <w:szCs w:val="20"/>
              </w:rPr>
            </w:pPr>
          </w:p>
        </w:tc>
      </w:tr>
      <w:tr w:rsidR="00E52278">
        <w:tc>
          <w:tcPr>
            <w:tcW w:w="1245" w:type="dxa"/>
            <w:vMerge/>
          </w:tcPr>
          <w:p w:rsidR="00E52278" w:rsidRDefault="00E52278">
            <w:pPr>
              <w:pStyle w:val="Style1"/>
              <w:jc w:val="center"/>
              <w:rPr>
                <w:rFonts w:asciiTheme="minorEastAsia" w:hAnsiTheme="minorEastAsia" w:cstheme="minorEastAsia"/>
                <w:bCs/>
                <w:sz w:val="20"/>
                <w:szCs w:val="20"/>
              </w:rPr>
            </w:pPr>
          </w:p>
        </w:tc>
        <w:tc>
          <w:tcPr>
            <w:tcW w:w="1102" w:type="dxa"/>
            <w:vMerge/>
          </w:tcPr>
          <w:p w:rsidR="00E52278" w:rsidRDefault="00E52278">
            <w:pPr>
              <w:pStyle w:val="Style1"/>
              <w:jc w:val="center"/>
              <w:rPr>
                <w:rFonts w:asciiTheme="minorEastAsia" w:hAnsiTheme="minorEastAsia" w:cstheme="minorEastAsia"/>
                <w:bCs/>
                <w:sz w:val="20"/>
                <w:szCs w:val="20"/>
              </w:rPr>
            </w:pPr>
          </w:p>
        </w:tc>
        <w:tc>
          <w:tcPr>
            <w:tcW w:w="1320" w:type="dxa"/>
            <w:vMerge/>
          </w:tcPr>
          <w:p w:rsidR="00E52278" w:rsidRDefault="00E52278">
            <w:pPr>
              <w:pStyle w:val="Style1"/>
              <w:jc w:val="center"/>
              <w:rPr>
                <w:rFonts w:asciiTheme="minorEastAsia" w:hAnsiTheme="minorEastAsia" w:cstheme="minorEastAsia"/>
                <w:bCs/>
                <w:sz w:val="20"/>
                <w:szCs w:val="20"/>
              </w:rPr>
            </w:pPr>
          </w:p>
        </w:tc>
        <w:tc>
          <w:tcPr>
            <w:tcW w:w="3107" w:type="dxa"/>
          </w:tcPr>
          <w:p w:rsidR="00E52278" w:rsidRDefault="00D701C6">
            <w:pPr>
              <w:pStyle w:val="Style1"/>
              <w:jc w:val="left"/>
              <w:rPr>
                <w:rFonts w:asciiTheme="minorEastAsia" w:hAnsiTheme="minorEastAsia" w:cstheme="minorEastAsia"/>
                <w:bCs/>
                <w:sz w:val="20"/>
                <w:szCs w:val="20"/>
              </w:rPr>
            </w:pPr>
            <w:r>
              <w:rPr>
                <w:rFonts w:asciiTheme="minorEastAsia" w:hAnsiTheme="minorEastAsia" w:cstheme="minorEastAsia" w:hint="eastAsia"/>
                <w:bCs/>
                <w:sz w:val="20"/>
                <w:szCs w:val="20"/>
              </w:rPr>
              <w:t>指标5：黑土地保护利用面面积（万亩）</w:t>
            </w:r>
          </w:p>
        </w:tc>
        <w:tc>
          <w:tcPr>
            <w:tcW w:w="1270" w:type="dxa"/>
          </w:tcPr>
          <w:p w:rsidR="00E52278" w:rsidRDefault="00E52278">
            <w:pPr>
              <w:pStyle w:val="Style1"/>
              <w:jc w:val="center"/>
              <w:rPr>
                <w:rFonts w:asciiTheme="minorEastAsia" w:hAnsiTheme="minorEastAsia" w:cstheme="minorEastAsia"/>
                <w:bCs/>
                <w:sz w:val="20"/>
                <w:szCs w:val="20"/>
              </w:rPr>
            </w:pPr>
          </w:p>
        </w:tc>
      </w:tr>
      <w:tr w:rsidR="00E52278">
        <w:tc>
          <w:tcPr>
            <w:tcW w:w="1245" w:type="dxa"/>
            <w:vMerge/>
          </w:tcPr>
          <w:p w:rsidR="00E52278" w:rsidRDefault="00E52278">
            <w:pPr>
              <w:pStyle w:val="Style1"/>
              <w:jc w:val="center"/>
              <w:rPr>
                <w:rFonts w:asciiTheme="minorEastAsia" w:hAnsiTheme="minorEastAsia" w:cstheme="minorEastAsia"/>
                <w:bCs/>
                <w:sz w:val="20"/>
                <w:szCs w:val="20"/>
              </w:rPr>
            </w:pPr>
          </w:p>
        </w:tc>
        <w:tc>
          <w:tcPr>
            <w:tcW w:w="1102" w:type="dxa"/>
            <w:vMerge/>
          </w:tcPr>
          <w:p w:rsidR="00E52278" w:rsidRDefault="00E52278">
            <w:pPr>
              <w:pStyle w:val="Style1"/>
              <w:jc w:val="center"/>
              <w:rPr>
                <w:rFonts w:asciiTheme="minorEastAsia" w:hAnsiTheme="minorEastAsia" w:cstheme="minorEastAsia"/>
                <w:bCs/>
                <w:sz w:val="20"/>
                <w:szCs w:val="20"/>
              </w:rPr>
            </w:pPr>
          </w:p>
        </w:tc>
        <w:tc>
          <w:tcPr>
            <w:tcW w:w="1320" w:type="dxa"/>
            <w:vMerge/>
          </w:tcPr>
          <w:p w:rsidR="00E52278" w:rsidRDefault="00E52278">
            <w:pPr>
              <w:pStyle w:val="Style1"/>
              <w:jc w:val="center"/>
              <w:rPr>
                <w:rFonts w:asciiTheme="minorEastAsia" w:hAnsiTheme="minorEastAsia" w:cstheme="minorEastAsia"/>
                <w:bCs/>
                <w:sz w:val="20"/>
                <w:szCs w:val="20"/>
              </w:rPr>
            </w:pPr>
          </w:p>
        </w:tc>
        <w:tc>
          <w:tcPr>
            <w:tcW w:w="3107" w:type="dxa"/>
          </w:tcPr>
          <w:p w:rsidR="00E52278" w:rsidRDefault="00D701C6">
            <w:pPr>
              <w:pStyle w:val="Style1"/>
              <w:jc w:val="left"/>
              <w:rPr>
                <w:rFonts w:asciiTheme="minorEastAsia" w:hAnsiTheme="minorEastAsia" w:cstheme="minorEastAsia"/>
                <w:bCs/>
                <w:sz w:val="20"/>
                <w:szCs w:val="20"/>
              </w:rPr>
            </w:pPr>
            <w:r>
              <w:rPr>
                <w:rFonts w:asciiTheme="minorEastAsia" w:hAnsiTheme="minorEastAsia" w:cstheme="minorEastAsia" w:hint="eastAsia"/>
                <w:bCs/>
                <w:sz w:val="20"/>
                <w:szCs w:val="20"/>
              </w:rPr>
              <w:t>指标6：黑土地保护利用整县推进数量（个）</w:t>
            </w:r>
          </w:p>
        </w:tc>
        <w:tc>
          <w:tcPr>
            <w:tcW w:w="1270" w:type="dxa"/>
          </w:tcPr>
          <w:p w:rsidR="00E52278" w:rsidRDefault="00E52278">
            <w:pPr>
              <w:pStyle w:val="Style1"/>
              <w:jc w:val="center"/>
              <w:rPr>
                <w:rFonts w:asciiTheme="minorEastAsia" w:hAnsiTheme="minorEastAsia" w:cstheme="minorEastAsia"/>
                <w:bCs/>
                <w:sz w:val="20"/>
                <w:szCs w:val="20"/>
              </w:rPr>
            </w:pPr>
          </w:p>
        </w:tc>
      </w:tr>
      <w:tr w:rsidR="00E52278">
        <w:tc>
          <w:tcPr>
            <w:tcW w:w="1245" w:type="dxa"/>
            <w:vMerge/>
          </w:tcPr>
          <w:p w:rsidR="00E52278" w:rsidRDefault="00E52278">
            <w:pPr>
              <w:pStyle w:val="Style1"/>
              <w:jc w:val="center"/>
              <w:rPr>
                <w:rFonts w:asciiTheme="minorEastAsia" w:hAnsiTheme="minorEastAsia" w:cstheme="minorEastAsia"/>
                <w:bCs/>
                <w:sz w:val="20"/>
                <w:szCs w:val="20"/>
              </w:rPr>
            </w:pPr>
          </w:p>
        </w:tc>
        <w:tc>
          <w:tcPr>
            <w:tcW w:w="1102" w:type="dxa"/>
            <w:vMerge/>
          </w:tcPr>
          <w:p w:rsidR="00E52278" w:rsidRDefault="00E52278">
            <w:pPr>
              <w:pStyle w:val="Style1"/>
              <w:jc w:val="center"/>
              <w:rPr>
                <w:rFonts w:asciiTheme="minorEastAsia" w:hAnsiTheme="minorEastAsia" w:cstheme="minorEastAsia"/>
                <w:bCs/>
                <w:sz w:val="20"/>
                <w:szCs w:val="20"/>
              </w:rPr>
            </w:pPr>
          </w:p>
        </w:tc>
        <w:tc>
          <w:tcPr>
            <w:tcW w:w="1320" w:type="dxa"/>
            <w:vMerge/>
          </w:tcPr>
          <w:p w:rsidR="00E52278" w:rsidRDefault="00E52278">
            <w:pPr>
              <w:pStyle w:val="Style1"/>
              <w:jc w:val="center"/>
              <w:rPr>
                <w:rFonts w:asciiTheme="minorEastAsia" w:hAnsiTheme="minorEastAsia" w:cstheme="minorEastAsia"/>
                <w:bCs/>
                <w:sz w:val="20"/>
                <w:szCs w:val="20"/>
              </w:rPr>
            </w:pPr>
          </w:p>
        </w:tc>
        <w:tc>
          <w:tcPr>
            <w:tcW w:w="3107" w:type="dxa"/>
          </w:tcPr>
          <w:p w:rsidR="00E52278" w:rsidRDefault="00D701C6">
            <w:pPr>
              <w:pStyle w:val="Style1"/>
              <w:jc w:val="left"/>
              <w:rPr>
                <w:rFonts w:asciiTheme="minorEastAsia" w:hAnsiTheme="minorEastAsia" w:cstheme="minorEastAsia"/>
                <w:bCs/>
                <w:sz w:val="20"/>
                <w:szCs w:val="20"/>
              </w:rPr>
            </w:pPr>
            <w:r>
              <w:rPr>
                <w:rFonts w:asciiTheme="minorEastAsia" w:hAnsiTheme="minorEastAsia" w:cstheme="minorEastAsia" w:hint="eastAsia"/>
                <w:bCs/>
                <w:sz w:val="20"/>
                <w:szCs w:val="20"/>
              </w:rPr>
              <w:t>指标7：省级以上增殖放流活动（省级以上渔业主管部门作为活动主办单位）举办次数</w:t>
            </w:r>
          </w:p>
        </w:tc>
        <w:tc>
          <w:tcPr>
            <w:tcW w:w="1270" w:type="dxa"/>
          </w:tcPr>
          <w:p w:rsidR="00E52278" w:rsidRDefault="00E52278">
            <w:pPr>
              <w:pStyle w:val="Style1"/>
              <w:jc w:val="center"/>
              <w:rPr>
                <w:rFonts w:asciiTheme="minorEastAsia" w:hAnsiTheme="minorEastAsia" w:cstheme="minorEastAsia"/>
                <w:bCs/>
                <w:sz w:val="20"/>
                <w:szCs w:val="20"/>
              </w:rPr>
            </w:pPr>
          </w:p>
        </w:tc>
      </w:tr>
      <w:tr w:rsidR="00E52278">
        <w:tc>
          <w:tcPr>
            <w:tcW w:w="1245" w:type="dxa"/>
            <w:vMerge/>
          </w:tcPr>
          <w:p w:rsidR="00E52278" w:rsidRDefault="00E52278">
            <w:pPr>
              <w:pStyle w:val="Style1"/>
              <w:jc w:val="center"/>
              <w:rPr>
                <w:rFonts w:asciiTheme="minorEastAsia" w:hAnsiTheme="minorEastAsia" w:cstheme="minorEastAsia"/>
                <w:bCs/>
                <w:sz w:val="20"/>
                <w:szCs w:val="20"/>
              </w:rPr>
            </w:pPr>
          </w:p>
        </w:tc>
        <w:tc>
          <w:tcPr>
            <w:tcW w:w="1102" w:type="dxa"/>
            <w:vMerge/>
          </w:tcPr>
          <w:p w:rsidR="00E52278" w:rsidRDefault="00E52278">
            <w:pPr>
              <w:pStyle w:val="Style1"/>
              <w:jc w:val="center"/>
              <w:rPr>
                <w:rFonts w:asciiTheme="minorEastAsia" w:hAnsiTheme="minorEastAsia" w:cstheme="minorEastAsia"/>
                <w:bCs/>
                <w:sz w:val="20"/>
                <w:szCs w:val="20"/>
              </w:rPr>
            </w:pPr>
          </w:p>
        </w:tc>
        <w:tc>
          <w:tcPr>
            <w:tcW w:w="1320" w:type="dxa"/>
            <w:vMerge/>
          </w:tcPr>
          <w:p w:rsidR="00E52278" w:rsidRDefault="00E52278">
            <w:pPr>
              <w:pStyle w:val="Style1"/>
              <w:jc w:val="center"/>
              <w:rPr>
                <w:rFonts w:asciiTheme="minorEastAsia" w:hAnsiTheme="minorEastAsia" w:cstheme="minorEastAsia"/>
                <w:bCs/>
                <w:sz w:val="20"/>
                <w:szCs w:val="20"/>
              </w:rPr>
            </w:pPr>
          </w:p>
        </w:tc>
        <w:tc>
          <w:tcPr>
            <w:tcW w:w="3107" w:type="dxa"/>
          </w:tcPr>
          <w:p w:rsidR="00E52278" w:rsidRDefault="00D701C6">
            <w:pPr>
              <w:pStyle w:val="Style1"/>
              <w:jc w:val="left"/>
              <w:rPr>
                <w:rFonts w:asciiTheme="minorEastAsia" w:hAnsiTheme="minorEastAsia" w:cstheme="minorEastAsia"/>
                <w:bCs/>
                <w:sz w:val="20"/>
                <w:szCs w:val="20"/>
              </w:rPr>
            </w:pPr>
            <w:r>
              <w:rPr>
                <w:rFonts w:asciiTheme="minorEastAsia" w:hAnsiTheme="minorEastAsia" w:cstheme="minorEastAsia" w:hint="eastAsia"/>
                <w:bCs/>
                <w:sz w:val="20"/>
                <w:szCs w:val="20"/>
              </w:rPr>
              <w:t>指标8：渔业增殖放流规模（万尾/粒）</w:t>
            </w:r>
          </w:p>
        </w:tc>
        <w:tc>
          <w:tcPr>
            <w:tcW w:w="1270" w:type="dxa"/>
          </w:tcPr>
          <w:p w:rsidR="00E52278" w:rsidRDefault="00E52278">
            <w:pPr>
              <w:pStyle w:val="Style1"/>
              <w:jc w:val="center"/>
              <w:rPr>
                <w:rFonts w:asciiTheme="minorEastAsia" w:hAnsiTheme="minorEastAsia" w:cstheme="minorEastAsia"/>
                <w:bCs/>
                <w:sz w:val="20"/>
                <w:szCs w:val="20"/>
              </w:rPr>
            </w:pPr>
          </w:p>
        </w:tc>
      </w:tr>
      <w:tr w:rsidR="00E52278">
        <w:tc>
          <w:tcPr>
            <w:tcW w:w="1245" w:type="dxa"/>
            <w:vMerge/>
          </w:tcPr>
          <w:p w:rsidR="00E52278" w:rsidRDefault="00E52278">
            <w:pPr>
              <w:pStyle w:val="Style1"/>
              <w:jc w:val="center"/>
              <w:rPr>
                <w:rFonts w:asciiTheme="minorEastAsia" w:hAnsiTheme="minorEastAsia" w:cstheme="minorEastAsia"/>
                <w:bCs/>
                <w:sz w:val="20"/>
                <w:szCs w:val="20"/>
              </w:rPr>
            </w:pPr>
          </w:p>
        </w:tc>
        <w:tc>
          <w:tcPr>
            <w:tcW w:w="1102" w:type="dxa"/>
            <w:vMerge/>
          </w:tcPr>
          <w:p w:rsidR="00E52278" w:rsidRDefault="00E52278">
            <w:pPr>
              <w:pStyle w:val="Style1"/>
              <w:jc w:val="center"/>
              <w:rPr>
                <w:rFonts w:asciiTheme="minorEastAsia" w:hAnsiTheme="minorEastAsia" w:cstheme="minorEastAsia"/>
                <w:bCs/>
                <w:sz w:val="20"/>
                <w:szCs w:val="20"/>
              </w:rPr>
            </w:pPr>
          </w:p>
        </w:tc>
        <w:tc>
          <w:tcPr>
            <w:tcW w:w="1320" w:type="dxa"/>
            <w:vMerge w:val="restart"/>
          </w:tcPr>
          <w:p w:rsidR="00E52278" w:rsidRDefault="00E52278">
            <w:pPr>
              <w:pStyle w:val="Style1"/>
              <w:jc w:val="center"/>
              <w:rPr>
                <w:rFonts w:asciiTheme="minorEastAsia" w:hAnsiTheme="minorEastAsia" w:cstheme="minorEastAsia"/>
                <w:bCs/>
                <w:sz w:val="20"/>
                <w:szCs w:val="20"/>
              </w:rPr>
            </w:pPr>
          </w:p>
          <w:p w:rsidR="00E52278" w:rsidRDefault="00E52278">
            <w:pPr>
              <w:pStyle w:val="Style1"/>
              <w:jc w:val="center"/>
              <w:rPr>
                <w:rFonts w:asciiTheme="minorEastAsia" w:hAnsiTheme="minorEastAsia" w:cstheme="minorEastAsia"/>
                <w:bCs/>
                <w:sz w:val="20"/>
                <w:szCs w:val="20"/>
              </w:rPr>
            </w:pPr>
          </w:p>
          <w:p w:rsidR="00E52278" w:rsidRDefault="00E52278">
            <w:pPr>
              <w:pStyle w:val="Style1"/>
              <w:jc w:val="center"/>
              <w:rPr>
                <w:rFonts w:asciiTheme="minorEastAsia" w:hAnsiTheme="minorEastAsia" w:cstheme="minorEastAsia"/>
                <w:bCs/>
                <w:sz w:val="20"/>
                <w:szCs w:val="20"/>
              </w:rPr>
            </w:pPr>
          </w:p>
          <w:p w:rsidR="00E52278" w:rsidRDefault="00E52278">
            <w:pPr>
              <w:pStyle w:val="Style1"/>
              <w:jc w:val="center"/>
              <w:rPr>
                <w:rFonts w:asciiTheme="minorEastAsia" w:hAnsiTheme="minorEastAsia" w:cstheme="minorEastAsia"/>
                <w:bCs/>
                <w:sz w:val="20"/>
                <w:szCs w:val="20"/>
              </w:rPr>
            </w:pPr>
          </w:p>
          <w:p w:rsidR="00E52278" w:rsidRDefault="00E52278">
            <w:pPr>
              <w:pStyle w:val="Style1"/>
              <w:jc w:val="center"/>
              <w:rPr>
                <w:rFonts w:asciiTheme="minorEastAsia" w:hAnsiTheme="minorEastAsia" w:cstheme="minorEastAsia"/>
                <w:bCs/>
                <w:sz w:val="20"/>
                <w:szCs w:val="20"/>
              </w:rPr>
            </w:pPr>
          </w:p>
          <w:p w:rsidR="00E52278" w:rsidRDefault="00E52278">
            <w:pPr>
              <w:pStyle w:val="Style1"/>
              <w:jc w:val="center"/>
              <w:rPr>
                <w:rFonts w:asciiTheme="minorEastAsia" w:hAnsiTheme="minorEastAsia" w:cstheme="minorEastAsia"/>
                <w:bCs/>
                <w:sz w:val="20"/>
                <w:szCs w:val="20"/>
              </w:rPr>
            </w:pPr>
          </w:p>
          <w:p w:rsidR="00E52278" w:rsidRDefault="00E52278">
            <w:pPr>
              <w:pStyle w:val="Style1"/>
              <w:jc w:val="center"/>
              <w:rPr>
                <w:rFonts w:asciiTheme="minorEastAsia" w:hAnsiTheme="minorEastAsia" w:cstheme="minorEastAsia"/>
                <w:bCs/>
                <w:sz w:val="20"/>
                <w:szCs w:val="20"/>
              </w:rPr>
            </w:pPr>
          </w:p>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质量指标</w:t>
            </w:r>
          </w:p>
        </w:tc>
        <w:tc>
          <w:tcPr>
            <w:tcW w:w="3107" w:type="dxa"/>
          </w:tcPr>
          <w:p w:rsidR="00E52278" w:rsidRDefault="00D701C6">
            <w:pPr>
              <w:pStyle w:val="Style1"/>
              <w:jc w:val="left"/>
              <w:rPr>
                <w:rFonts w:asciiTheme="minorEastAsia" w:hAnsiTheme="minorEastAsia" w:cstheme="minorEastAsia"/>
                <w:bCs/>
                <w:sz w:val="20"/>
                <w:szCs w:val="20"/>
              </w:rPr>
            </w:pPr>
            <w:r>
              <w:rPr>
                <w:rFonts w:asciiTheme="minorEastAsia" w:hAnsiTheme="minorEastAsia" w:cstheme="minorEastAsia" w:hint="eastAsia"/>
                <w:bCs/>
                <w:sz w:val="20"/>
                <w:szCs w:val="20"/>
              </w:rPr>
              <w:t>指标1：资金使用重大违规违纪问题</w:t>
            </w:r>
          </w:p>
        </w:tc>
        <w:tc>
          <w:tcPr>
            <w:tcW w:w="1270"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无</w:t>
            </w:r>
          </w:p>
        </w:tc>
      </w:tr>
      <w:tr w:rsidR="00E52278">
        <w:tc>
          <w:tcPr>
            <w:tcW w:w="1245" w:type="dxa"/>
            <w:vMerge/>
          </w:tcPr>
          <w:p w:rsidR="00E52278" w:rsidRDefault="00E52278">
            <w:pPr>
              <w:pStyle w:val="Style1"/>
              <w:jc w:val="center"/>
              <w:rPr>
                <w:rFonts w:asciiTheme="minorEastAsia" w:hAnsiTheme="minorEastAsia" w:cstheme="minorEastAsia"/>
                <w:bCs/>
                <w:sz w:val="20"/>
                <w:szCs w:val="20"/>
              </w:rPr>
            </w:pPr>
          </w:p>
        </w:tc>
        <w:tc>
          <w:tcPr>
            <w:tcW w:w="1102" w:type="dxa"/>
            <w:vMerge/>
          </w:tcPr>
          <w:p w:rsidR="00E52278" w:rsidRDefault="00E52278">
            <w:pPr>
              <w:pStyle w:val="Style1"/>
              <w:jc w:val="center"/>
              <w:rPr>
                <w:rFonts w:asciiTheme="minorEastAsia" w:hAnsiTheme="minorEastAsia" w:cstheme="minorEastAsia"/>
                <w:bCs/>
                <w:sz w:val="20"/>
                <w:szCs w:val="20"/>
              </w:rPr>
            </w:pPr>
          </w:p>
        </w:tc>
        <w:tc>
          <w:tcPr>
            <w:tcW w:w="1320" w:type="dxa"/>
            <w:vMerge/>
          </w:tcPr>
          <w:p w:rsidR="00E52278" w:rsidRDefault="00E52278">
            <w:pPr>
              <w:pStyle w:val="Style1"/>
              <w:jc w:val="center"/>
              <w:rPr>
                <w:rFonts w:asciiTheme="minorEastAsia" w:hAnsiTheme="minorEastAsia" w:cstheme="minorEastAsia"/>
                <w:bCs/>
                <w:sz w:val="20"/>
                <w:szCs w:val="20"/>
              </w:rPr>
            </w:pPr>
          </w:p>
        </w:tc>
        <w:tc>
          <w:tcPr>
            <w:tcW w:w="3107" w:type="dxa"/>
          </w:tcPr>
          <w:p w:rsidR="00E52278" w:rsidRDefault="00D701C6">
            <w:pPr>
              <w:pStyle w:val="Style1"/>
              <w:jc w:val="left"/>
              <w:rPr>
                <w:rFonts w:asciiTheme="minorEastAsia" w:hAnsiTheme="minorEastAsia" w:cstheme="minorEastAsia"/>
                <w:bCs/>
                <w:sz w:val="20"/>
                <w:szCs w:val="20"/>
              </w:rPr>
            </w:pPr>
            <w:r>
              <w:rPr>
                <w:rFonts w:asciiTheme="minorEastAsia" w:hAnsiTheme="minorEastAsia" w:cstheme="minorEastAsia" w:hint="eastAsia"/>
                <w:bCs/>
                <w:sz w:val="20"/>
                <w:szCs w:val="20"/>
              </w:rPr>
              <w:t>指标2：耕地质量提升与化肥减量增效示范县测土配方施肥技术覆盖率（%）</w:t>
            </w:r>
          </w:p>
        </w:tc>
        <w:tc>
          <w:tcPr>
            <w:tcW w:w="1270" w:type="dxa"/>
          </w:tcPr>
          <w:p w:rsidR="00E52278" w:rsidRDefault="00E52278">
            <w:pPr>
              <w:pStyle w:val="Style1"/>
              <w:jc w:val="center"/>
              <w:rPr>
                <w:rFonts w:asciiTheme="minorEastAsia" w:hAnsiTheme="minorEastAsia" w:cstheme="minorEastAsia"/>
                <w:bCs/>
                <w:sz w:val="20"/>
                <w:szCs w:val="20"/>
              </w:rPr>
            </w:pPr>
          </w:p>
        </w:tc>
      </w:tr>
      <w:tr w:rsidR="00E52278">
        <w:trPr>
          <w:trHeight w:val="90"/>
        </w:trPr>
        <w:tc>
          <w:tcPr>
            <w:tcW w:w="1245" w:type="dxa"/>
            <w:vMerge/>
          </w:tcPr>
          <w:p w:rsidR="00E52278" w:rsidRDefault="00E52278">
            <w:pPr>
              <w:pStyle w:val="Style1"/>
              <w:jc w:val="center"/>
              <w:rPr>
                <w:rFonts w:asciiTheme="minorEastAsia" w:hAnsiTheme="minorEastAsia" w:cstheme="minorEastAsia"/>
                <w:bCs/>
                <w:sz w:val="20"/>
                <w:szCs w:val="20"/>
              </w:rPr>
            </w:pPr>
          </w:p>
        </w:tc>
        <w:tc>
          <w:tcPr>
            <w:tcW w:w="1102" w:type="dxa"/>
            <w:vMerge/>
          </w:tcPr>
          <w:p w:rsidR="00E52278" w:rsidRDefault="00E52278">
            <w:pPr>
              <w:pStyle w:val="Style1"/>
              <w:jc w:val="center"/>
              <w:rPr>
                <w:rFonts w:asciiTheme="minorEastAsia" w:hAnsiTheme="minorEastAsia" w:cstheme="minorEastAsia"/>
                <w:bCs/>
                <w:sz w:val="20"/>
                <w:szCs w:val="20"/>
              </w:rPr>
            </w:pPr>
          </w:p>
        </w:tc>
        <w:tc>
          <w:tcPr>
            <w:tcW w:w="1320" w:type="dxa"/>
            <w:vMerge/>
          </w:tcPr>
          <w:p w:rsidR="00E52278" w:rsidRDefault="00E52278">
            <w:pPr>
              <w:pStyle w:val="Style1"/>
              <w:jc w:val="center"/>
              <w:rPr>
                <w:rFonts w:asciiTheme="minorEastAsia" w:hAnsiTheme="minorEastAsia" w:cstheme="minorEastAsia"/>
                <w:bCs/>
                <w:sz w:val="20"/>
                <w:szCs w:val="20"/>
              </w:rPr>
            </w:pPr>
          </w:p>
        </w:tc>
        <w:tc>
          <w:tcPr>
            <w:tcW w:w="3107" w:type="dxa"/>
          </w:tcPr>
          <w:p w:rsidR="00E52278" w:rsidRDefault="00D701C6">
            <w:pPr>
              <w:pStyle w:val="Style1"/>
              <w:jc w:val="left"/>
              <w:rPr>
                <w:rFonts w:asciiTheme="minorEastAsia" w:hAnsiTheme="minorEastAsia" w:cstheme="minorEastAsia"/>
                <w:bCs/>
                <w:sz w:val="20"/>
                <w:szCs w:val="20"/>
              </w:rPr>
            </w:pPr>
            <w:r>
              <w:rPr>
                <w:rFonts w:asciiTheme="minorEastAsia" w:hAnsiTheme="minorEastAsia" w:cstheme="minorEastAsia" w:hint="eastAsia"/>
                <w:bCs/>
                <w:sz w:val="20"/>
                <w:szCs w:val="20"/>
              </w:rPr>
              <w:t>指标3：秸秆综合利用试点县平均秸秆综合利用率</w:t>
            </w:r>
          </w:p>
        </w:tc>
        <w:tc>
          <w:tcPr>
            <w:tcW w:w="1270"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达到90%以上或比上年提高5个百分点</w:t>
            </w:r>
          </w:p>
        </w:tc>
      </w:tr>
      <w:tr w:rsidR="00E52278">
        <w:tc>
          <w:tcPr>
            <w:tcW w:w="1245" w:type="dxa"/>
            <w:vMerge/>
          </w:tcPr>
          <w:p w:rsidR="00E52278" w:rsidRDefault="00E52278">
            <w:pPr>
              <w:pStyle w:val="Style1"/>
              <w:jc w:val="center"/>
              <w:rPr>
                <w:rFonts w:asciiTheme="minorEastAsia" w:hAnsiTheme="minorEastAsia" w:cstheme="minorEastAsia"/>
                <w:bCs/>
                <w:sz w:val="20"/>
                <w:szCs w:val="20"/>
              </w:rPr>
            </w:pPr>
          </w:p>
        </w:tc>
        <w:tc>
          <w:tcPr>
            <w:tcW w:w="1102" w:type="dxa"/>
            <w:vMerge/>
          </w:tcPr>
          <w:p w:rsidR="00E52278" w:rsidRDefault="00E52278">
            <w:pPr>
              <w:pStyle w:val="Style1"/>
              <w:jc w:val="center"/>
              <w:rPr>
                <w:rFonts w:asciiTheme="minorEastAsia" w:hAnsiTheme="minorEastAsia" w:cstheme="minorEastAsia"/>
                <w:bCs/>
                <w:sz w:val="20"/>
                <w:szCs w:val="20"/>
              </w:rPr>
            </w:pPr>
          </w:p>
        </w:tc>
        <w:tc>
          <w:tcPr>
            <w:tcW w:w="1320" w:type="dxa"/>
            <w:vMerge/>
          </w:tcPr>
          <w:p w:rsidR="00E52278" w:rsidRDefault="00E52278">
            <w:pPr>
              <w:pStyle w:val="Style1"/>
              <w:jc w:val="center"/>
              <w:rPr>
                <w:rFonts w:asciiTheme="minorEastAsia" w:hAnsiTheme="minorEastAsia" w:cstheme="minorEastAsia"/>
                <w:bCs/>
                <w:sz w:val="20"/>
                <w:szCs w:val="20"/>
              </w:rPr>
            </w:pPr>
          </w:p>
        </w:tc>
        <w:tc>
          <w:tcPr>
            <w:tcW w:w="3107" w:type="dxa"/>
          </w:tcPr>
          <w:p w:rsidR="00E52278" w:rsidRDefault="00D701C6">
            <w:pPr>
              <w:pStyle w:val="Style1"/>
              <w:jc w:val="left"/>
              <w:rPr>
                <w:rFonts w:asciiTheme="minorEastAsia" w:hAnsiTheme="minorEastAsia" w:cstheme="minorEastAsia"/>
                <w:bCs/>
                <w:sz w:val="20"/>
                <w:szCs w:val="20"/>
              </w:rPr>
            </w:pPr>
            <w:r>
              <w:rPr>
                <w:rFonts w:asciiTheme="minorEastAsia" w:hAnsiTheme="minorEastAsia" w:cstheme="minorEastAsia" w:hint="eastAsia"/>
                <w:bCs/>
                <w:sz w:val="20"/>
                <w:szCs w:val="20"/>
              </w:rPr>
              <w:t>指标4：秸秆综合利用整县推进试点县数量</w:t>
            </w:r>
          </w:p>
        </w:tc>
        <w:tc>
          <w:tcPr>
            <w:tcW w:w="1270" w:type="dxa"/>
          </w:tcPr>
          <w:p w:rsidR="00E52278" w:rsidRDefault="00E52278">
            <w:pPr>
              <w:pStyle w:val="Style1"/>
              <w:jc w:val="center"/>
              <w:rPr>
                <w:rFonts w:asciiTheme="minorEastAsia" w:hAnsiTheme="minorEastAsia" w:cstheme="minorEastAsia"/>
                <w:bCs/>
                <w:sz w:val="20"/>
                <w:szCs w:val="20"/>
              </w:rPr>
            </w:pPr>
          </w:p>
        </w:tc>
      </w:tr>
      <w:tr w:rsidR="00E52278">
        <w:tc>
          <w:tcPr>
            <w:tcW w:w="1245" w:type="dxa"/>
            <w:vMerge/>
          </w:tcPr>
          <w:p w:rsidR="00E52278" w:rsidRDefault="00E52278">
            <w:pPr>
              <w:pStyle w:val="Style1"/>
              <w:jc w:val="center"/>
              <w:rPr>
                <w:rFonts w:asciiTheme="minorEastAsia" w:hAnsiTheme="minorEastAsia" w:cstheme="minorEastAsia"/>
                <w:bCs/>
                <w:sz w:val="20"/>
                <w:szCs w:val="20"/>
              </w:rPr>
            </w:pPr>
          </w:p>
        </w:tc>
        <w:tc>
          <w:tcPr>
            <w:tcW w:w="1102" w:type="dxa"/>
            <w:vMerge/>
          </w:tcPr>
          <w:p w:rsidR="00E52278" w:rsidRDefault="00E52278">
            <w:pPr>
              <w:pStyle w:val="Style1"/>
              <w:jc w:val="center"/>
              <w:rPr>
                <w:rFonts w:asciiTheme="minorEastAsia" w:hAnsiTheme="minorEastAsia" w:cstheme="minorEastAsia"/>
                <w:bCs/>
                <w:sz w:val="20"/>
                <w:szCs w:val="20"/>
              </w:rPr>
            </w:pPr>
          </w:p>
        </w:tc>
        <w:tc>
          <w:tcPr>
            <w:tcW w:w="1320" w:type="dxa"/>
            <w:vMerge/>
          </w:tcPr>
          <w:p w:rsidR="00E52278" w:rsidRDefault="00E52278">
            <w:pPr>
              <w:pStyle w:val="Style1"/>
              <w:jc w:val="center"/>
              <w:rPr>
                <w:rFonts w:asciiTheme="minorEastAsia" w:hAnsiTheme="minorEastAsia" w:cstheme="minorEastAsia"/>
                <w:bCs/>
                <w:sz w:val="20"/>
                <w:szCs w:val="20"/>
              </w:rPr>
            </w:pPr>
          </w:p>
        </w:tc>
        <w:tc>
          <w:tcPr>
            <w:tcW w:w="3107" w:type="dxa"/>
          </w:tcPr>
          <w:p w:rsidR="00E52278" w:rsidRDefault="00D701C6">
            <w:pPr>
              <w:pStyle w:val="Style1"/>
              <w:jc w:val="left"/>
              <w:rPr>
                <w:rFonts w:asciiTheme="minorEastAsia" w:hAnsiTheme="minorEastAsia" w:cstheme="minorEastAsia"/>
                <w:bCs/>
                <w:sz w:val="20"/>
                <w:szCs w:val="20"/>
              </w:rPr>
            </w:pPr>
            <w:r>
              <w:rPr>
                <w:rFonts w:asciiTheme="minorEastAsia" w:hAnsiTheme="minorEastAsia" w:cstheme="minorEastAsia" w:hint="eastAsia"/>
                <w:bCs/>
                <w:sz w:val="20"/>
                <w:szCs w:val="20"/>
              </w:rPr>
              <w:t>指标5：珍稀濒危放流苗种进行标志比例</w:t>
            </w:r>
          </w:p>
        </w:tc>
        <w:tc>
          <w:tcPr>
            <w:tcW w:w="1270" w:type="dxa"/>
          </w:tcPr>
          <w:p w:rsidR="00E52278" w:rsidRDefault="00E52278">
            <w:pPr>
              <w:pStyle w:val="Style1"/>
              <w:jc w:val="center"/>
              <w:rPr>
                <w:rFonts w:asciiTheme="minorEastAsia" w:hAnsiTheme="minorEastAsia" w:cstheme="minorEastAsia"/>
                <w:bCs/>
                <w:sz w:val="20"/>
                <w:szCs w:val="20"/>
              </w:rPr>
            </w:pPr>
          </w:p>
        </w:tc>
      </w:tr>
      <w:tr w:rsidR="00E52278">
        <w:tc>
          <w:tcPr>
            <w:tcW w:w="1245" w:type="dxa"/>
            <w:vMerge/>
          </w:tcPr>
          <w:p w:rsidR="00E52278" w:rsidRDefault="00E52278">
            <w:pPr>
              <w:pStyle w:val="Style1"/>
              <w:jc w:val="center"/>
              <w:rPr>
                <w:rFonts w:asciiTheme="minorEastAsia" w:hAnsiTheme="minorEastAsia" w:cstheme="minorEastAsia"/>
                <w:bCs/>
                <w:sz w:val="20"/>
                <w:szCs w:val="20"/>
              </w:rPr>
            </w:pPr>
          </w:p>
        </w:tc>
        <w:tc>
          <w:tcPr>
            <w:tcW w:w="1102" w:type="dxa"/>
            <w:vMerge/>
          </w:tcPr>
          <w:p w:rsidR="00E52278" w:rsidRDefault="00E52278">
            <w:pPr>
              <w:pStyle w:val="Style1"/>
              <w:jc w:val="center"/>
              <w:rPr>
                <w:rFonts w:asciiTheme="minorEastAsia" w:hAnsiTheme="minorEastAsia" w:cstheme="minorEastAsia"/>
                <w:bCs/>
                <w:sz w:val="20"/>
                <w:szCs w:val="20"/>
              </w:rPr>
            </w:pPr>
          </w:p>
        </w:tc>
        <w:tc>
          <w:tcPr>
            <w:tcW w:w="1320" w:type="dxa"/>
            <w:vMerge/>
          </w:tcPr>
          <w:p w:rsidR="00E52278" w:rsidRDefault="00E52278">
            <w:pPr>
              <w:pStyle w:val="Style1"/>
              <w:jc w:val="center"/>
              <w:rPr>
                <w:rFonts w:asciiTheme="minorEastAsia" w:hAnsiTheme="minorEastAsia" w:cstheme="minorEastAsia"/>
                <w:bCs/>
                <w:sz w:val="20"/>
                <w:szCs w:val="20"/>
              </w:rPr>
            </w:pPr>
          </w:p>
        </w:tc>
        <w:tc>
          <w:tcPr>
            <w:tcW w:w="3107" w:type="dxa"/>
          </w:tcPr>
          <w:p w:rsidR="00E52278" w:rsidRDefault="00D701C6">
            <w:pPr>
              <w:pStyle w:val="Style1"/>
              <w:jc w:val="left"/>
              <w:rPr>
                <w:rFonts w:asciiTheme="minorEastAsia" w:hAnsiTheme="minorEastAsia" w:cstheme="minorEastAsia"/>
                <w:bCs/>
                <w:sz w:val="20"/>
                <w:szCs w:val="20"/>
              </w:rPr>
            </w:pPr>
            <w:r>
              <w:rPr>
                <w:rFonts w:asciiTheme="minorEastAsia" w:hAnsiTheme="minorEastAsia" w:cstheme="minorEastAsia" w:hint="eastAsia"/>
                <w:bCs/>
                <w:sz w:val="20"/>
                <w:szCs w:val="20"/>
              </w:rPr>
              <w:t>指标6：渔业增殖放流经济物种放流经检验检疫的批次比例（%）</w:t>
            </w:r>
          </w:p>
        </w:tc>
        <w:tc>
          <w:tcPr>
            <w:tcW w:w="1270" w:type="dxa"/>
          </w:tcPr>
          <w:p w:rsidR="00E52278" w:rsidRDefault="00E52278">
            <w:pPr>
              <w:pStyle w:val="Style1"/>
              <w:jc w:val="center"/>
              <w:rPr>
                <w:rFonts w:asciiTheme="minorEastAsia" w:hAnsiTheme="minorEastAsia" w:cstheme="minorEastAsia"/>
                <w:bCs/>
                <w:sz w:val="20"/>
                <w:szCs w:val="20"/>
              </w:rPr>
            </w:pPr>
          </w:p>
        </w:tc>
      </w:tr>
      <w:tr w:rsidR="00E52278">
        <w:tc>
          <w:tcPr>
            <w:tcW w:w="1245" w:type="dxa"/>
            <w:vMerge/>
          </w:tcPr>
          <w:p w:rsidR="00E52278" w:rsidRDefault="00E52278">
            <w:pPr>
              <w:pStyle w:val="Style1"/>
              <w:jc w:val="center"/>
              <w:rPr>
                <w:rFonts w:asciiTheme="minorEastAsia" w:hAnsiTheme="minorEastAsia" w:cstheme="minorEastAsia"/>
                <w:bCs/>
                <w:sz w:val="20"/>
                <w:szCs w:val="20"/>
              </w:rPr>
            </w:pPr>
          </w:p>
        </w:tc>
        <w:tc>
          <w:tcPr>
            <w:tcW w:w="1102" w:type="dxa"/>
            <w:vMerge w:val="restart"/>
          </w:tcPr>
          <w:p w:rsidR="00E52278" w:rsidRDefault="00E52278">
            <w:pPr>
              <w:pStyle w:val="Style1"/>
              <w:jc w:val="center"/>
              <w:rPr>
                <w:rFonts w:asciiTheme="minorEastAsia" w:hAnsiTheme="minorEastAsia" w:cstheme="minorEastAsia"/>
                <w:bCs/>
                <w:sz w:val="20"/>
                <w:szCs w:val="20"/>
              </w:rPr>
            </w:pPr>
          </w:p>
          <w:p w:rsidR="00E52278" w:rsidRDefault="00E52278">
            <w:pPr>
              <w:pStyle w:val="Style1"/>
              <w:jc w:val="center"/>
              <w:rPr>
                <w:rFonts w:asciiTheme="minorEastAsia" w:hAnsiTheme="minorEastAsia" w:cstheme="minorEastAsia"/>
                <w:bCs/>
                <w:sz w:val="20"/>
                <w:szCs w:val="20"/>
              </w:rPr>
            </w:pPr>
          </w:p>
          <w:p w:rsidR="00E52278" w:rsidRDefault="00E52278">
            <w:pPr>
              <w:pStyle w:val="Style1"/>
              <w:jc w:val="center"/>
              <w:rPr>
                <w:rFonts w:asciiTheme="minorEastAsia" w:hAnsiTheme="minorEastAsia" w:cstheme="minorEastAsia"/>
                <w:bCs/>
                <w:sz w:val="20"/>
                <w:szCs w:val="20"/>
              </w:rPr>
            </w:pPr>
          </w:p>
          <w:p w:rsidR="00E52278" w:rsidRDefault="00E52278">
            <w:pPr>
              <w:pStyle w:val="Style1"/>
              <w:jc w:val="center"/>
              <w:rPr>
                <w:rFonts w:asciiTheme="minorEastAsia" w:hAnsiTheme="minorEastAsia" w:cstheme="minorEastAsia"/>
                <w:bCs/>
                <w:sz w:val="20"/>
                <w:szCs w:val="20"/>
              </w:rPr>
            </w:pPr>
          </w:p>
          <w:p w:rsidR="00E52278" w:rsidRDefault="00E52278">
            <w:pPr>
              <w:pStyle w:val="Style1"/>
              <w:jc w:val="center"/>
              <w:rPr>
                <w:rFonts w:asciiTheme="minorEastAsia" w:hAnsiTheme="minorEastAsia" w:cstheme="minorEastAsia"/>
                <w:bCs/>
                <w:sz w:val="20"/>
                <w:szCs w:val="20"/>
              </w:rPr>
            </w:pPr>
          </w:p>
          <w:p w:rsidR="00E52278" w:rsidRDefault="00E52278">
            <w:pPr>
              <w:pStyle w:val="Style1"/>
              <w:jc w:val="center"/>
              <w:rPr>
                <w:rFonts w:asciiTheme="minorEastAsia" w:hAnsiTheme="minorEastAsia" w:cstheme="minorEastAsia"/>
                <w:bCs/>
                <w:sz w:val="20"/>
                <w:szCs w:val="20"/>
              </w:rPr>
            </w:pPr>
          </w:p>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lastRenderedPageBreak/>
              <w:t>效益指标</w:t>
            </w:r>
          </w:p>
        </w:tc>
        <w:tc>
          <w:tcPr>
            <w:tcW w:w="1320"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lastRenderedPageBreak/>
              <w:t>经济效益指标</w:t>
            </w:r>
          </w:p>
        </w:tc>
        <w:tc>
          <w:tcPr>
            <w:tcW w:w="3107" w:type="dxa"/>
          </w:tcPr>
          <w:p w:rsidR="00E52278" w:rsidRDefault="00D701C6">
            <w:pPr>
              <w:pStyle w:val="Style1"/>
              <w:jc w:val="left"/>
              <w:rPr>
                <w:rFonts w:asciiTheme="minorEastAsia" w:hAnsiTheme="minorEastAsia" w:cstheme="minorEastAsia"/>
                <w:bCs/>
                <w:sz w:val="20"/>
                <w:szCs w:val="20"/>
              </w:rPr>
            </w:pPr>
            <w:r>
              <w:rPr>
                <w:rFonts w:asciiTheme="minorEastAsia" w:hAnsiTheme="minorEastAsia" w:cstheme="minorEastAsia" w:hint="eastAsia"/>
                <w:bCs/>
                <w:sz w:val="20"/>
                <w:szCs w:val="20"/>
              </w:rPr>
              <w:t>指标1：渔业增殖放流投入产出比</w:t>
            </w:r>
          </w:p>
        </w:tc>
        <w:tc>
          <w:tcPr>
            <w:tcW w:w="1270" w:type="dxa"/>
          </w:tcPr>
          <w:p w:rsidR="00E52278" w:rsidRDefault="00E52278">
            <w:pPr>
              <w:pStyle w:val="Style1"/>
              <w:jc w:val="center"/>
              <w:rPr>
                <w:rFonts w:asciiTheme="minorEastAsia" w:hAnsiTheme="minorEastAsia" w:cstheme="minorEastAsia"/>
                <w:bCs/>
                <w:sz w:val="20"/>
                <w:szCs w:val="20"/>
              </w:rPr>
            </w:pPr>
          </w:p>
        </w:tc>
      </w:tr>
      <w:tr w:rsidR="00E52278">
        <w:tc>
          <w:tcPr>
            <w:tcW w:w="1245" w:type="dxa"/>
            <w:vMerge/>
          </w:tcPr>
          <w:p w:rsidR="00E52278" w:rsidRDefault="00E52278">
            <w:pPr>
              <w:pStyle w:val="Style1"/>
              <w:jc w:val="center"/>
              <w:rPr>
                <w:rFonts w:asciiTheme="minorEastAsia" w:hAnsiTheme="minorEastAsia" w:cstheme="minorEastAsia"/>
                <w:bCs/>
                <w:sz w:val="20"/>
                <w:szCs w:val="20"/>
              </w:rPr>
            </w:pPr>
          </w:p>
        </w:tc>
        <w:tc>
          <w:tcPr>
            <w:tcW w:w="1102" w:type="dxa"/>
            <w:vMerge/>
          </w:tcPr>
          <w:p w:rsidR="00E52278" w:rsidRDefault="00E52278">
            <w:pPr>
              <w:pStyle w:val="Style1"/>
              <w:jc w:val="center"/>
              <w:rPr>
                <w:rFonts w:asciiTheme="minorEastAsia" w:hAnsiTheme="minorEastAsia" w:cstheme="minorEastAsia"/>
                <w:bCs/>
                <w:sz w:val="20"/>
                <w:szCs w:val="20"/>
              </w:rPr>
            </w:pPr>
          </w:p>
        </w:tc>
        <w:tc>
          <w:tcPr>
            <w:tcW w:w="1320" w:type="dxa"/>
            <w:vMerge w:val="restart"/>
          </w:tcPr>
          <w:p w:rsidR="00E52278" w:rsidRDefault="00E52278">
            <w:pPr>
              <w:pStyle w:val="Style1"/>
              <w:jc w:val="center"/>
              <w:rPr>
                <w:rFonts w:asciiTheme="minorEastAsia" w:hAnsiTheme="minorEastAsia" w:cstheme="minorEastAsia"/>
                <w:bCs/>
                <w:sz w:val="20"/>
                <w:szCs w:val="20"/>
              </w:rPr>
            </w:pPr>
          </w:p>
          <w:p w:rsidR="00E52278" w:rsidRDefault="00D701C6">
            <w:pPr>
              <w:pStyle w:val="Style1"/>
              <w:rPr>
                <w:rFonts w:asciiTheme="minorEastAsia" w:hAnsiTheme="minorEastAsia" w:cstheme="minorEastAsia"/>
                <w:bCs/>
                <w:sz w:val="20"/>
                <w:szCs w:val="20"/>
              </w:rPr>
            </w:pPr>
            <w:r>
              <w:rPr>
                <w:rFonts w:asciiTheme="minorEastAsia" w:hAnsiTheme="minorEastAsia" w:cstheme="minorEastAsia" w:hint="eastAsia"/>
                <w:bCs/>
                <w:sz w:val="20"/>
                <w:szCs w:val="20"/>
              </w:rPr>
              <w:t>社会效益指标</w:t>
            </w:r>
          </w:p>
        </w:tc>
        <w:tc>
          <w:tcPr>
            <w:tcW w:w="3107" w:type="dxa"/>
          </w:tcPr>
          <w:p w:rsidR="00E52278" w:rsidRDefault="00D701C6">
            <w:pPr>
              <w:pStyle w:val="Style1"/>
              <w:jc w:val="left"/>
              <w:rPr>
                <w:rFonts w:asciiTheme="minorEastAsia" w:hAnsiTheme="minorEastAsia" w:cstheme="minorEastAsia"/>
                <w:bCs/>
                <w:sz w:val="20"/>
                <w:szCs w:val="20"/>
              </w:rPr>
            </w:pPr>
            <w:r>
              <w:rPr>
                <w:rFonts w:asciiTheme="minorEastAsia" w:hAnsiTheme="minorEastAsia" w:cstheme="minorEastAsia" w:hint="eastAsia"/>
                <w:bCs/>
                <w:sz w:val="20"/>
                <w:szCs w:val="20"/>
              </w:rPr>
              <w:t>指标1：新增秸秆综合利用社会化服务组织数量（个）</w:t>
            </w:r>
          </w:p>
        </w:tc>
        <w:tc>
          <w:tcPr>
            <w:tcW w:w="1270" w:type="dxa"/>
          </w:tcPr>
          <w:p w:rsidR="00E52278" w:rsidRDefault="00E52278">
            <w:pPr>
              <w:pStyle w:val="Style1"/>
              <w:jc w:val="center"/>
              <w:rPr>
                <w:rFonts w:asciiTheme="minorEastAsia" w:hAnsiTheme="minorEastAsia" w:cstheme="minorEastAsia"/>
                <w:bCs/>
                <w:sz w:val="20"/>
                <w:szCs w:val="20"/>
              </w:rPr>
            </w:pPr>
          </w:p>
        </w:tc>
      </w:tr>
      <w:tr w:rsidR="00E52278">
        <w:tc>
          <w:tcPr>
            <w:tcW w:w="1245" w:type="dxa"/>
            <w:vMerge/>
          </w:tcPr>
          <w:p w:rsidR="00E52278" w:rsidRDefault="00E52278">
            <w:pPr>
              <w:pStyle w:val="Style1"/>
              <w:jc w:val="center"/>
              <w:rPr>
                <w:rFonts w:asciiTheme="minorEastAsia" w:hAnsiTheme="minorEastAsia" w:cstheme="minorEastAsia"/>
                <w:bCs/>
                <w:sz w:val="20"/>
                <w:szCs w:val="20"/>
              </w:rPr>
            </w:pPr>
          </w:p>
        </w:tc>
        <w:tc>
          <w:tcPr>
            <w:tcW w:w="1102" w:type="dxa"/>
            <w:vMerge/>
          </w:tcPr>
          <w:p w:rsidR="00E52278" w:rsidRDefault="00E52278">
            <w:pPr>
              <w:pStyle w:val="Style1"/>
              <w:jc w:val="center"/>
              <w:rPr>
                <w:rFonts w:asciiTheme="minorEastAsia" w:hAnsiTheme="minorEastAsia" w:cstheme="minorEastAsia"/>
                <w:bCs/>
                <w:sz w:val="20"/>
                <w:szCs w:val="20"/>
              </w:rPr>
            </w:pPr>
          </w:p>
        </w:tc>
        <w:tc>
          <w:tcPr>
            <w:tcW w:w="1320" w:type="dxa"/>
            <w:vMerge/>
          </w:tcPr>
          <w:p w:rsidR="00E52278" w:rsidRDefault="00E52278">
            <w:pPr>
              <w:pStyle w:val="Style1"/>
              <w:jc w:val="center"/>
              <w:rPr>
                <w:rFonts w:asciiTheme="minorEastAsia" w:hAnsiTheme="minorEastAsia" w:cstheme="minorEastAsia"/>
                <w:bCs/>
                <w:sz w:val="20"/>
                <w:szCs w:val="20"/>
              </w:rPr>
            </w:pPr>
          </w:p>
        </w:tc>
        <w:tc>
          <w:tcPr>
            <w:tcW w:w="3107" w:type="dxa"/>
          </w:tcPr>
          <w:p w:rsidR="00E52278" w:rsidRDefault="00D701C6">
            <w:pPr>
              <w:pStyle w:val="Style1"/>
              <w:jc w:val="left"/>
              <w:rPr>
                <w:rFonts w:asciiTheme="minorEastAsia" w:hAnsiTheme="minorEastAsia" w:cstheme="minorEastAsia"/>
                <w:bCs/>
                <w:sz w:val="20"/>
                <w:szCs w:val="20"/>
              </w:rPr>
            </w:pPr>
            <w:r>
              <w:rPr>
                <w:rFonts w:asciiTheme="minorEastAsia" w:hAnsiTheme="minorEastAsia" w:cstheme="minorEastAsia" w:hint="eastAsia"/>
                <w:bCs/>
                <w:sz w:val="20"/>
                <w:szCs w:val="20"/>
              </w:rPr>
              <w:t>指标2：建立秸秆综合利用长效机制</w:t>
            </w:r>
          </w:p>
        </w:tc>
        <w:tc>
          <w:tcPr>
            <w:tcW w:w="1270" w:type="dxa"/>
          </w:tcPr>
          <w:p w:rsidR="00E52278" w:rsidRDefault="00E52278">
            <w:pPr>
              <w:pStyle w:val="Style1"/>
              <w:jc w:val="center"/>
              <w:rPr>
                <w:rFonts w:asciiTheme="minorEastAsia" w:hAnsiTheme="minorEastAsia" w:cstheme="minorEastAsia"/>
                <w:bCs/>
                <w:sz w:val="20"/>
                <w:szCs w:val="20"/>
              </w:rPr>
            </w:pPr>
          </w:p>
        </w:tc>
      </w:tr>
      <w:tr w:rsidR="00E52278">
        <w:tc>
          <w:tcPr>
            <w:tcW w:w="1245" w:type="dxa"/>
            <w:vMerge/>
          </w:tcPr>
          <w:p w:rsidR="00E52278" w:rsidRDefault="00E52278">
            <w:pPr>
              <w:pStyle w:val="Style1"/>
              <w:jc w:val="center"/>
              <w:rPr>
                <w:rFonts w:asciiTheme="minorEastAsia" w:hAnsiTheme="minorEastAsia" w:cstheme="minorEastAsia"/>
                <w:bCs/>
                <w:sz w:val="20"/>
                <w:szCs w:val="20"/>
              </w:rPr>
            </w:pPr>
          </w:p>
        </w:tc>
        <w:tc>
          <w:tcPr>
            <w:tcW w:w="1102" w:type="dxa"/>
            <w:vMerge/>
          </w:tcPr>
          <w:p w:rsidR="00E52278" w:rsidRDefault="00E52278">
            <w:pPr>
              <w:pStyle w:val="Style1"/>
              <w:jc w:val="center"/>
              <w:rPr>
                <w:rFonts w:asciiTheme="minorEastAsia" w:hAnsiTheme="minorEastAsia" w:cstheme="minorEastAsia"/>
                <w:bCs/>
                <w:sz w:val="20"/>
                <w:szCs w:val="20"/>
              </w:rPr>
            </w:pPr>
          </w:p>
        </w:tc>
        <w:tc>
          <w:tcPr>
            <w:tcW w:w="1320" w:type="dxa"/>
            <w:vMerge w:val="restart"/>
          </w:tcPr>
          <w:p w:rsidR="00E52278" w:rsidRDefault="00E52278">
            <w:pPr>
              <w:pStyle w:val="Style1"/>
              <w:jc w:val="center"/>
              <w:rPr>
                <w:rFonts w:asciiTheme="minorEastAsia" w:hAnsiTheme="minorEastAsia" w:cstheme="minorEastAsia"/>
                <w:bCs/>
                <w:sz w:val="20"/>
                <w:szCs w:val="20"/>
              </w:rPr>
            </w:pPr>
          </w:p>
          <w:p w:rsidR="00E52278" w:rsidRDefault="00E52278">
            <w:pPr>
              <w:pStyle w:val="Style1"/>
              <w:jc w:val="center"/>
              <w:rPr>
                <w:rFonts w:asciiTheme="minorEastAsia" w:hAnsiTheme="minorEastAsia" w:cstheme="minorEastAsia"/>
                <w:bCs/>
                <w:sz w:val="20"/>
                <w:szCs w:val="20"/>
              </w:rPr>
            </w:pPr>
          </w:p>
          <w:p w:rsidR="00E52278" w:rsidRDefault="00E52278">
            <w:pPr>
              <w:pStyle w:val="Style1"/>
              <w:jc w:val="center"/>
              <w:rPr>
                <w:rFonts w:asciiTheme="minorEastAsia" w:hAnsiTheme="minorEastAsia" w:cstheme="minorEastAsia"/>
                <w:bCs/>
                <w:sz w:val="20"/>
                <w:szCs w:val="20"/>
              </w:rPr>
            </w:pPr>
          </w:p>
          <w:p w:rsidR="00E52278" w:rsidRDefault="00E52278">
            <w:pPr>
              <w:pStyle w:val="Style1"/>
              <w:jc w:val="center"/>
              <w:rPr>
                <w:rFonts w:asciiTheme="minorEastAsia" w:hAnsiTheme="minorEastAsia" w:cstheme="minorEastAsia"/>
                <w:bCs/>
                <w:sz w:val="20"/>
                <w:szCs w:val="20"/>
              </w:rPr>
            </w:pPr>
          </w:p>
          <w:p w:rsidR="00E52278" w:rsidRDefault="00E52278">
            <w:pPr>
              <w:pStyle w:val="Style1"/>
              <w:jc w:val="center"/>
              <w:rPr>
                <w:rFonts w:asciiTheme="minorEastAsia" w:hAnsiTheme="minorEastAsia" w:cstheme="minorEastAsia"/>
                <w:bCs/>
                <w:sz w:val="20"/>
                <w:szCs w:val="20"/>
              </w:rPr>
            </w:pPr>
          </w:p>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生态效益指标</w:t>
            </w:r>
          </w:p>
        </w:tc>
        <w:tc>
          <w:tcPr>
            <w:tcW w:w="3107" w:type="dxa"/>
          </w:tcPr>
          <w:p w:rsidR="00E52278" w:rsidRDefault="00D701C6">
            <w:pPr>
              <w:pStyle w:val="Style1"/>
              <w:jc w:val="left"/>
              <w:rPr>
                <w:rFonts w:asciiTheme="minorEastAsia" w:hAnsiTheme="minorEastAsia" w:cstheme="minorEastAsia"/>
                <w:bCs/>
                <w:sz w:val="20"/>
                <w:szCs w:val="20"/>
              </w:rPr>
            </w:pPr>
            <w:r>
              <w:rPr>
                <w:rFonts w:asciiTheme="minorEastAsia" w:hAnsiTheme="minorEastAsia" w:cstheme="minorEastAsia" w:hint="eastAsia"/>
                <w:bCs/>
                <w:sz w:val="20"/>
                <w:szCs w:val="20"/>
              </w:rPr>
              <w:t>指标1：重要经济物种放流回捕产量对照（未开展增殖放流时期或地区）增长比率（%）</w:t>
            </w:r>
          </w:p>
        </w:tc>
        <w:tc>
          <w:tcPr>
            <w:tcW w:w="1270" w:type="dxa"/>
          </w:tcPr>
          <w:p w:rsidR="00E52278" w:rsidRDefault="00E52278">
            <w:pPr>
              <w:pStyle w:val="Style1"/>
              <w:jc w:val="center"/>
              <w:rPr>
                <w:rFonts w:asciiTheme="minorEastAsia" w:hAnsiTheme="minorEastAsia" w:cstheme="minorEastAsia"/>
                <w:bCs/>
                <w:sz w:val="20"/>
                <w:szCs w:val="20"/>
              </w:rPr>
            </w:pPr>
          </w:p>
        </w:tc>
      </w:tr>
      <w:tr w:rsidR="00E52278">
        <w:tc>
          <w:tcPr>
            <w:tcW w:w="1245" w:type="dxa"/>
            <w:vMerge/>
          </w:tcPr>
          <w:p w:rsidR="00E52278" w:rsidRDefault="00E52278">
            <w:pPr>
              <w:pStyle w:val="Style1"/>
              <w:jc w:val="center"/>
              <w:rPr>
                <w:rFonts w:asciiTheme="minorEastAsia" w:hAnsiTheme="minorEastAsia" w:cstheme="minorEastAsia"/>
                <w:bCs/>
                <w:sz w:val="20"/>
                <w:szCs w:val="20"/>
              </w:rPr>
            </w:pPr>
          </w:p>
        </w:tc>
        <w:tc>
          <w:tcPr>
            <w:tcW w:w="1102" w:type="dxa"/>
            <w:vMerge/>
          </w:tcPr>
          <w:p w:rsidR="00E52278" w:rsidRDefault="00E52278">
            <w:pPr>
              <w:pStyle w:val="Style1"/>
              <w:jc w:val="center"/>
              <w:rPr>
                <w:rFonts w:asciiTheme="minorEastAsia" w:hAnsiTheme="minorEastAsia" w:cstheme="minorEastAsia"/>
                <w:bCs/>
                <w:sz w:val="20"/>
                <w:szCs w:val="20"/>
              </w:rPr>
            </w:pPr>
          </w:p>
        </w:tc>
        <w:tc>
          <w:tcPr>
            <w:tcW w:w="1320" w:type="dxa"/>
            <w:vMerge/>
          </w:tcPr>
          <w:p w:rsidR="00E52278" w:rsidRDefault="00E52278">
            <w:pPr>
              <w:pStyle w:val="Style1"/>
              <w:jc w:val="center"/>
              <w:rPr>
                <w:rFonts w:asciiTheme="minorEastAsia" w:hAnsiTheme="minorEastAsia" w:cstheme="minorEastAsia"/>
                <w:bCs/>
                <w:sz w:val="20"/>
                <w:szCs w:val="20"/>
              </w:rPr>
            </w:pPr>
          </w:p>
        </w:tc>
        <w:tc>
          <w:tcPr>
            <w:tcW w:w="3107" w:type="dxa"/>
          </w:tcPr>
          <w:p w:rsidR="00E52278" w:rsidRDefault="00D701C6">
            <w:pPr>
              <w:pStyle w:val="Style1"/>
              <w:jc w:val="left"/>
              <w:rPr>
                <w:rFonts w:asciiTheme="minorEastAsia" w:hAnsiTheme="minorEastAsia" w:cstheme="minorEastAsia"/>
                <w:bCs/>
                <w:sz w:val="20"/>
                <w:szCs w:val="20"/>
              </w:rPr>
            </w:pPr>
            <w:r>
              <w:rPr>
                <w:rFonts w:asciiTheme="minorEastAsia" w:hAnsiTheme="minorEastAsia" w:cstheme="minorEastAsia" w:hint="eastAsia"/>
                <w:bCs/>
                <w:sz w:val="20"/>
                <w:szCs w:val="20"/>
              </w:rPr>
              <w:t>指标2：化肥使用量增幅（%）</w:t>
            </w:r>
          </w:p>
        </w:tc>
        <w:tc>
          <w:tcPr>
            <w:tcW w:w="1270" w:type="dxa"/>
          </w:tcPr>
          <w:p w:rsidR="00E52278" w:rsidRDefault="00E52278">
            <w:pPr>
              <w:pStyle w:val="Style1"/>
              <w:jc w:val="center"/>
              <w:rPr>
                <w:rFonts w:asciiTheme="minorEastAsia" w:hAnsiTheme="minorEastAsia" w:cstheme="minorEastAsia"/>
                <w:bCs/>
                <w:sz w:val="20"/>
                <w:szCs w:val="20"/>
              </w:rPr>
            </w:pPr>
          </w:p>
        </w:tc>
      </w:tr>
      <w:tr w:rsidR="00E52278">
        <w:tc>
          <w:tcPr>
            <w:tcW w:w="1245" w:type="dxa"/>
            <w:vMerge/>
          </w:tcPr>
          <w:p w:rsidR="00E52278" w:rsidRDefault="00E52278">
            <w:pPr>
              <w:pStyle w:val="Style1"/>
              <w:jc w:val="center"/>
              <w:rPr>
                <w:rFonts w:asciiTheme="minorEastAsia" w:hAnsiTheme="minorEastAsia" w:cstheme="minorEastAsia"/>
                <w:bCs/>
                <w:sz w:val="20"/>
                <w:szCs w:val="20"/>
              </w:rPr>
            </w:pPr>
          </w:p>
        </w:tc>
        <w:tc>
          <w:tcPr>
            <w:tcW w:w="1102" w:type="dxa"/>
            <w:vMerge/>
          </w:tcPr>
          <w:p w:rsidR="00E52278" w:rsidRDefault="00E52278">
            <w:pPr>
              <w:pStyle w:val="Style1"/>
              <w:jc w:val="center"/>
              <w:rPr>
                <w:rFonts w:asciiTheme="minorEastAsia" w:hAnsiTheme="minorEastAsia" w:cstheme="minorEastAsia"/>
                <w:bCs/>
                <w:sz w:val="20"/>
                <w:szCs w:val="20"/>
              </w:rPr>
            </w:pPr>
          </w:p>
        </w:tc>
        <w:tc>
          <w:tcPr>
            <w:tcW w:w="1320" w:type="dxa"/>
            <w:vMerge/>
          </w:tcPr>
          <w:p w:rsidR="00E52278" w:rsidRDefault="00E52278">
            <w:pPr>
              <w:pStyle w:val="Style1"/>
              <w:jc w:val="center"/>
              <w:rPr>
                <w:rFonts w:asciiTheme="minorEastAsia" w:hAnsiTheme="minorEastAsia" w:cstheme="minorEastAsia"/>
                <w:bCs/>
                <w:sz w:val="20"/>
                <w:szCs w:val="20"/>
              </w:rPr>
            </w:pPr>
          </w:p>
        </w:tc>
        <w:tc>
          <w:tcPr>
            <w:tcW w:w="3107" w:type="dxa"/>
          </w:tcPr>
          <w:p w:rsidR="00E52278" w:rsidRDefault="00D701C6">
            <w:pPr>
              <w:pStyle w:val="Style1"/>
              <w:jc w:val="left"/>
              <w:rPr>
                <w:rFonts w:asciiTheme="minorEastAsia" w:hAnsiTheme="minorEastAsia" w:cstheme="minorEastAsia"/>
                <w:bCs/>
                <w:sz w:val="20"/>
                <w:szCs w:val="20"/>
              </w:rPr>
            </w:pPr>
            <w:r>
              <w:rPr>
                <w:rFonts w:asciiTheme="minorEastAsia" w:hAnsiTheme="minorEastAsia" w:cstheme="minorEastAsia" w:hint="eastAsia"/>
                <w:bCs/>
                <w:sz w:val="20"/>
                <w:szCs w:val="20"/>
              </w:rPr>
              <w:t>指标3：耕地质蚤提升与化肥减量增效示范县项目区耕地土壤有机质含量提升（%）</w:t>
            </w:r>
          </w:p>
        </w:tc>
        <w:tc>
          <w:tcPr>
            <w:tcW w:w="1270" w:type="dxa"/>
          </w:tcPr>
          <w:p w:rsidR="00E52278" w:rsidRDefault="00E52278">
            <w:pPr>
              <w:pStyle w:val="Style1"/>
              <w:jc w:val="center"/>
              <w:rPr>
                <w:rFonts w:asciiTheme="minorEastAsia" w:hAnsiTheme="minorEastAsia" w:cstheme="minorEastAsia"/>
                <w:bCs/>
                <w:sz w:val="20"/>
                <w:szCs w:val="20"/>
              </w:rPr>
            </w:pPr>
          </w:p>
        </w:tc>
      </w:tr>
      <w:tr w:rsidR="00E52278">
        <w:tc>
          <w:tcPr>
            <w:tcW w:w="1245" w:type="dxa"/>
            <w:vMerge/>
          </w:tcPr>
          <w:p w:rsidR="00E52278" w:rsidRDefault="00E52278">
            <w:pPr>
              <w:pStyle w:val="Style1"/>
              <w:jc w:val="center"/>
              <w:rPr>
                <w:rFonts w:asciiTheme="minorEastAsia" w:hAnsiTheme="minorEastAsia" w:cstheme="minorEastAsia"/>
                <w:bCs/>
                <w:sz w:val="20"/>
                <w:szCs w:val="20"/>
              </w:rPr>
            </w:pPr>
          </w:p>
        </w:tc>
        <w:tc>
          <w:tcPr>
            <w:tcW w:w="1102" w:type="dxa"/>
            <w:vMerge/>
          </w:tcPr>
          <w:p w:rsidR="00E52278" w:rsidRDefault="00E52278">
            <w:pPr>
              <w:pStyle w:val="Style1"/>
              <w:jc w:val="center"/>
              <w:rPr>
                <w:rFonts w:asciiTheme="minorEastAsia" w:hAnsiTheme="minorEastAsia" w:cstheme="minorEastAsia"/>
                <w:bCs/>
                <w:sz w:val="20"/>
                <w:szCs w:val="20"/>
              </w:rPr>
            </w:pPr>
          </w:p>
        </w:tc>
        <w:tc>
          <w:tcPr>
            <w:tcW w:w="1320" w:type="dxa"/>
            <w:vMerge/>
          </w:tcPr>
          <w:p w:rsidR="00E52278" w:rsidRDefault="00E52278">
            <w:pPr>
              <w:pStyle w:val="Style1"/>
              <w:jc w:val="center"/>
              <w:rPr>
                <w:rFonts w:asciiTheme="minorEastAsia" w:hAnsiTheme="minorEastAsia" w:cstheme="minorEastAsia"/>
                <w:bCs/>
                <w:sz w:val="20"/>
                <w:szCs w:val="20"/>
              </w:rPr>
            </w:pPr>
          </w:p>
        </w:tc>
        <w:tc>
          <w:tcPr>
            <w:tcW w:w="3107" w:type="dxa"/>
          </w:tcPr>
          <w:p w:rsidR="00E52278" w:rsidRDefault="00D701C6">
            <w:pPr>
              <w:pStyle w:val="Style1"/>
              <w:jc w:val="left"/>
              <w:rPr>
                <w:rFonts w:asciiTheme="minorEastAsia" w:hAnsiTheme="minorEastAsia" w:cstheme="minorEastAsia"/>
                <w:bCs/>
                <w:sz w:val="20"/>
                <w:szCs w:val="20"/>
              </w:rPr>
            </w:pPr>
            <w:r>
              <w:rPr>
                <w:rFonts w:asciiTheme="minorEastAsia" w:hAnsiTheme="minorEastAsia" w:cstheme="minorEastAsia" w:hint="eastAsia"/>
                <w:bCs/>
                <w:sz w:val="20"/>
                <w:szCs w:val="20"/>
              </w:rPr>
              <w:t>指标4：耕地质量等级</w:t>
            </w:r>
          </w:p>
        </w:tc>
        <w:tc>
          <w:tcPr>
            <w:tcW w:w="1270"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持平或提升</w:t>
            </w:r>
          </w:p>
        </w:tc>
      </w:tr>
      <w:tr w:rsidR="00E52278">
        <w:tc>
          <w:tcPr>
            <w:tcW w:w="1245" w:type="dxa"/>
            <w:vMerge/>
          </w:tcPr>
          <w:p w:rsidR="00E52278" w:rsidRDefault="00E52278">
            <w:pPr>
              <w:pStyle w:val="Style1"/>
              <w:jc w:val="center"/>
              <w:rPr>
                <w:rFonts w:asciiTheme="minorEastAsia" w:hAnsiTheme="minorEastAsia" w:cstheme="minorEastAsia"/>
                <w:bCs/>
                <w:sz w:val="20"/>
                <w:szCs w:val="20"/>
              </w:rPr>
            </w:pPr>
          </w:p>
        </w:tc>
        <w:tc>
          <w:tcPr>
            <w:tcW w:w="1102" w:type="dxa"/>
            <w:vMerge/>
          </w:tcPr>
          <w:p w:rsidR="00E52278" w:rsidRDefault="00E52278">
            <w:pPr>
              <w:pStyle w:val="Style1"/>
              <w:jc w:val="center"/>
              <w:rPr>
                <w:rFonts w:asciiTheme="minorEastAsia" w:hAnsiTheme="minorEastAsia" w:cstheme="minorEastAsia"/>
                <w:bCs/>
                <w:sz w:val="20"/>
                <w:szCs w:val="20"/>
              </w:rPr>
            </w:pPr>
          </w:p>
        </w:tc>
        <w:tc>
          <w:tcPr>
            <w:tcW w:w="1320" w:type="dxa"/>
            <w:vMerge/>
          </w:tcPr>
          <w:p w:rsidR="00E52278" w:rsidRDefault="00E52278">
            <w:pPr>
              <w:pStyle w:val="Style1"/>
              <w:jc w:val="center"/>
              <w:rPr>
                <w:rFonts w:asciiTheme="minorEastAsia" w:hAnsiTheme="minorEastAsia" w:cstheme="minorEastAsia"/>
                <w:bCs/>
                <w:sz w:val="20"/>
                <w:szCs w:val="20"/>
              </w:rPr>
            </w:pPr>
          </w:p>
        </w:tc>
        <w:tc>
          <w:tcPr>
            <w:tcW w:w="3107" w:type="dxa"/>
          </w:tcPr>
          <w:p w:rsidR="00E52278" w:rsidRDefault="00D701C6">
            <w:pPr>
              <w:pStyle w:val="Style1"/>
              <w:jc w:val="left"/>
              <w:rPr>
                <w:rFonts w:asciiTheme="minorEastAsia" w:hAnsiTheme="minorEastAsia" w:cstheme="minorEastAsia"/>
                <w:bCs/>
                <w:sz w:val="20"/>
                <w:szCs w:val="20"/>
              </w:rPr>
            </w:pPr>
            <w:r>
              <w:rPr>
                <w:rFonts w:asciiTheme="minorEastAsia" w:hAnsiTheme="minorEastAsia" w:cstheme="minorEastAsia" w:hint="eastAsia"/>
                <w:bCs/>
                <w:sz w:val="20"/>
                <w:szCs w:val="20"/>
              </w:rPr>
              <w:t>指标5：全省秸秆综合利用率</w:t>
            </w:r>
          </w:p>
        </w:tc>
        <w:tc>
          <w:tcPr>
            <w:tcW w:w="1270"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持平或提升</w:t>
            </w:r>
          </w:p>
        </w:tc>
      </w:tr>
      <w:tr w:rsidR="00E52278">
        <w:tc>
          <w:tcPr>
            <w:tcW w:w="1245" w:type="dxa"/>
            <w:vMerge/>
          </w:tcPr>
          <w:p w:rsidR="00E52278" w:rsidRDefault="00E52278">
            <w:pPr>
              <w:pStyle w:val="Style1"/>
              <w:jc w:val="center"/>
              <w:rPr>
                <w:rFonts w:asciiTheme="minorEastAsia" w:hAnsiTheme="minorEastAsia" w:cstheme="minorEastAsia"/>
                <w:bCs/>
                <w:sz w:val="20"/>
                <w:szCs w:val="20"/>
              </w:rPr>
            </w:pPr>
          </w:p>
        </w:tc>
        <w:tc>
          <w:tcPr>
            <w:tcW w:w="1102"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满意度指标</w:t>
            </w:r>
          </w:p>
        </w:tc>
        <w:tc>
          <w:tcPr>
            <w:tcW w:w="1320"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服务对象满意度指标</w:t>
            </w:r>
          </w:p>
        </w:tc>
        <w:tc>
          <w:tcPr>
            <w:tcW w:w="3107" w:type="dxa"/>
          </w:tcPr>
          <w:p w:rsidR="00E52278" w:rsidRDefault="00D701C6">
            <w:pPr>
              <w:pStyle w:val="Style1"/>
              <w:jc w:val="left"/>
              <w:rPr>
                <w:rFonts w:asciiTheme="minorEastAsia" w:hAnsiTheme="minorEastAsia" w:cstheme="minorEastAsia"/>
                <w:bCs/>
                <w:sz w:val="20"/>
                <w:szCs w:val="20"/>
              </w:rPr>
            </w:pPr>
            <w:r>
              <w:rPr>
                <w:rFonts w:asciiTheme="minorEastAsia" w:hAnsiTheme="minorEastAsia" w:cstheme="minorEastAsia" w:hint="eastAsia"/>
                <w:bCs/>
                <w:sz w:val="20"/>
                <w:szCs w:val="20"/>
              </w:rPr>
              <w:t>指标1：捕捞渔民抽样调查资源满意度</w:t>
            </w:r>
          </w:p>
        </w:tc>
        <w:tc>
          <w:tcPr>
            <w:tcW w:w="1270" w:type="dxa"/>
          </w:tcPr>
          <w:p w:rsidR="00E52278" w:rsidRDefault="00D701C6">
            <w:pPr>
              <w:pStyle w:val="Style1"/>
              <w:jc w:val="center"/>
              <w:rPr>
                <w:rFonts w:asciiTheme="minorEastAsia" w:hAnsiTheme="minorEastAsia" w:cstheme="minorEastAsia"/>
                <w:bCs/>
                <w:sz w:val="20"/>
                <w:szCs w:val="20"/>
              </w:rPr>
            </w:pPr>
            <w:r>
              <w:rPr>
                <w:rFonts w:asciiTheme="minorEastAsia" w:hAnsiTheme="minorEastAsia" w:cstheme="minorEastAsia" w:hint="eastAsia"/>
                <w:bCs/>
                <w:sz w:val="20"/>
                <w:szCs w:val="20"/>
              </w:rPr>
              <w:t>≥80%</w:t>
            </w:r>
          </w:p>
        </w:tc>
      </w:tr>
    </w:tbl>
    <w:p w:rsidR="00E52278" w:rsidRDefault="00E52278">
      <w:pPr>
        <w:pStyle w:val="Style1"/>
        <w:rPr>
          <w:rFonts w:ascii="仿宋_GB2312" w:eastAsia="仿宋_GB2312" w:hAnsi="仿宋_GB2312" w:cs="仿宋_GB2312"/>
          <w:b/>
          <w:sz w:val="24"/>
          <w:szCs w:val="24"/>
        </w:rPr>
        <w:sectPr w:rsidR="00E52278">
          <w:footerReference w:type="default" r:id="rId10"/>
          <w:pgSz w:w="11906" w:h="16838"/>
          <w:pgMar w:top="1440" w:right="1800" w:bottom="1440" w:left="1800" w:header="851" w:footer="992" w:gutter="0"/>
          <w:cols w:space="425"/>
          <w:docGrid w:type="lines" w:linePitch="312"/>
        </w:sectPr>
      </w:pPr>
    </w:p>
    <w:tbl>
      <w:tblPr>
        <w:tblW w:w="5000" w:type="pct"/>
        <w:jc w:val="center"/>
        <w:tblCellMar>
          <w:left w:w="0" w:type="dxa"/>
          <w:right w:w="0" w:type="dxa"/>
        </w:tblCellMar>
        <w:tblLook w:val="04A0"/>
      </w:tblPr>
      <w:tblGrid>
        <w:gridCol w:w="389"/>
        <w:gridCol w:w="440"/>
        <w:gridCol w:w="426"/>
        <w:gridCol w:w="1483"/>
        <w:gridCol w:w="549"/>
        <w:gridCol w:w="504"/>
        <w:gridCol w:w="664"/>
        <w:gridCol w:w="664"/>
        <w:gridCol w:w="664"/>
        <w:gridCol w:w="584"/>
        <w:gridCol w:w="344"/>
        <w:gridCol w:w="504"/>
        <w:gridCol w:w="361"/>
        <w:gridCol w:w="361"/>
        <w:gridCol w:w="664"/>
        <w:gridCol w:w="584"/>
        <w:gridCol w:w="664"/>
        <w:gridCol w:w="664"/>
        <w:gridCol w:w="664"/>
        <w:gridCol w:w="664"/>
        <w:gridCol w:w="356"/>
        <w:gridCol w:w="358"/>
        <w:gridCol w:w="358"/>
        <w:gridCol w:w="424"/>
        <w:gridCol w:w="298"/>
        <w:gridCol w:w="348"/>
      </w:tblGrid>
      <w:tr w:rsidR="00E52278" w:rsidTr="00B338EB">
        <w:trPr>
          <w:trHeight w:val="560"/>
          <w:jc w:val="center"/>
        </w:trPr>
        <w:tc>
          <w:tcPr>
            <w:tcW w:w="5000" w:type="pct"/>
            <w:gridSpan w:val="2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40" w:lineRule="exact"/>
              <w:jc w:val="center"/>
              <w:textAlignment w:val="center"/>
              <w:rPr>
                <w:rFonts w:ascii="宋体" w:eastAsia="宋体" w:hAnsi="宋体" w:cs="宋体"/>
                <w:b/>
                <w:color w:val="000000"/>
                <w:sz w:val="32"/>
                <w:szCs w:val="32"/>
              </w:rPr>
            </w:pPr>
            <w:r>
              <w:rPr>
                <w:rFonts w:ascii="宋体" w:eastAsia="宋体" w:hAnsi="宋体" w:cs="宋体" w:hint="eastAsia"/>
                <w:b/>
                <w:color w:val="000000"/>
                <w:kern w:val="0"/>
                <w:sz w:val="32"/>
                <w:szCs w:val="32"/>
              </w:rPr>
              <w:lastRenderedPageBreak/>
              <w:t>2019年中央农业资源及生态保护补助资金区域绩效目标表</w:t>
            </w:r>
          </w:p>
        </w:tc>
      </w:tr>
      <w:tr w:rsidR="00E52278" w:rsidTr="00B338EB">
        <w:trPr>
          <w:trHeight w:val="380"/>
          <w:jc w:val="center"/>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转移支付名称</w:t>
            </w:r>
          </w:p>
        </w:tc>
        <w:tc>
          <w:tcPr>
            <w:tcW w:w="1182" w:type="pct"/>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农业资源及生态保护补助资金（全年总表）</w:t>
            </w:r>
          </w:p>
        </w:tc>
        <w:tc>
          <w:tcPr>
            <w:tcW w:w="2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全区总绩效目标</w:t>
            </w:r>
          </w:p>
        </w:tc>
        <w:tc>
          <w:tcPr>
            <w:tcW w:w="3432" w:type="pct"/>
            <w:gridSpan w:val="20"/>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分区域绩效目标</w:t>
            </w:r>
          </w:p>
        </w:tc>
      </w:tr>
      <w:tr w:rsidR="00E52278" w:rsidTr="00B338EB">
        <w:trPr>
          <w:trHeight w:val="765"/>
          <w:jc w:val="center"/>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中央主管部门</w:t>
            </w: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财政部、农业农村部</w:t>
            </w:r>
          </w:p>
        </w:tc>
        <w:tc>
          <w:tcPr>
            <w:tcW w:w="18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实施期限</w:t>
            </w:r>
          </w:p>
        </w:tc>
        <w:tc>
          <w:tcPr>
            <w:tcW w:w="79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长期</w:t>
            </w:r>
          </w:p>
        </w:tc>
        <w:tc>
          <w:tcPr>
            <w:tcW w:w="2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合计</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伊犁州</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塔城地区</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阿勒泰地区</w:t>
            </w: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昌吉州</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乌鲁木齐市</w:t>
            </w:r>
          </w:p>
        </w:tc>
        <w:tc>
          <w:tcPr>
            <w:tcW w:w="16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克拉玛依市</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博州</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吐鲁番市</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哈密市</w:t>
            </w: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巴州</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阿克苏地区</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克州</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喀什地区</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和田地区</w:t>
            </w:r>
          </w:p>
        </w:tc>
        <w:tc>
          <w:tcPr>
            <w:tcW w:w="164"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新疆农业科学院土壤肥料与农业节水研究所</w:t>
            </w:r>
          </w:p>
        </w:tc>
        <w:tc>
          <w:tcPr>
            <w:tcW w:w="165"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额河监管局</w:t>
            </w:r>
          </w:p>
        </w:tc>
        <w:tc>
          <w:tcPr>
            <w:tcW w:w="165"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伊河监管局</w:t>
            </w:r>
          </w:p>
        </w:tc>
        <w:tc>
          <w:tcPr>
            <w:tcW w:w="16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自治区水产科研所</w:t>
            </w:r>
          </w:p>
        </w:tc>
        <w:tc>
          <w:tcPr>
            <w:tcW w:w="164"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自治区渔政管理总站</w:t>
            </w:r>
          </w:p>
        </w:tc>
        <w:tc>
          <w:tcPr>
            <w:tcW w:w="165"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克孜尔水库管理局</w:t>
            </w:r>
          </w:p>
        </w:tc>
      </w:tr>
      <w:tr w:rsidR="00E52278" w:rsidTr="00B338EB">
        <w:trPr>
          <w:trHeight w:val="580"/>
          <w:jc w:val="center"/>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省级财政部门</w:t>
            </w: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新疆维吾尔自治区财政厅</w:t>
            </w:r>
          </w:p>
        </w:tc>
        <w:tc>
          <w:tcPr>
            <w:tcW w:w="18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省级主管部门</w:t>
            </w:r>
          </w:p>
        </w:tc>
        <w:tc>
          <w:tcPr>
            <w:tcW w:w="5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新疆维吾尔自治区农业农村厅</w:t>
            </w:r>
          </w:p>
        </w:tc>
        <w:tc>
          <w:tcPr>
            <w:tcW w:w="2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2443" w:type="pct"/>
            <w:gridSpan w:val="1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各地（州、市）：财政局、农业农村（农业、农牧、畜牧兽医）局</w:t>
            </w:r>
          </w:p>
        </w:tc>
        <w:tc>
          <w:tcPr>
            <w:tcW w:w="16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r>
      <w:tr w:rsidR="00E52278" w:rsidTr="00B338EB">
        <w:trPr>
          <w:trHeight w:val="392"/>
          <w:jc w:val="center"/>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资金情况（万元）</w:t>
            </w: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年度金额</w:t>
            </w:r>
          </w:p>
        </w:tc>
        <w:tc>
          <w:tcPr>
            <w:tcW w:w="988"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261063</w:t>
            </w:r>
          </w:p>
        </w:tc>
        <w:tc>
          <w:tcPr>
            <w:tcW w:w="2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261063</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24476.18</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27626.31</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36119.76</w:t>
            </w: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29450.5</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7955</w:t>
            </w:r>
          </w:p>
        </w:tc>
        <w:tc>
          <w:tcPr>
            <w:tcW w:w="16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1320.5</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9875</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6373</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16134.39</w:t>
            </w: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36741.5</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18127.47</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16760.43</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15540.85</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14202.01</w:t>
            </w: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70</w:t>
            </w: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25</w:t>
            </w: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25</w:t>
            </w: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170.1</w:t>
            </w: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50</w:t>
            </w: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20</w:t>
            </w:r>
          </w:p>
        </w:tc>
      </w:tr>
      <w:tr w:rsidR="00E52278" w:rsidTr="00B338EB">
        <w:trPr>
          <w:trHeight w:val="420"/>
          <w:jc w:val="center"/>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spacing w:line="200" w:lineRule="exact"/>
              <w:jc w:val="center"/>
              <w:rPr>
                <w:rFonts w:ascii="宋体" w:eastAsia="宋体" w:hAnsi="宋体" w:cs="宋体"/>
                <w:color w:val="000000"/>
                <w:sz w:val="16"/>
                <w:szCs w:val="16"/>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其中：中央补助</w:t>
            </w:r>
          </w:p>
        </w:tc>
        <w:tc>
          <w:tcPr>
            <w:tcW w:w="988"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261063</w:t>
            </w:r>
          </w:p>
        </w:tc>
        <w:tc>
          <w:tcPr>
            <w:tcW w:w="2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261063</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24476.18</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27626.31</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36119.76</w:t>
            </w: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29450.5</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7955</w:t>
            </w:r>
          </w:p>
        </w:tc>
        <w:tc>
          <w:tcPr>
            <w:tcW w:w="16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1320.5</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9875</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6373</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16134.39</w:t>
            </w: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36741.5</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18127.47</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16760.43</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15540.85</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14202.01</w:t>
            </w: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70</w:t>
            </w: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25</w:t>
            </w: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25</w:t>
            </w: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170.1</w:t>
            </w: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50</w:t>
            </w: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20</w:t>
            </w:r>
          </w:p>
        </w:tc>
      </w:tr>
      <w:tr w:rsidR="00E52278" w:rsidTr="00B338EB">
        <w:trPr>
          <w:trHeight w:val="320"/>
          <w:jc w:val="center"/>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地方资金</w:t>
            </w:r>
          </w:p>
        </w:tc>
        <w:tc>
          <w:tcPr>
            <w:tcW w:w="988"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2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r>
      <w:tr w:rsidR="00E52278" w:rsidTr="00B338EB">
        <w:trPr>
          <w:trHeight w:val="320"/>
          <w:jc w:val="center"/>
        </w:trPr>
        <w:tc>
          <w:tcPr>
            <w:tcW w:w="176"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年度目标</w:t>
            </w:r>
          </w:p>
        </w:tc>
        <w:tc>
          <w:tcPr>
            <w:tcW w:w="1182" w:type="pct"/>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1.提高耕地质量，减少化肥用料</w:t>
            </w:r>
          </w:p>
        </w:tc>
        <w:tc>
          <w:tcPr>
            <w:tcW w:w="2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6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r>
      <w:tr w:rsidR="00E52278" w:rsidTr="00B338EB">
        <w:trPr>
          <w:trHeight w:val="380"/>
          <w:jc w:val="center"/>
        </w:trPr>
        <w:tc>
          <w:tcPr>
            <w:tcW w:w="17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1182" w:type="pct"/>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2.探索农作物秸秆还田、离田利用有效模式，提高农作物秸秆利用率</w:t>
            </w:r>
          </w:p>
        </w:tc>
        <w:tc>
          <w:tcPr>
            <w:tcW w:w="2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r>
      <w:tr w:rsidR="00E52278" w:rsidTr="00B338EB">
        <w:trPr>
          <w:trHeight w:val="280"/>
          <w:jc w:val="center"/>
        </w:trPr>
        <w:tc>
          <w:tcPr>
            <w:tcW w:w="17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1182" w:type="pct"/>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3.水域生态环境得到改善，渔业种群资源加快恢复</w:t>
            </w:r>
          </w:p>
        </w:tc>
        <w:tc>
          <w:tcPr>
            <w:tcW w:w="2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6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r>
      <w:tr w:rsidR="00E52278" w:rsidTr="00B338EB">
        <w:trPr>
          <w:trHeight w:val="340"/>
          <w:jc w:val="center"/>
        </w:trPr>
        <w:tc>
          <w:tcPr>
            <w:tcW w:w="17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1182" w:type="pct"/>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4.牧民政策性收入稳步增长，畜牧业生产方式不断改善</w:t>
            </w:r>
          </w:p>
        </w:tc>
        <w:tc>
          <w:tcPr>
            <w:tcW w:w="2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6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r>
      <w:tr w:rsidR="00E52278" w:rsidTr="00B338EB">
        <w:trPr>
          <w:trHeight w:val="520"/>
          <w:jc w:val="center"/>
        </w:trPr>
        <w:tc>
          <w:tcPr>
            <w:tcW w:w="17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1182" w:type="pct"/>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5.涉农资金统筹整合部分集中用于脱贫攻坚（按照扶贫资金管理及绩效评价）</w:t>
            </w:r>
          </w:p>
        </w:tc>
        <w:tc>
          <w:tcPr>
            <w:tcW w:w="2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r>
      <w:tr w:rsidR="00E52278" w:rsidTr="00B338EB">
        <w:trPr>
          <w:trHeight w:val="280"/>
          <w:jc w:val="center"/>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一级</w:t>
            </w:r>
            <w:r>
              <w:rPr>
                <w:rFonts w:ascii="宋体" w:eastAsia="宋体" w:hAnsi="宋体" w:cs="宋体" w:hint="eastAsia"/>
                <w:color w:val="000000"/>
                <w:kern w:val="0"/>
                <w:sz w:val="16"/>
                <w:szCs w:val="16"/>
              </w:rPr>
              <w:lastRenderedPageBreak/>
              <w:t>指标</w:t>
            </w:r>
          </w:p>
        </w:tc>
        <w:tc>
          <w:tcPr>
            <w:tcW w:w="18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lastRenderedPageBreak/>
              <w:t>二级</w:t>
            </w:r>
            <w:r>
              <w:rPr>
                <w:rFonts w:ascii="宋体" w:eastAsia="宋体" w:hAnsi="宋体" w:cs="宋体" w:hint="eastAsia"/>
                <w:color w:val="000000"/>
                <w:kern w:val="0"/>
                <w:sz w:val="16"/>
                <w:szCs w:val="16"/>
              </w:rPr>
              <w:lastRenderedPageBreak/>
              <w:t>指标</w:t>
            </w:r>
          </w:p>
        </w:tc>
        <w:tc>
          <w:tcPr>
            <w:tcW w:w="5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lastRenderedPageBreak/>
              <w:t>三级指标</w:t>
            </w:r>
          </w:p>
        </w:tc>
        <w:tc>
          <w:tcPr>
            <w:tcW w:w="23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指标值</w:t>
            </w:r>
          </w:p>
        </w:tc>
        <w:tc>
          <w:tcPr>
            <w:tcW w:w="3642" w:type="pct"/>
            <w:gridSpan w:val="21"/>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指标值</w:t>
            </w:r>
          </w:p>
        </w:tc>
      </w:tr>
      <w:tr w:rsidR="00B338EB" w:rsidTr="00B338EB">
        <w:trPr>
          <w:trHeight w:val="260"/>
          <w:jc w:val="center"/>
        </w:trPr>
        <w:tc>
          <w:tcPr>
            <w:tcW w:w="176"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lastRenderedPageBreak/>
              <w:t>绩效指标</w:t>
            </w:r>
          </w:p>
        </w:tc>
        <w:tc>
          <w:tcPr>
            <w:tcW w:w="194"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产出指标</w:t>
            </w:r>
          </w:p>
        </w:tc>
        <w:tc>
          <w:tcPr>
            <w:tcW w:w="189"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数量指标</w:t>
            </w:r>
          </w:p>
        </w:tc>
        <w:tc>
          <w:tcPr>
            <w:tcW w:w="5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化肥减量增效增效示范县数量</w:t>
            </w:r>
          </w:p>
        </w:tc>
        <w:tc>
          <w:tcPr>
            <w:tcW w:w="23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11个</w:t>
            </w:r>
          </w:p>
        </w:tc>
        <w:tc>
          <w:tcPr>
            <w:tcW w:w="2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11个</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w:t>
            </w:r>
          </w:p>
        </w:tc>
        <w:tc>
          <w:tcPr>
            <w:tcW w:w="16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w:t>
            </w: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r>
      <w:tr w:rsidR="00B338EB" w:rsidTr="00B338EB">
        <w:trPr>
          <w:trHeight w:val="220"/>
          <w:jc w:val="center"/>
        </w:trPr>
        <w:tc>
          <w:tcPr>
            <w:tcW w:w="17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19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18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5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取土化验数量</w:t>
            </w:r>
          </w:p>
        </w:tc>
        <w:tc>
          <w:tcPr>
            <w:tcW w:w="23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≥3000个</w:t>
            </w:r>
          </w:p>
        </w:tc>
        <w:tc>
          <w:tcPr>
            <w:tcW w:w="2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7040个</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944</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1169</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363</w:t>
            </w: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970</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115</w:t>
            </w:r>
          </w:p>
        </w:tc>
        <w:tc>
          <w:tcPr>
            <w:tcW w:w="16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44</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259</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87</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142</w:t>
            </w: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532</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990</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83</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1018</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324</w:t>
            </w: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r>
      <w:tr w:rsidR="00B338EB" w:rsidTr="00B338EB">
        <w:trPr>
          <w:trHeight w:val="260"/>
          <w:jc w:val="center"/>
        </w:trPr>
        <w:tc>
          <w:tcPr>
            <w:tcW w:w="17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19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18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5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田间肥效试验数量</w:t>
            </w:r>
          </w:p>
        </w:tc>
        <w:tc>
          <w:tcPr>
            <w:tcW w:w="23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≥150个</w:t>
            </w:r>
          </w:p>
        </w:tc>
        <w:tc>
          <w:tcPr>
            <w:tcW w:w="2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165个</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15</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25</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w:t>
            </w: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25</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6</w:t>
            </w:r>
          </w:p>
        </w:tc>
        <w:tc>
          <w:tcPr>
            <w:tcW w:w="16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20</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6</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8</w:t>
            </w: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15</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20</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6</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w:t>
            </w: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r>
      <w:tr w:rsidR="00B338EB" w:rsidTr="00B338EB">
        <w:trPr>
          <w:trHeight w:val="620"/>
          <w:jc w:val="center"/>
        </w:trPr>
        <w:tc>
          <w:tcPr>
            <w:tcW w:w="17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19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18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5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省级以上增效放流活动（省级以上渔业主管部门作为活动主板单位）举办次数</w:t>
            </w:r>
          </w:p>
        </w:tc>
        <w:tc>
          <w:tcPr>
            <w:tcW w:w="23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≥3次</w:t>
            </w:r>
          </w:p>
        </w:tc>
        <w:tc>
          <w:tcPr>
            <w:tcW w:w="2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3次</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3次</w:t>
            </w: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r>
      <w:tr w:rsidR="00B338EB" w:rsidTr="00B338EB">
        <w:trPr>
          <w:trHeight w:val="520"/>
          <w:jc w:val="center"/>
        </w:trPr>
        <w:tc>
          <w:tcPr>
            <w:tcW w:w="17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19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18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5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渔业增殖放流规模</w:t>
            </w:r>
          </w:p>
        </w:tc>
        <w:tc>
          <w:tcPr>
            <w:tcW w:w="23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≥16000万尾（粒）</w:t>
            </w:r>
          </w:p>
        </w:tc>
        <w:tc>
          <w:tcPr>
            <w:tcW w:w="2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4427万尾（粒）</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12</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502</w:t>
            </w: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75</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2000</w:t>
            </w:r>
          </w:p>
        </w:tc>
        <w:tc>
          <w:tcPr>
            <w:tcW w:w="16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20</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500</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40</w:t>
            </w: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335</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742</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51</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50</w:t>
            </w: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w:t>
            </w: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w:t>
            </w: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8</w:t>
            </w: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w:t>
            </w:r>
          </w:p>
        </w:tc>
      </w:tr>
      <w:tr w:rsidR="00B338EB" w:rsidTr="00B338EB">
        <w:trPr>
          <w:trHeight w:val="384"/>
          <w:jc w:val="center"/>
        </w:trPr>
        <w:tc>
          <w:tcPr>
            <w:tcW w:w="17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19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18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5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完成自治区级耕地地力评价报告份数</w:t>
            </w:r>
          </w:p>
        </w:tc>
        <w:tc>
          <w:tcPr>
            <w:tcW w:w="23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1份</w:t>
            </w:r>
          </w:p>
        </w:tc>
        <w:tc>
          <w:tcPr>
            <w:tcW w:w="2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1份</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1份</w:t>
            </w: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r>
      <w:tr w:rsidR="00B338EB" w:rsidTr="00B338EB">
        <w:trPr>
          <w:trHeight w:val="380"/>
          <w:jc w:val="center"/>
        </w:trPr>
        <w:tc>
          <w:tcPr>
            <w:tcW w:w="17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19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18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5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建设秸秆综合利用重点县</w:t>
            </w:r>
          </w:p>
        </w:tc>
        <w:tc>
          <w:tcPr>
            <w:tcW w:w="23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9个</w:t>
            </w:r>
          </w:p>
        </w:tc>
        <w:tc>
          <w:tcPr>
            <w:tcW w:w="2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9个</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w:t>
            </w: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w:t>
            </w: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r>
      <w:tr w:rsidR="00B338EB" w:rsidTr="00B338EB">
        <w:trPr>
          <w:trHeight w:val="300"/>
          <w:jc w:val="center"/>
        </w:trPr>
        <w:tc>
          <w:tcPr>
            <w:tcW w:w="17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19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189"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质量指标</w:t>
            </w:r>
          </w:p>
        </w:tc>
        <w:tc>
          <w:tcPr>
            <w:tcW w:w="5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资金使用无重大违规违纪问题</w:t>
            </w:r>
          </w:p>
        </w:tc>
        <w:tc>
          <w:tcPr>
            <w:tcW w:w="23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无</w:t>
            </w:r>
          </w:p>
        </w:tc>
        <w:tc>
          <w:tcPr>
            <w:tcW w:w="2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无</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无</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无</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无</w:t>
            </w: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无</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无</w:t>
            </w:r>
          </w:p>
        </w:tc>
        <w:tc>
          <w:tcPr>
            <w:tcW w:w="16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无</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无</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无</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无</w:t>
            </w: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无</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无</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无</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无</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无</w:t>
            </w: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无</w:t>
            </w: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无</w:t>
            </w: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无</w:t>
            </w: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无</w:t>
            </w: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无</w:t>
            </w: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无</w:t>
            </w:r>
          </w:p>
        </w:tc>
      </w:tr>
      <w:tr w:rsidR="00B338EB" w:rsidTr="00B338EB">
        <w:trPr>
          <w:trHeight w:val="660"/>
          <w:jc w:val="center"/>
        </w:trPr>
        <w:tc>
          <w:tcPr>
            <w:tcW w:w="17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19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18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5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耕地质量提升与化肥减量增效示范县测土配方施肥技术覆盖率</w:t>
            </w:r>
          </w:p>
        </w:tc>
        <w:tc>
          <w:tcPr>
            <w:tcW w:w="23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≥95%</w:t>
            </w:r>
          </w:p>
        </w:tc>
        <w:tc>
          <w:tcPr>
            <w:tcW w:w="2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≥95%</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≥95%</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≥95%</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≥95%</w:t>
            </w:r>
          </w:p>
        </w:tc>
        <w:tc>
          <w:tcPr>
            <w:tcW w:w="16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≥95%</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≥95%</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≥95%</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≥95%</w:t>
            </w: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r>
      <w:tr w:rsidR="00B338EB" w:rsidTr="00B338EB">
        <w:trPr>
          <w:trHeight w:val="840"/>
          <w:jc w:val="center"/>
        </w:trPr>
        <w:tc>
          <w:tcPr>
            <w:tcW w:w="17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19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18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5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秸秆综合利用重点县秸秆综合利用率</w:t>
            </w:r>
          </w:p>
        </w:tc>
        <w:tc>
          <w:tcPr>
            <w:tcW w:w="23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达到90%以上或比上年提高五个百分点</w:t>
            </w:r>
          </w:p>
        </w:tc>
        <w:tc>
          <w:tcPr>
            <w:tcW w:w="2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达到90%以上或比上年提高五个百分点</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r>
      <w:tr w:rsidR="00B338EB" w:rsidTr="00B338EB">
        <w:trPr>
          <w:trHeight w:val="460"/>
          <w:jc w:val="center"/>
        </w:trPr>
        <w:tc>
          <w:tcPr>
            <w:tcW w:w="17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19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18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5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珍稀濒危放流苗种进行标志比例</w:t>
            </w:r>
          </w:p>
        </w:tc>
        <w:tc>
          <w:tcPr>
            <w:tcW w:w="23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w:t>
            </w:r>
          </w:p>
        </w:tc>
        <w:tc>
          <w:tcPr>
            <w:tcW w:w="2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w:t>
            </w: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w:t>
            </w: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w:t>
            </w: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w:t>
            </w:r>
          </w:p>
        </w:tc>
      </w:tr>
      <w:tr w:rsidR="00B338EB" w:rsidTr="00B338EB">
        <w:trPr>
          <w:trHeight w:val="380"/>
          <w:jc w:val="center"/>
        </w:trPr>
        <w:tc>
          <w:tcPr>
            <w:tcW w:w="17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19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18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5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渔业增殖放流经济物种放流经检疫检验的批次比例</w:t>
            </w:r>
          </w:p>
        </w:tc>
        <w:tc>
          <w:tcPr>
            <w:tcW w:w="23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≥90%</w:t>
            </w:r>
          </w:p>
        </w:tc>
        <w:tc>
          <w:tcPr>
            <w:tcW w:w="2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≥90%</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≥90%</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≥90%</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≥90%</w:t>
            </w: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≥90%</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≥90%</w:t>
            </w:r>
          </w:p>
        </w:tc>
        <w:tc>
          <w:tcPr>
            <w:tcW w:w="16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≥90%</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≥90%</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≥90%</w:t>
            </w: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≥90%</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≥90%</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≥90%</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≥90%</w:t>
            </w: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≥90%</w:t>
            </w: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≥90%</w:t>
            </w: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≥90%</w:t>
            </w: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≥90%</w:t>
            </w:r>
          </w:p>
        </w:tc>
      </w:tr>
      <w:tr w:rsidR="00B338EB" w:rsidTr="00B338EB">
        <w:trPr>
          <w:trHeight w:val="380"/>
          <w:jc w:val="center"/>
        </w:trPr>
        <w:tc>
          <w:tcPr>
            <w:tcW w:w="17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19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18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5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补贴资金到户（项目单位）率</w:t>
            </w:r>
          </w:p>
        </w:tc>
        <w:tc>
          <w:tcPr>
            <w:tcW w:w="23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≥95%</w:t>
            </w:r>
          </w:p>
        </w:tc>
        <w:tc>
          <w:tcPr>
            <w:tcW w:w="2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≥95%</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≥95%</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≥95%</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≥95%</w:t>
            </w: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≥95%</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≥95%</w:t>
            </w:r>
          </w:p>
        </w:tc>
        <w:tc>
          <w:tcPr>
            <w:tcW w:w="16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≥95%</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≥95%</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≥95%</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≥95%</w:t>
            </w: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≥95%</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≥95%</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≥95%</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≥95%</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≥95%</w:t>
            </w: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r>
      <w:tr w:rsidR="00B338EB" w:rsidTr="00B338EB">
        <w:trPr>
          <w:trHeight w:val="380"/>
          <w:jc w:val="center"/>
        </w:trPr>
        <w:tc>
          <w:tcPr>
            <w:tcW w:w="17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19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18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5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补贴资金发放到位时间</w:t>
            </w:r>
          </w:p>
        </w:tc>
        <w:tc>
          <w:tcPr>
            <w:tcW w:w="23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10月前</w:t>
            </w:r>
          </w:p>
        </w:tc>
        <w:tc>
          <w:tcPr>
            <w:tcW w:w="2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10月前</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10月前</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10月前</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10月前</w:t>
            </w: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10月前</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10月前</w:t>
            </w:r>
          </w:p>
        </w:tc>
        <w:tc>
          <w:tcPr>
            <w:tcW w:w="16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10月前</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10月前</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10月前</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10月前</w:t>
            </w: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10月前</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10月前</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10月前</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10月前</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10月前</w:t>
            </w: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r>
      <w:tr w:rsidR="00B338EB" w:rsidTr="00B338EB">
        <w:trPr>
          <w:trHeight w:val="400"/>
          <w:jc w:val="center"/>
        </w:trPr>
        <w:tc>
          <w:tcPr>
            <w:tcW w:w="17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194"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效益指标</w:t>
            </w:r>
          </w:p>
        </w:tc>
        <w:tc>
          <w:tcPr>
            <w:tcW w:w="18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社会效益指标</w:t>
            </w:r>
          </w:p>
        </w:tc>
        <w:tc>
          <w:tcPr>
            <w:tcW w:w="5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建立秸秆综合利用长效机制</w:t>
            </w:r>
          </w:p>
        </w:tc>
        <w:tc>
          <w:tcPr>
            <w:tcW w:w="23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建立</w:t>
            </w:r>
          </w:p>
        </w:tc>
        <w:tc>
          <w:tcPr>
            <w:tcW w:w="2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建立</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r>
      <w:tr w:rsidR="00B338EB" w:rsidTr="00B338EB">
        <w:trPr>
          <w:trHeight w:val="600"/>
          <w:jc w:val="center"/>
        </w:trPr>
        <w:tc>
          <w:tcPr>
            <w:tcW w:w="17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19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189"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生态效益指标</w:t>
            </w:r>
          </w:p>
        </w:tc>
        <w:tc>
          <w:tcPr>
            <w:tcW w:w="5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重要经济物种放流回捕产量对照（未开展增殖放流时期或地区）增长比率</w:t>
            </w:r>
          </w:p>
        </w:tc>
        <w:tc>
          <w:tcPr>
            <w:tcW w:w="23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w:t>
            </w:r>
          </w:p>
        </w:tc>
        <w:tc>
          <w:tcPr>
            <w:tcW w:w="2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w:t>
            </w: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w:t>
            </w:r>
          </w:p>
        </w:tc>
        <w:tc>
          <w:tcPr>
            <w:tcW w:w="16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w:t>
            </w: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r>
      <w:tr w:rsidR="00B338EB" w:rsidTr="00B338EB">
        <w:trPr>
          <w:trHeight w:val="320"/>
          <w:jc w:val="center"/>
        </w:trPr>
        <w:tc>
          <w:tcPr>
            <w:tcW w:w="17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19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18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5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化肥使用增幅</w:t>
            </w:r>
          </w:p>
        </w:tc>
        <w:tc>
          <w:tcPr>
            <w:tcW w:w="23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p>
        </w:tc>
        <w:tc>
          <w:tcPr>
            <w:tcW w:w="2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p>
        </w:tc>
        <w:tc>
          <w:tcPr>
            <w:tcW w:w="16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r>
      <w:tr w:rsidR="00B338EB" w:rsidTr="00B338EB">
        <w:trPr>
          <w:trHeight w:val="600"/>
          <w:jc w:val="center"/>
        </w:trPr>
        <w:tc>
          <w:tcPr>
            <w:tcW w:w="17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19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18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5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果菜茶有机肥替代化肥示范县项目区果园土壤有机质含量提升</w:t>
            </w:r>
          </w:p>
        </w:tc>
        <w:tc>
          <w:tcPr>
            <w:tcW w:w="23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w:t>
            </w:r>
          </w:p>
        </w:tc>
        <w:tc>
          <w:tcPr>
            <w:tcW w:w="2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r>
      <w:tr w:rsidR="00B338EB" w:rsidTr="00B338EB">
        <w:trPr>
          <w:trHeight w:val="560"/>
          <w:jc w:val="center"/>
        </w:trPr>
        <w:tc>
          <w:tcPr>
            <w:tcW w:w="17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19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18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5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耕地质量提升与化肥减量增效示范县项目区耕土壤有机质含量提升</w:t>
            </w:r>
          </w:p>
        </w:tc>
        <w:tc>
          <w:tcPr>
            <w:tcW w:w="23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w:t>
            </w:r>
          </w:p>
        </w:tc>
        <w:tc>
          <w:tcPr>
            <w:tcW w:w="2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w:t>
            </w:r>
          </w:p>
        </w:tc>
        <w:tc>
          <w:tcPr>
            <w:tcW w:w="16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w:t>
            </w: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r>
      <w:tr w:rsidR="00B338EB" w:rsidTr="00B338EB">
        <w:trPr>
          <w:trHeight w:val="480"/>
          <w:jc w:val="center"/>
        </w:trPr>
        <w:tc>
          <w:tcPr>
            <w:tcW w:w="17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19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18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5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耕地质量等级</w:t>
            </w:r>
          </w:p>
        </w:tc>
        <w:tc>
          <w:tcPr>
            <w:tcW w:w="23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持平或提升</w:t>
            </w:r>
          </w:p>
        </w:tc>
        <w:tc>
          <w:tcPr>
            <w:tcW w:w="2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持平或提升</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持平或提升</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持平或提升</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持平或提升</w:t>
            </w: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持平或提升</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持平或提升</w:t>
            </w:r>
          </w:p>
        </w:tc>
        <w:tc>
          <w:tcPr>
            <w:tcW w:w="16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持平或提升</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持平或提升</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持平或提升</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持平或提升</w:t>
            </w: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持平或提升</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持平或提升</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持平或提升</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持平或提升</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持平或提升</w:t>
            </w: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r>
      <w:tr w:rsidR="00B338EB" w:rsidTr="00B338EB">
        <w:trPr>
          <w:trHeight w:val="300"/>
          <w:jc w:val="center"/>
        </w:trPr>
        <w:tc>
          <w:tcPr>
            <w:tcW w:w="17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194"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满意度指标</w:t>
            </w:r>
          </w:p>
        </w:tc>
        <w:tc>
          <w:tcPr>
            <w:tcW w:w="189"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服务对象满意度指标</w:t>
            </w:r>
          </w:p>
        </w:tc>
        <w:tc>
          <w:tcPr>
            <w:tcW w:w="5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捕捞渔民抽样调查满意度</w:t>
            </w:r>
          </w:p>
        </w:tc>
        <w:tc>
          <w:tcPr>
            <w:tcW w:w="23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≥80%</w:t>
            </w:r>
          </w:p>
        </w:tc>
        <w:tc>
          <w:tcPr>
            <w:tcW w:w="2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≥80%</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≥80%</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≥80%</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≥80%</w:t>
            </w: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≥80%</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≥80%</w:t>
            </w:r>
          </w:p>
        </w:tc>
        <w:tc>
          <w:tcPr>
            <w:tcW w:w="16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≥80%</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≥80%</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≥80%</w:t>
            </w: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≥80%</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≥80%</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≥80%</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≥80%</w:t>
            </w: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≥80%</w:t>
            </w: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≥80%</w:t>
            </w: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≥80%</w:t>
            </w: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≥80%</w:t>
            </w:r>
          </w:p>
        </w:tc>
      </w:tr>
      <w:tr w:rsidR="00B338EB" w:rsidTr="00B338EB">
        <w:trPr>
          <w:trHeight w:val="300"/>
          <w:jc w:val="center"/>
        </w:trPr>
        <w:tc>
          <w:tcPr>
            <w:tcW w:w="17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19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18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6"/>
                <w:szCs w:val="16"/>
              </w:rPr>
            </w:pPr>
          </w:p>
        </w:tc>
        <w:tc>
          <w:tcPr>
            <w:tcW w:w="5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农牧民满意度</w:t>
            </w:r>
          </w:p>
        </w:tc>
        <w:tc>
          <w:tcPr>
            <w:tcW w:w="23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≥80%</w:t>
            </w:r>
          </w:p>
        </w:tc>
        <w:tc>
          <w:tcPr>
            <w:tcW w:w="2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≥95%</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≥95%</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≥95%</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≥95%</w:t>
            </w: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≥95%</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≥95%</w:t>
            </w:r>
          </w:p>
        </w:tc>
        <w:tc>
          <w:tcPr>
            <w:tcW w:w="16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≥95%</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≥95%</w:t>
            </w:r>
          </w:p>
        </w:tc>
        <w:tc>
          <w:tcPr>
            <w:tcW w:w="1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≥95%</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≥95%</w:t>
            </w:r>
          </w:p>
        </w:tc>
        <w:tc>
          <w:tcPr>
            <w:tcW w:w="1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≥95%</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≥95%</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≥95%</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≥95%</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B338EB">
            <w:pPr>
              <w:widowControl/>
              <w:spacing w:line="20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≥95%</w:t>
            </w: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rsidP="00B338EB">
            <w:pPr>
              <w:spacing w:line="200" w:lineRule="exact"/>
              <w:jc w:val="center"/>
              <w:rPr>
                <w:rFonts w:ascii="宋体" w:eastAsia="宋体" w:hAnsi="宋体" w:cs="宋体"/>
                <w:color w:val="000000"/>
                <w:sz w:val="16"/>
                <w:szCs w:val="16"/>
              </w:rPr>
            </w:pPr>
          </w:p>
        </w:tc>
      </w:tr>
    </w:tbl>
    <w:p w:rsidR="00E52278" w:rsidRDefault="00E52278">
      <w:pPr>
        <w:pStyle w:val="Style1"/>
        <w:sectPr w:rsidR="00E52278" w:rsidSect="004455D4">
          <w:pgSz w:w="16839" w:h="11907" w:orient="landscape" w:code="9"/>
          <w:pgMar w:top="1800" w:right="1440" w:bottom="1800" w:left="1440" w:header="851" w:footer="992" w:gutter="0"/>
          <w:cols w:space="425"/>
          <w:docGrid w:type="lines" w:linePitch="408"/>
        </w:sectPr>
      </w:pPr>
    </w:p>
    <w:p w:rsidR="00E52278" w:rsidRDefault="00E52278">
      <w:pPr>
        <w:pStyle w:val="Style1"/>
        <w:rPr>
          <w:rFonts w:ascii="仿宋_GB2312" w:eastAsia="仿宋_GB2312" w:hAnsi="仿宋_GB2312" w:cs="仿宋_GB2312"/>
          <w:b/>
          <w:sz w:val="24"/>
          <w:szCs w:val="24"/>
        </w:rPr>
      </w:pPr>
      <w:bookmarkStart w:id="0" w:name="_GoBack"/>
      <w:bookmarkEnd w:id="0"/>
    </w:p>
    <w:p w:rsidR="00E52278" w:rsidRDefault="00D701C6" w:rsidP="00AB4717">
      <w:pPr>
        <w:tabs>
          <w:tab w:val="left" w:pos="7080"/>
        </w:tabs>
        <w:spacing w:line="600" w:lineRule="exact"/>
        <w:ind w:firstLineChars="133" w:firstLine="399"/>
        <w:rPr>
          <w:rFonts w:ascii="黑体" w:eastAsia="黑体" w:hAnsi="黑体" w:cs="黑体"/>
          <w:bCs/>
          <w:szCs w:val="32"/>
        </w:rPr>
      </w:pPr>
      <w:r>
        <w:rPr>
          <w:rFonts w:ascii="黑体" w:eastAsia="黑体" w:hAnsi="黑体" w:cs="黑体" w:hint="eastAsia"/>
          <w:bCs/>
          <w:szCs w:val="32"/>
        </w:rPr>
        <w:t>二、绩效目标完成情况分析</w:t>
      </w:r>
    </w:p>
    <w:p w:rsidR="00E52278" w:rsidRDefault="00D701C6" w:rsidP="00AB4717">
      <w:pPr>
        <w:ind w:firstLineChars="200" w:firstLine="600"/>
        <w:outlineLvl w:val="0"/>
        <w:rPr>
          <w:rFonts w:ascii="楷体_GB2312" w:eastAsia="楷体_GB2312" w:hAnsi="楷体_GB2312" w:cs="楷体_GB2312"/>
          <w:b/>
          <w:bCs/>
          <w:szCs w:val="32"/>
        </w:rPr>
      </w:pPr>
      <w:r>
        <w:rPr>
          <w:rFonts w:ascii="楷体_GB2312" w:eastAsia="楷体_GB2312" w:hAnsi="楷体_GB2312" w:cs="楷体_GB2312" w:hint="eastAsia"/>
          <w:b/>
          <w:bCs/>
          <w:szCs w:val="32"/>
        </w:rPr>
        <w:t>（一）资金投入情况分析。</w:t>
      </w:r>
    </w:p>
    <w:p w:rsidR="00E52278" w:rsidRDefault="00D701C6">
      <w:pPr>
        <w:ind w:firstLineChars="200" w:firstLine="600"/>
        <w:rPr>
          <w:rFonts w:ascii="仿宋_GB2312"/>
          <w:szCs w:val="32"/>
        </w:rPr>
      </w:pPr>
      <w:r>
        <w:rPr>
          <w:rFonts w:ascii="仿宋_GB2312" w:hint="eastAsia"/>
          <w:szCs w:val="32"/>
        </w:rPr>
        <w:t>1.项目资金到位情况分析。</w:t>
      </w:r>
    </w:p>
    <w:p w:rsidR="00E52278" w:rsidRDefault="00D701C6">
      <w:pPr>
        <w:pStyle w:val="3"/>
        <w:spacing w:line="600" w:lineRule="exact"/>
        <w:ind w:left="0" w:firstLineChars="200" w:firstLine="600"/>
        <w:rPr>
          <w:rFonts w:ascii="仿宋_GB2312" w:eastAsia="仿宋_GB2312" w:hAnsi="仿宋_GB2312" w:cs="仿宋_GB2312"/>
          <w:szCs w:val="32"/>
        </w:rPr>
      </w:pPr>
      <w:r>
        <w:rPr>
          <w:rFonts w:ascii="仿宋_GB2312" w:eastAsia="仿宋_GB2312" w:hAnsi="仿宋_GB2312" w:cs="仿宋_GB2312" w:hint="eastAsia"/>
          <w:szCs w:val="32"/>
        </w:rPr>
        <w:t>2019年6月中央下达自治区农业资源及生态保护补助资金共261063万元，其中统筹整合资金3762万元，实际2019年用于农业资源及生态补助专项资金为257301万元，资金到位率100%。</w:t>
      </w:r>
    </w:p>
    <w:p w:rsidR="00E52278" w:rsidRDefault="00D701C6">
      <w:pPr>
        <w:pStyle w:val="3"/>
        <w:spacing w:line="600" w:lineRule="exact"/>
        <w:ind w:left="0" w:firstLineChars="200" w:firstLine="600"/>
        <w:rPr>
          <w:rFonts w:ascii="仿宋_GB2312" w:eastAsia="仿宋_GB2312" w:hAnsi="仿宋_GB2312" w:cs="仿宋_GB2312"/>
          <w:b/>
          <w:bCs/>
          <w:color w:val="FF0000"/>
          <w:szCs w:val="32"/>
        </w:rPr>
      </w:pPr>
      <w:r>
        <w:rPr>
          <w:rFonts w:ascii="仿宋_GB2312" w:eastAsia="仿宋_GB2312" w:hAnsi="仿宋_GB2312" w:cs="仿宋_GB2312" w:hint="eastAsia"/>
          <w:szCs w:val="32"/>
        </w:rPr>
        <w:t>2.项目资金执行情况分析。</w:t>
      </w:r>
    </w:p>
    <w:p w:rsidR="00E52278" w:rsidRDefault="00D701C6">
      <w:pPr>
        <w:pStyle w:val="3"/>
        <w:spacing w:line="600" w:lineRule="exact"/>
        <w:ind w:left="0" w:firstLineChars="200" w:firstLine="600"/>
        <w:rPr>
          <w:rFonts w:ascii="仿宋_GB2312" w:eastAsia="仿宋_GB2312" w:hAnsi="仿宋_GB2312" w:cs="仿宋_GB2312"/>
          <w:sz w:val="24"/>
        </w:rPr>
      </w:pPr>
      <w:r>
        <w:rPr>
          <w:rFonts w:ascii="仿宋_GB2312" w:eastAsia="仿宋_GB2312" w:hAnsi="仿宋_GB2312" w:cs="仿宋_GB2312" w:hint="eastAsia"/>
          <w:szCs w:val="32"/>
        </w:rPr>
        <w:t>2019年度用于农业资源及生态补助专项资金为257301万元，截止到2019年12月31日，自治区农业资源及生态保护补助资金共执行109176.796万元，资金执行率42.43%。其中：昌吉州26919.17万元，执行率91.4%，和田地区12753.1万元，执行率99.1%，喀什地区459.81万元，执行率3.34%，克拉玛依市1318.1万元，执行率99.82%，乌鲁木齐市7905万元，执行率99.37%，伊犁州237万元，执行率0.97%，阿勒泰地区35679.5万元，执行率98.92%，塔城地区218.74万元，执行率0.79%，博州230万元，执行率2.33%，哈密市15855万元，执行率98.31%，阿克苏地区851.526万元，执行率4.75%，巴州349.8万元，执行率0.95%，吐鲁番市6373万元，执行率100%，克州27.05万元，执行率0.16%。</w:t>
      </w:r>
    </w:p>
    <w:p w:rsidR="00E52278" w:rsidRDefault="00D701C6">
      <w:pPr>
        <w:ind w:firstLineChars="200" w:firstLine="600"/>
        <w:rPr>
          <w:rFonts w:ascii="仿宋_GB2312"/>
          <w:szCs w:val="32"/>
        </w:rPr>
      </w:pPr>
      <w:r>
        <w:rPr>
          <w:rFonts w:ascii="仿宋_GB2312" w:hint="eastAsia"/>
          <w:szCs w:val="32"/>
        </w:rPr>
        <w:t>3.项目资金管理情况分析。</w:t>
      </w:r>
    </w:p>
    <w:p w:rsidR="00E52278" w:rsidRDefault="00D701C6">
      <w:pPr>
        <w:spacing w:line="600" w:lineRule="exact"/>
        <w:ind w:firstLineChars="200" w:firstLine="600"/>
        <w:rPr>
          <w:szCs w:val="30"/>
        </w:rPr>
      </w:pPr>
      <w:r>
        <w:rPr>
          <w:rFonts w:ascii="仿宋_GB2312" w:hint="eastAsia"/>
          <w:szCs w:val="30"/>
        </w:rPr>
        <w:t>为加强和规范专项补助资金管理，推进资金统筹使用，提高</w:t>
      </w:r>
      <w:r>
        <w:rPr>
          <w:rFonts w:ascii="仿宋_GB2312" w:hint="eastAsia"/>
          <w:szCs w:val="30"/>
        </w:rPr>
        <w:lastRenderedPageBreak/>
        <w:t>资金使用效益，促进农业可持续发展，自治区财政厅和农业农村厅根据《关于修订&lt;农业资源及生态保护补助资金管理办法&gt;的通知》（财农〔2017〕42号）的要求，及时制定《关于上报2019年中央农业资源及生态保护补助资金使用方案的报告》（新财农〔2019〕67号）并上报财政部备案。本着资金与任务相匹配的原则，实行专账管理，专款专用，会计科目设置按财务规定执行，防止出现骗补和挪用。自治区农业农村厅将会同财政厅根据项目实施方案和项目合同，因地制宜细化项目单位资金使用条目，指导和监管项目资金合理合规使用。</w:t>
      </w:r>
    </w:p>
    <w:p w:rsidR="00E52278" w:rsidRDefault="00D701C6" w:rsidP="00AB4717">
      <w:pPr>
        <w:ind w:firstLineChars="200" w:firstLine="600"/>
        <w:outlineLvl w:val="0"/>
        <w:rPr>
          <w:rFonts w:ascii="楷体_GB2312" w:eastAsia="楷体_GB2312" w:hAnsi="楷体_GB2312" w:cs="楷体_GB2312"/>
          <w:b/>
          <w:bCs/>
          <w:color w:val="FF0000"/>
          <w:sz w:val="32"/>
          <w:szCs w:val="32"/>
        </w:rPr>
      </w:pPr>
      <w:r>
        <w:rPr>
          <w:rFonts w:ascii="楷体_GB2312" w:eastAsia="楷体_GB2312" w:hAnsi="楷体_GB2312" w:cs="楷体_GB2312" w:hint="eastAsia"/>
          <w:b/>
          <w:bCs/>
          <w:szCs w:val="32"/>
        </w:rPr>
        <w:t>（二）</w:t>
      </w:r>
      <w:r>
        <w:rPr>
          <w:rFonts w:ascii="楷体_GB2312" w:eastAsia="楷体_GB2312" w:hAnsi="楷体_GB2312" w:cs="楷体_GB2312" w:hint="eastAsia"/>
          <w:b/>
          <w:bCs/>
          <w:sz w:val="32"/>
          <w:szCs w:val="32"/>
        </w:rPr>
        <w:t>总体绩效目标完成情况分析。</w:t>
      </w:r>
    </w:p>
    <w:p w:rsidR="00E52278" w:rsidRDefault="00D701C6">
      <w:pPr>
        <w:pStyle w:val="3"/>
        <w:spacing w:line="600" w:lineRule="exact"/>
        <w:ind w:left="0" w:firstLineChars="200" w:firstLine="600"/>
        <w:rPr>
          <w:rFonts w:ascii="仿宋_GB2312" w:eastAsia="仿宋_GB2312" w:hAnsi="仿宋_GB2312" w:cs="仿宋_GB2312"/>
        </w:rPr>
      </w:pPr>
      <w:r>
        <w:rPr>
          <w:rFonts w:ascii="仿宋_GB2312" w:eastAsia="仿宋_GB2312" w:hAnsi="仿宋_GB2312" w:cs="仿宋_GB2312" w:hint="eastAsia"/>
        </w:rPr>
        <w:t>项目实施后，提高了农田耕地质量，减少了化肥用量，耕地土壤有机质含量提升，探索农作物秸秆还田、离田利用有效模式，提高农作物秸秆利用率，重点县秸秆综合利用率达到了94.17%；水域生态环境得改善；渔业种群资源加快恢复；牧民政策性收入稳步增长，畜牧业生产方式不断改善。全年完成草畜平衡面积52028.7417万亩，禁牧面积15311.59万亩，渔业增殖放流规模4592.5万尾，加强鱼苗投入效果，降低河道生态不平衡带来的渔业生产损失，基本实现年度目标。</w:t>
      </w:r>
    </w:p>
    <w:p w:rsidR="00E52278" w:rsidRDefault="00D701C6" w:rsidP="00AB4717">
      <w:pPr>
        <w:spacing w:line="600" w:lineRule="exact"/>
        <w:ind w:firstLineChars="200" w:firstLine="640"/>
        <w:rPr>
          <w:rFonts w:ascii="仿宋_GB2312"/>
          <w:szCs w:val="32"/>
        </w:rPr>
      </w:pPr>
      <w:r>
        <w:rPr>
          <w:rFonts w:ascii="楷体_GB2312" w:eastAsia="楷体_GB2312" w:hAnsi="楷体_GB2312" w:cs="楷体_GB2312" w:hint="eastAsia"/>
          <w:b/>
          <w:bCs/>
          <w:sz w:val="32"/>
          <w:szCs w:val="32"/>
        </w:rPr>
        <w:t>（三）</w:t>
      </w:r>
      <w:r>
        <w:rPr>
          <w:rFonts w:ascii="楷体_GB2312" w:eastAsia="楷体_GB2312" w:hAnsi="楷体_GB2312" w:cs="楷体_GB2312" w:hint="eastAsia"/>
          <w:b/>
          <w:bCs/>
          <w:szCs w:val="32"/>
        </w:rPr>
        <w:t>绩效</w:t>
      </w:r>
      <w:r>
        <w:rPr>
          <w:rFonts w:ascii="楷体_GB2312" w:eastAsia="楷体_GB2312" w:hAnsi="楷体_GB2312" w:cs="楷体_GB2312" w:hint="eastAsia"/>
          <w:b/>
          <w:bCs/>
          <w:sz w:val="32"/>
          <w:szCs w:val="32"/>
        </w:rPr>
        <w:t>指标</w:t>
      </w:r>
      <w:r>
        <w:rPr>
          <w:rFonts w:ascii="楷体_GB2312" w:eastAsia="楷体_GB2312" w:hAnsi="楷体_GB2312" w:cs="楷体_GB2312" w:hint="eastAsia"/>
          <w:b/>
          <w:bCs/>
          <w:szCs w:val="32"/>
        </w:rPr>
        <w:t>完成情况分析。</w:t>
      </w:r>
    </w:p>
    <w:p w:rsidR="00E52278" w:rsidRDefault="00D701C6">
      <w:pPr>
        <w:spacing w:line="600" w:lineRule="exact"/>
        <w:ind w:firstLineChars="200" w:firstLine="600"/>
        <w:rPr>
          <w:rFonts w:ascii="仿宋_GB2312"/>
          <w:szCs w:val="32"/>
        </w:rPr>
      </w:pPr>
      <w:r>
        <w:rPr>
          <w:rFonts w:ascii="仿宋_GB2312" w:hint="eastAsia"/>
          <w:szCs w:val="32"/>
        </w:rPr>
        <w:t>1.产出指标完成情况分析。</w:t>
      </w:r>
    </w:p>
    <w:p w:rsidR="00E52278" w:rsidRDefault="00D701C6">
      <w:pPr>
        <w:spacing w:line="600" w:lineRule="exact"/>
        <w:ind w:firstLineChars="200" w:firstLine="600"/>
        <w:rPr>
          <w:rFonts w:ascii="仿宋_GB2312"/>
          <w:szCs w:val="32"/>
        </w:rPr>
      </w:pPr>
      <w:r>
        <w:rPr>
          <w:rFonts w:ascii="仿宋_GB2312" w:hint="eastAsia"/>
          <w:szCs w:val="32"/>
        </w:rPr>
        <w:t>（1）数量指标。</w:t>
      </w:r>
    </w:p>
    <w:p w:rsidR="00E52278" w:rsidRDefault="00D701C6">
      <w:pPr>
        <w:pStyle w:val="3"/>
        <w:spacing w:line="600" w:lineRule="exact"/>
        <w:ind w:left="0" w:firstLineChars="200" w:firstLine="600"/>
        <w:rPr>
          <w:rFonts w:ascii="仿宋_GB2312" w:eastAsia="仿宋_GB2312"/>
          <w:szCs w:val="30"/>
        </w:rPr>
      </w:pPr>
      <w:r>
        <w:rPr>
          <w:rFonts w:ascii="仿宋_GB2312" w:eastAsia="仿宋_GB2312" w:hint="eastAsia"/>
          <w:szCs w:val="30"/>
        </w:rPr>
        <w:t>a.财政部下达目标化肥减量增效示范县数量11个，自治区实际完成11个，完成率100%；</w:t>
      </w:r>
    </w:p>
    <w:p w:rsidR="00E52278" w:rsidRDefault="00D701C6">
      <w:pPr>
        <w:pStyle w:val="3"/>
        <w:spacing w:line="600" w:lineRule="exact"/>
        <w:ind w:left="0" w:firstLineChars="200" w:firstLine="600"/>
        <w:rPr>
          <w:rFonts w:ascii="仿宋_GB2312" w:eastAsia="仿宋_GB2312"/>
          <w:szCs w:val="30"/>
        </w:rPr>
      </w:pPr>
      <w:r>
        <w:rPr>
          <w:rFonts w:ascii="仿宋_GB2312" w:eastAsia="仿宋_GB2312" w:hint="eastAsia"/>
          <w:szCs w:val="30"/>
        </w:rPr>
        <w:lastRenderedPageBreak/>
        <w:t>b.财政部下达目标取土化验数量≥3000个（该项指标后期向农业农村部主动调整为7040个），实际完成7180个，完成率101.99%；</w:t>
      </w:r>
    </w:p>
    <w:p w:rsidR="00E52278" w:rsidRDefault="00D701C6">
      <w:pPr>
        <w:pStyle w:val="3"/>
        <w:spacing w:line="600" w:lineRule="exact"/>
        <w:ind w:left="0" w:firstLineChars="200" w:firstLine="600"/>
        <w:rPr>
          <w:rFonts w:ascii="仿宋_GB2312" w:eastAsia="仿宋_GB2312"/>
          <w:szCs w:val="30"/>
        </w:rPr>
      </w:pPr>
      <w:r>
        <w:rPr>
          <w:rFonts w:ascii="仿宋_GB2312" w:eastAsia="仿宋_GB2312" w:hint="eastAsia"/>
          <w:szCs w:val="30"/>
        </w:rPr>
        <w:t>c.财政部下达目标田间肥效试验数量≥150个（该项指标后期向农业农村部主动调整为165个），实际完成175个，完成率106.06%；</w:t>
      </w:r>
    </w:p>
    <w:p w:rsidR="00E52278" w:rsidRDefault="00D701C6">
      <w:pPr>
        <w:pStyle w:val="3"/>
        <w:spacing w:line="600" w:lineRule="exact"/>
        <w:ind w:left="0" w:firstLineChars="200" w:firstLine="600"/>
        <w:rPr>
          <w:rFonts w:ascii="仿宋_GB2312" w:eastAsia="仿宋_GB2312"/>
          <w:szCs w:val="30"/>
        </w:rPr>
      </w:pPr>
      <w:r>
        <w:rPr>
          <w:rFonts w:ascii="仿宋_GB2312" w:eastAsia="仿宋_GB2312" w:hint="eastAsia"/>
          <w:szCs w:val="30"/>
        </w:rPr>
        <w:t>d.财政部下达目标省级以上增值放流活动（省级以上渔业主管部门作为活动主办单位）举办次数≥3次，实际完成3次，完成率100%；</w:t>
      </w:r>
    </w:p>
    <w:p w:rsidR="00E52278" w:rsidRDefault="00D701C6">
      <w:pPr>
        <w:pStyle w:val="3"/>
        <w:spacing w:line="600" w:lineRule="exact"/>
        <w:ind w:left="0" w:firstLineChars="200" w:firstLine="600"/>
        <w:rPr>
          <w:rFonts w:ascii="仿宋_GB2312" w:eastAsia="仿宋_GB2312"/>
          <w:szCs w:val="30"/>
        </w:rPr>
      </w:pPr>
      <w:r>
        <w:rPr>
          <w:rFonts w:ascii="仿宋_GB2312" w:eastAsia="仿宋_GB2312" w:hint="eastAsia"/>
          <w:szCs w:val="30"/>
        </w:rPr>
        <w:t>e.财政部下达目标渔业增殖放流规模≥1600万尾（粒），实际完成4592.4962万尾，完成率287.03%，该数据根据各地州报送统计；</w:t>
      </w:r>
    </w:p>
    <w:p w:rsidR="00E52278" w:rsidRDefault="00D701C6">
      <w:pPr>
        <w:pStyle w:val="3"/>
        <w:spacing w:line="600" w:lineRule="exact"/>
        <w:ind w:left="0" w:firstLineChars="200" w:firstLine="600"/>
        <w:rPr>
          <w:rFonts w:ascii="仿宋_GB2312" w:eastAsia="仿宋_GB2312"/>
          <w:szCs w:val="30"/>
        </w:rPr>
      </w:pPr>
      <w:r>
        <w:rPr>
          <w:rFonts w:ascii="仿宋_GB2312" w:eastAsia="仿宋_GB2312" w:hint="eastAsia"/>
          <w:szCs w:val="30"/>
        </w:rPr>
        <w:t>f.财政部下达目标自治区级耕地地力评价报告份数1份，实际完成1份，完成率100%；</w:t>
      </w:r>
    </w:p>
    <w:p w:rsidR="00E52278" w:rsidRDefault="00D701C6">
      <w:pPr>
        <w:pStyle w:val="3"/>
        <w:spacing w:line="600" w:lineRule="exact"/>
        <w:ind w:left="0" w:firstLineChars="200" w:firstLine="600"/>
        <w:rPr>
          <w:rFonts w:ascii="仿宋_GB2312" w:eastAsia="仿宋_GB2312"/>
          <w:szCs w:val="30"/>
        </w:rPr>
      </w:pPr>
      <w:r>
        <w:rPr>
          <w:rFonts w:ascii="仿宋_GB2312" w:eastAsia="仿宋_GB2312" w:hint="eastAsia"/>
          <w:szCs w:val="30"/>
        </w:rPr>
        <w:t>g.财政部下达目标建设秸秆综合利用重点县9个，实际完成4个，完成率44.44%，原因是一是试点县工作启动较晚可能受资金到位时效的影响启动较晚；二是部分地州联动机制尚不健全；三是秸秆利用技术规程还存在空缺。</w:t>
      </w:r>
    </w:p>
    <w:p w:rsidR="00E52278" w:rsidRDefault="00D701C6">
      <w:pPr>
        <w:numPr>
          <w:ilvl w:val="0"/>
          <w:numId w:val="1"/>
        </w:numPr>
        <w:spacing w:line="600" w:lineRule="exact"/>
        <w:ind w:firstLineChars="200" w:firstLine="600"/>
        <w:rPr>
          <w:rFonts w:ascii="仿宋_GB2312"/>
          <w:szCs w:val="32"/>
        </w:rPr>
      </w:pPr>
      <w:r>
        <w:rPr>
          <w:rFonts w:ascii="仿宋_GB2312" w:hint="eastAsia"/>
          <w:szCs w:val="32"/>
        </w:rPr>
        <w:t>质量指标。</w:t>
      </w:r>
    </w:p>
    <w:p w:rsidR="00E52278" w:rsidRDefault="00D701C6">
      <w:pPr>
        <w:pStyle w:val="3"/>
        <w:spacing w:line="600" w:lineRule="exact"/>
        <w:ind w:left="0" w:firstLineChars="200" w:firstLine="600"/>
        <w:rPr>
          <w:rFonts w:ascii="仿宋_GB2312" w:eastAsia="仿宋_GB2312" w:hAnsi="仿宋_GB2312" w:cs="仿宋_GB2312"/>
          <w:szCs w:val="30"/>
        </w:rPr>
      </w:pPr>
      <w:r>
        <w:rPr>
          <w:rFonts w:ascii="仿宋_GB2312" w:eastAsia="仿宋_GB2312" w:hAnsi="仿宋_GB2312" w:cs="仿宋_GB2312" w:hint="eastAsia"/>
          <w:szCs w:val="30"/>
        </w:rPr>
        <w:t>a.</w:t>
      </w:r>
      <w:r>
        <w:rPr>
          <w:rFonts w:ascii="仿宋_GB2312" w:eastAsia="仿宋_GB2312" w:hint="eastAsia"/>
          <w:szCs w:val="30"/>
        </w:rPr>
        <w:t>财政部下达目标</w:t>
      </w:r>
      <w:r>
        <w:rPr>
          <w:rFonts w:ascii="仿宋_GB2312" w:eastAsia="仿宋_GB2312" w:hAnsi="仿宋_GB2312" w:cs="仿宋_GB2312" w:hint="eastAsia"/>
          <w:szCs w:val="30"/>
        </w:rPr>
        <w:t>资金使用无重大违规违纪问题，自治区完成该项指标，完成率100%；</w:t>
      </w:r>
    </w:p>
    <w:p w:rsidR="00E52278" w:rsidRDefault="00D701C6">
      <w:pPr>
        <w:pStyle w:val="3"/>
        <w:spacing w:line="600" w:lineRule="exact"/>
        <w:ind w:left="0" w:firstLineChars="200" w:firstLine="600"/>
        <w:rPr>
          <w:rFonts w:ascii="仿宋_GB2312" w:eastAsia="仿宋_GB2312" w:hAnsi="仿宋_GB2312" w:cs="仿宋_GB2312"/>
          <w:szCs w:val="30"/>
        </w:rPr>
      </w:pPr>
      <w:r>
        <w:rPr>
          <w:rFonts w:ascii="仿宋_GB2312" w:eastAsia="仿宋_GB2312" w:hAnsi="仿宋_GB2312" w:cs="仿宋_GB2312" w:hint="eastAsia"/>
          <w:szCs w:val="30"/>
        </w:rPr>
        <w:t>b.</w:t>
      </w:r>
      <w:r>
        <w:rPr>
          <w:rFonts w:ascii="仿宋_GB2312" w:eastAsia="仿宋_GB2312" w:hint="eastAsia"/>
          <w:szCs w:val="30"/>
        </w:rPr>
        <w:t>财政部下达目标</w:t>
      </w:r>
      <w:r>
        <w:rPr>
          <w:rFonts w:ascii="仿宋_GB2312" w:eastAsia="仿宋_GB2312" w:hAnsi="仿宋_GB2312" w:cs="仿宋_GB2312" w:hint="eastAsia"/>
          <w:szCs w:val="30"/>
        </w:rPr>
        <w:t>耕地质量提升与化肥减量增效示范县测土配方施肥技术覆盖率≥95%，实际完成95%。完成率100%；</w:t>
      </w:r>
    </w:p>
    <w:p w:rsidR="00E52278" w:rsidRDefault="00D701C6">
      <w:pPr>
        <w:pStyle w:val="3"/>
        <w:spacing w:line="600" w:lineRule="exact"/>
        <w:ind w:left="0" w:firstLineChars="200" w:firstLine="600"/>
        <w:rPr>
          <w:rFonts w:ascii="仿宋_GB2312" w:eastAsia="仿宋_GB2312" w:hAnsi="仿宋_GB2312" w:cs="仿宋_GB2312"/>
          <w:szCs w:val="30"/>
        </w:rPr>
      </w:pPr>
      <w:r>
        <w:rPr>
          <w:rFonts w:ascii="仿宋_GB2312" w:eastAsia="仿宋_GB2312" w:hAnsi="仿宋_GB2312" w:cs="仿宋_GB2312" w:hint="eastAsia"/>
          <w:szCs w:val="30"/>
        </w:rPr>
        <w:lastRenderedPageBreak/>
        <w:t>c.</w:t>
      </w:r>
      <w:r>
        <w:rPr>
          <w:rFonts w:ascii="仿宋_GB2312" w:eastAsia="仿宋_GB2312" w:hint="eastAsia"/>
          <w:szCs w:val="30"/>
        </w:rPr>
        <w:t>财政部下达目标</w:t>
      </w:r>
      <w:r>
        <w:rPr>
          <w:rFonts w:ascii="仿宋_GB2312" w:eastAsia="仿宋_GB2312" w:hAnsi="仿宋_GB2312" w:cs="仿宋_GB2312" w:hint="eastAsia"/>
          <w:szCs w:val="30"/>
        </w:rPr>
        <w:t>秸秆综合利用重点县秸秆综合利用率达到90%以上或比上年提高5个百分点，实际完成94.17%，完成率104.63%；</w:t>
      </w:r>
    </w:p>
    <w:p w:rsidR="00E52278" w:rsidRDefault="00D701C6">
      <w:pPr>
        <w:pStyle w:val="3"/>
        <w:spacing w:line="600" w:lineRule="exact"/>
        <w:ind w:left="0" w:firstLineChars="200" w:firstLine="600"/>
        <w:rPr>
          <w:rFonts w:ascii="仿宋_GB2312" w:eastAsia="仿宋_GB2312" w:hAnsi="仿宋_GB2312" w:cs="仿宋_GB2312"/>
          <w:szCs w:val="30"/>
        </w:rPr>
      </w:pPr>
      <w:r>
        <w:rPr>
          <w:rFonts w:ascii="仿宋_GB2312" w:eastAsia="仿宋_GB2312" w:hAnsi="仿宋_GB2312" w:cs="仿宋_GB2312" w:hint="eastAsia"/>
          <w:szCs w:val="30"/>
        </w:rPr>
        <w:t>d.</w:t>
      </w:r>
      <w:r>
        <w:rPr>
          <w:rFonts w:ascii="仿宋_GB2312" w:eastAsia="仿宋_GB2312" w:hint="eastAsia"/>
          <w:szCs w:val="30"/>
        </w:rPr>
        <w:t>财政部下达目标</w:t>
      </w:r>
      <w:r>
        <w:rPr>
          <w:rFonts w:ascii="仿宋_GB2312" w:eastAsia="仿宋_GB2312" w:hAnsi="仿宋_GB2312" w:cs="仿宋_GB2312" w:hint="eastAsia"/>
          <w:szCs w:val="30"/>
        </w:rPr>
        <w:t>珍稀濒危放流苗种进行标志比例≥10%，实际完成11.08%，完成率110.8%；</w:t>
      </w:r>
    </w:p>
    <w:p w:rsidR="00E52278" w:rsidRDefault="00D701C6">
      <w:pPr>
        <w:pStyle w:val="3"/>
        <w:spacing w:line="600" w:lineRule="exact"/>
        <w:ind w:left="0" w:firstLineChars="200" w:firstLine="600"/>
        <w:rPr>
          <w:rFonts w:ascii="仿宋_GB2312" w:eastAsia="仿宋_GB2312" w:hAnsi="仿宋_GB2312" w:cs="仿宋_GB2312"/>
          <w:szCs w:val="30"/>
        </w:rPr>
      </w:pPr>
      <w:r>
        <w:rPr>
          <w:rFonts w:ascii="仿宋_GB2312" w:eastAsia="仿宋_GB2312" w:hAnsi="仿宋_GB2312" w:cs="仿宋_GB2312" w:hint="eastAsia"/>
          <w:szCs w:val="30"/>
        </w:rPr>
        <w:t>e.</w:t>
      </w:r>
      <w:r>
        <w:rPr>
          <w:rFonts w:ascii="仿宋_GB2312" w:eastAsia="仿宋_GB2312" w:hint="eastAsia"/>
          <w:szCs w:val="30"/>
        </w:rPr>
        <w:t>财政部下达目标</w:t>
      </w:r>
      <w:r>
        <w:rPr>
          <w:rFonts w:ascii="仿宋_GB2312" w:eastAsia="仿宋_GB2312" w:hAnsi="仿宋_GB2312" w:cs="仿宋_GB2312" w:hint="eastAsia"/>
          <w:szCs w:val="30"/>
        </w:rPr>
        <w:t>渔业增殖放流经济物种放流经检验检疫的批次比例≥90%，实际完成95%，完成率105.56%；</w:t>
      </w:r>
    </w:p>
    <w:p w:rsidR="00E52278" w:rsidRDefault="00D701C6">
      <w:pPr>
        <w:pStyle w:val="3"/>
        <w:spacing w:line="600" w:lineRule="exact"/>
        <w:ind w:left="0" w:firstLineChars="200" w:firstLine="600"/>
        <w:rPr>
          <w:rFonts w:ascii="仿宋_GB2312" w:eastAsia="仿宋_GB2312" w:hAnsi="仿宋_GB2312" w:cs="仿宋_GB2312"/>
          <w:szCs w:val="30"/>
        </w:rPr>
      </w:pPr>
      <w:r>
        <w:rPr>
          <w:rFonts w:ascii="仿宋_GB2312" w:eastAsia="仿宋_GB2312" w:hAnsi="仿宋_GB2312" w:cs="仿宋_GB2312" w:hint="eastAsia"/>
          <w:szCs w:val="30"/>
        </w:rPr>
        <w:t>f.</w:t>
      </w:r>
      <w:r>
        <w:rPr>
          <w:rFonts w:ascii="仿宋_GB2312" w:eastAsia="仿宋_GB2312" w:hint="eastAsia"/>
          <w:szCs w:val="30"/>
        </w:rPr>
        <w:t>财政部下达目标</w:t>
      </w:r>
      <w:r>
        <w:rPr>
          <w:rFonts w:ascii="仿宋_GB2312" w:eastAsia="仿宋_GB2312" w:hAnsi="仿宋_GB2312" w:cs="仿宋_GB2312" w:hint="eastAsia"/>
          <w:szCs w:val="30"/>
        </w:rPr>
        <w:t>补贴资金到户（项目单位）率≥95%，实际完成100%，完成率105.26%；</w:t>
      </w:r>
    </w:p>
    <w:p w:rsidR="00E52278" w:rsidRDefault="00D701C6">
      <w:pPr>
        <w:pStyle w:val="3"/>
        <w:spacing w:line="600" w:lineRule="exact"/>
        <w:ind w:left="0" w:firstLineChars="200" w:firstLine="600"/>
        <w:rPr>
          <w:rFonts w:ascii="仿宋_GB2312" w:eastAsia="仿宋_GB2312" w:hAnsi="仿宋_GB2312" w:cs="仿宋_GB2312"/>
          <w:szCs w:val="30"/>
        </w:rPr>
      </w:pPr>
      <w:r>
        <w:rPr>
          <w:rFonts w:ascii="仿宋_GB2312" w:eastAsia="仿宋_GB2312" w:hAnsi="仿宋_GB2312" w:cs="仿宋_GB2312" w:hint="eastAsia"/>
          <w:szCs w:val="30"/>
        </w:rPr>
        <w:t>g.</w:t>
      </w:r>
      <w:r>
        <w:rPr>
          <w:rFonts w:ascii="仿宋_GB2312" w:eastAsia="仿宋_GB2312" w:hint="eastAsia"/>
          <w:szCs w:val="30"/>
        </w:rPr>
        <w:t>财政部下达目标</w:t>
      </w:r>
      <w:r>
        <w:rPr>
          <w:rFonts w:ascii="仿宋_GB2312" w:eastAsia="仿宋_GB2312" w:hAnsi="仿宋_GB2312" w:cs="仿宋_GB2312" w:hint="eastAsia"/>
          <w:szCs w:val="30"/>
        </w:rPr>
        <w:t>补奖资金发放到位时间10月前，已完成，完成率100%。</w:t>
      </w:r>
    </w:p>
    <w:p w:rsidR="00E52278" w:rsidRDefault="00D701C6">
      <w:pPr>
        <w:numPr>
          <w:ilvl w:val="0"/>
          <w:numId w:val="1"/>
        </w:numPr>
        <w:spacing w:line="600" w:lineRule="exact"/>
        <w:ind w:firstLineChars="200" w:firstLine="600"/>
        <w:rPr>
          <w:rFonts w:ascii="仿宋_GB2312"/>
          <w:szCs w:val="32"/>
        </w:rPr>
      </w:pPr>
      <w:r>
        <w:rPr>
          <w:rFonts w:ascii="仿宋_GB2312" w:hint="eastAsia"/>
          <w:szCs w:val="32"/>
        </w:rPr>
        <w:t>时效指标。</w:t>
      </w:r>
    </w:p>
    <w:p w:rsidR="00E52278" w:rsidRDefault="00D701C6">
      <w:pPr>
        <w:pStyle w:val="3"/>
        <w:spacing w:line="600" w:lineRule="exact"/>
        <w:ind w:left="0" w:firstLineChars="200" w:firstLine="600"/>
        <w:rPr>
          <w:rFonts w:ascii="仿宋_GB2312" w:eastAsia="仿宋_GB2312" w:hAnsi="仿宋_GB2312" w:cs="仿宋_GB2312"/>
        </w:rPr>
      </w:pPr>
      <w:r>
        <w:rPr>
          <w:rFonts w:ascii="仿宋_GB2312" w:eastAsia="仿宋_GB2312" w:hAnsi="仿宋_GB2312" w:cs="仿宋_GB2312" w:hint="eastAsia"/>
        </w:rPr>
        <w:t>财政部随文下达的区域绩效目标，未设置时效指标。</w:t>
      </w:r>
    </w:p>
    <w:p w:rsidR="00E52278" w:rsidRDefault="00D701C6">
      <w:pPr>
        <w:spacing w:line="600" w:lineRule="exact"/>
        <w:ind w:firstLineChars="200" w:firstLine="600"/>
        <w:rPr>
          <w:rFonts w:ascii="仿宋_GB2312"/>
          <w:szCs w:val="32"/>
        </w:rPr>
      </w:pPr>
      <w:r>
        <w:rPr>
          <w:rFonts w:ascii="仿宋_GB2312" w:hint="eastAsia"/>
          <w:szCs w:val="32"/>
        </w:rPr>
        <w:t>（4）成本指标。</w:t>
      </w:r>
    </w:p>
    <w:p w:rsidR="00E52278" w:rsidRDefault="00D701C6">
      <w:pPr>
        <w:pStyle w:val="3"/>
        <w:spacing w:line="600" w:lineRule="exact"/>
        <w:ind w:left="0" w:firstLineChars="200" w:firstLine="600"/>
        <w:rPr>
          <w:rFonts w:ascii="仿宋_GB2312" w:eastAsia="仿宋_GB2312" w:hAnsi="仿宋_GB2312" w:cs="仿宋_GB2312"/>
        </w:rPr>
      </w:pPr>
      <w:r>
        <w:rPr>
          <w:rFonts w:ascii="仿宋_GB2312" w:eastAsia="仿宋_GB2312" w:hAnsi="仿宋_GB2312" w:cs="仿宋_GB2312" w:hint="eastAsia"/>
        </w:rPr>
        <w:t>财政部随文下达的区域绩效目标，未设置成本指标。</w:t>
      </w:r>
    </w:p>
    <w:p w:rsidR="00E52278" w:rsidRDefault="00D701C6">
      <w:pPr>
        <w:spacing w:line="600" w:lineRule="exact"/>
        <w:ind w:firstLineChars="200" w:firstLine="600"/>
        <w:rPr>
          <w:rFonts w:ascii="仿宋_GB2312"/>
          <w:szCs w:val="32"/>
        </w:rPr>
      </w:pPr>
      <w:r>
        <w:rPr>
          <w:rFonts w:ascii="仿宋_GB2312" w:hint="eastAsia"/>
          <w:szCs w:val="32"/>
        </w:rPr>
        <w:t>2.效益指标完成情况分析。</w:t>
      </w:r>
    </w:p>
    <w:p w:rsidR="00E52278" w:rsidRDefault="00D701C6">
      <w:pPr>
        <w:ind w:firstLineChars="200" w:firstLine="600"/>
        <w:rPr>
          <w:rFonts w:ascii="仿宋_GB2312"/>
          <w:szCs w:val="32"/>
        </w:rPr>
      </w:pPr>
      <w:r>
        <w:rPr>
          <w:rFonts w:ascii="仿宋_GB2312" w:hint="eastAsia"/>
          <w:szCs w:val="32"/>
        </w:rPr>
        <w:t>（1）经济效益。</w:t>
      </w:r>
    </w:p>
    <w:p w:rsidR="00E52278" w:rsidRDefault="00D701C6">
      <w:pPr>
        <w:pStyle w:val="3"/>
        <w:spacing w:line="600" w:lineRule="exact"/>
        <w:ind w:left="0" w:firstLineChars="200" w:firstLine="600"/>
        <w:rPr>
          <w:rFonts w:ascii="仿宋_GB2312" w:eastAsia="仿宋_GB2312" w:hAnsi="仿宋_GB2312" w:cs="仿宋_GB2312"/>
        </w:rPr>
      </w:pPr>
      <w:r>
        <w:rPr>
          <w:rFonts w:ascii="仿宋_GB2312" w:eastAsia="仿宋_GB2312" w:hAnsi="仿宋_GB2312" w:cs="仿宋_GB2312" w:hint="eastAsia"/>
        </w:rPr>
        <w:t>财政部随文下达的区域绩效目标，未设置经济效益指标。</w:t>
      </w:r>
    </w:p>
    <w:p w:rsidR="00E52278" w:rsidRDefault="00D701C6">
      <w:pPr>
        <w:numPr>
          <w:ilvl w:val="0"/>
          <w:numId w:val="2"/>
        </w:numPr>
        <w:ind w:firstLineChars="200" w:firstLine="600"/>
        <w:rPr>
          <w:rFonts w:ascii="仿宋_GB2312"/>
          <w:szCs w:val="32"/>
        </w:rPr>
      </w:pPr>
      <w:r>
        <w:rPr>
          <w:rFonts w:ascii="仿宋_GB2312" w:hint="eastAsia"/>
          <w:szCs w:val="32"/>
        </w:rPr>
        <w:t>社会效益。</w:t>
      </w:r>
    </w:p>
    <w:p w:rsidR="00E52278" w:rsidRDefault="00D701C6">
      <w:pPr>
        <w:pStyle w:val="3"/>
        <w:spacing w:line="600" w:lineRule="exact"/>
        <w:ind w:left="0" w:firstLineChars="200" w:firstLine="600"/>
        <w:rPr>
          <w:rFonts w:ascii="仿宋_GB2312" w:eastAsia="仿宋_GB2312" w:hAnsi="仿宋_GB2312" w:cs="仿宋_GB2312"/>
          <w:szCs w:val="30"/>
        </w:rPr>
      </w:pPr>
      <w:r>
        <w:rPr>
          <w:rFonts w:ascii="仿宋_GB2312" w:eastAsia="仿宋_GB2312" w:hint="eastAsia"/>
          <w:szCs w:val="30"/>
        </w:rPr>
        <w:t>a.财政部下达目标</w:t>
      </w:r>
      <w:r>
        <w:rPr>
          <w:rFonts w:ascii="仿宋_GB2312" w:eastAsia="仿宋_GB2312" w:hAnsi="仿宋_GB2312" w:cs="仿宋_GB2312" w:hint="eastAsia"/>
          <w:szCs w:val="30"/>
        </w:rPr>
        <w:t>建立秸秆综合利用长效机制，自治区仅部分建立了该机制，完成率44%，</w:t>
      </w:r>
      <w:r>
        <w:rPr>
          <w:rFonts w:ascii="仿宋_GB2312" w:eastAsia="仿宋_GB2312" w:hint="eastAsia"/>
          <w:szCs w:val="30"/>
        </w:rPr>
        <w:t>原因是一是试点县工作启动较晚可能受资金到位时效的影响启动较晚；二是部分地州联动机制尚不健全；三是秸秆利用技术规程还存在空缺。</w:t>
      </w:r>
    </w:p>
    <w:p w:rsidR="00E52278" w:rsidRDefault="00D701C6">
      <w:pPr>
        <w:numPr>
          <w:ilvl w:val="0"/>
          <w:numId w:val="2"/>
        </w:numPr>
        <w:ind w:firstLineChars="200" w:firstLine="600"/>
        <w:rPr>
          <w:rFonts w:ascii="仿宋_GB2312"/>
          <w:szCs w:val="32"/>
        </w:rPr>
      </w:pPr>
      <w:r>
        <w:rPr>
          <w:rFonts w:ascii="仿宋_GB2312" w:hint="eastAsia"/>
          <w:szCs w:val="32"/>
        </w:rPr>
        <w:lastRenderedPageBreak/>
        <w:t>生态效益。</w:t>
      </w:r>
    </w:p>
    <w:p w:rsidR="00E52278" w:rsidRDefault="00D701C6">
      <w:pPr>
        <w:adjustRightInd w:val="0"/>
        <w:snapToGrid w:val="0"/>
        <w:spacing w:line="600" w:lineRule="exact"/>
        <w:ind w:firstLineChars="200" w:firstLine="600"/>
        <w:rPr>
          <w:rFonts w:ascii="仿宋_GB2312" w:hAnsi="仿宋_GB2312" w:cs="仿宋_GB2312"/>
          <w:szCs w:val="30"/>
        </w:rPr>
      </w:pPr>
      <w:r>
        <w:rPr>
          <w:rFonts w:ascii="仿宋_GB2312" w:hint="eastAsia"/>
          <w:szCs w:val="30"/>
        </w:rPr>
        <w:t>a.财政部下达目标</w:t>
      </w:r>
      <w:r>
        <w:rPr>
          <w:rFonts w:ascii="仿宋_GB2312" w:hAnsi="仿宋_GB2312" w:cs="仿宋_GB2312" w:hint="eastAsia"/>
          <w:szCs w:val="30"/>
        </w:rPr>
        <w:t>重要经济物种放流回捕产量对照（未开展增殖放流时期或地区）增长比率≥10%，实际完成10%，完成率100%；</w:t>
      </w:r>
    </w:p>
    <w:p w:rsidR="00E52278" w:rsidRDefault="00D701C6">
      <w:pPr>
        <w:adjustRightInd w:val="0"/>
        <w:snapToGrid w:val="0"/>
        <w:spacing w:line="600" w:lineRule="exact"/>
        <w:ind w:firstLineChars="200" w:firstLine="600"/>
      </w:pPr>
      <w:r>
        <w:rPr>
          <w:rFonts w:ascii="仿宋_GB2312" w:hAnsi="仿宋_GB2312" w:cs="仿宋_GB2312" w:hint="eastAsia"/>
          <w:szCs w:val="30"/>
        </w:rPr>
        <w:t>b.</w:t>
      </w:r>
      <w:r>
        <w:rPr>
          <w:rFonts w:ascii="仿宋_GB2312" w:hint="eastAsia"/>
          <w:szCs w:val="30"/>
        </w:rPr>
        <w:t>财政部下达目标</w:t>
      </w:r>
      <w:r>
        <w:rPr>
          <w:rFonts w:ascii="仿宋_GB2312" w:hAnsi="仿宋_GB2312" w:cs="仿宋_GB2312" w:hint="eastAsia"/>
          <w:szCs w:val="30"/>
        </w:rPr>
        <w:t>化肥使用量增幅≤0%，实际完成0%，完成率100%；</w:t>
      </w:r>
    </w:p>
    <w:p w:rsidR="00E52278" w:rsidRDefault="00D701C6">
      <w:pPr>
        <w:adjustRightInd w:val="0"/>
        <w:snapToGrid w:val="0"/>
        <w:spacing w:line="600" w:lineRule="exact"/>
        <w:ind w:firstLineChars="200" w:firstLine="600"/>
      </w:pPr>
      <w:r>
        <w:rPr>
          <w:rFonts w:ascii="仿宋_GB2312" w:hAnsi="仿宋_GB2312" w:cs="仿宋_GB2312" w:hint="eastAsia"/>
          <w:szCs w:val="30"/>
        </w:rPr>
        <w:t>c.</w:t>
      </w:r>
      <w:r>
        <w:rPr>
          <w:rFonts w:ascii="仿宋_GB2312" w:hint="eastAsia"/>
          <w:szCs w:val="30"/>
        </w:rPr>
        <w:t>财政部下达目标</w:t>
      </w:r>
      <w:r>
        <w:rPr>
          <w:rFonts w:ascii="仿宋_GB2312" w:hAnsi="仿宋_GB2312" w:cs="仿宋_GB2312" w:hint="eastAsia"/>
          <w:szCs w:val="30"/>
        </w:rPr>
        <w:t xml:space="preserve">果菜茶有机肥替代化肥示范县项目区果园土壤有机质含量提升≥1%，此指标非本项目指标，为中央农业生产发展资金中果菜茶有机肥替代化肥项目的相关指标，农业农村部已做调整；  </w:t>
      </w:r>
    </w:p>
    <w:p w:rsidR="00E52278" w:rsidRDefault="00D701C6">
      <w:pPr>
        <w:adjustRightInd w:val="0"/>
        <w:snapToGrid w:val="0"/>
        <w:spacing w:line="600" w:lineRule="exact"/>
        <w:ind w:firstLineChars="200" w:firstLine="600"/>
        <w:rPr>
          <w:rFonts w:ascii="仿宋_GB2312" w:hAnsi="仿宋_GB2312" w:cs="仿宋_GB2312"/>
          <w:szCs w:val="30"/>
        </w:rPr>
      </w:pPr>
      <w:r>
        <w:rPr>
          <w:rFonts w:ascii="仿宋_GB2312" w:hAnsi="仿宋_GB2312" w:cs="仿宋_GB2312" w:hint="eastAsia"/>
          <w:szCs w:val="30"/>
        </w:rPr>
        <w:t>d.</w:t>
      </w:r>
      <w:r>
        <w:rPr>
          <w:rFonts w:ascii="仿宋_GB2312" w:hint="eastAsia"/>
          <w:szCs w:val="30"/>
        </w:rPr>
        <w:t>财政部下达目标</w:t>
      </w:r>
      <w:r>
        <w:rPr>
          <w:rFonts w:ascii="仿宋_GB2312" w:hAnsi="仿宋_GB2312" w:cs="仿宋_GB2312" w:hint="eastAsia"/>
          <w:szCs w:val="30"/>
        </w:rPr>
        <w:t xml:space="preserve">耕地质量提升与化肥减量增效示范县项目区耕地土壤有机质含量提升0.5g/kg以上，实际完成0.51g/kg，完成率102%；    </w:t>
      </w:r>
    </w:p>
    <w:p w:rsidR="00E52278" w:rsidRDefault="00D701C6">
      <w:pPr>
        <w:adjustRightInd w:val="0"/>
        <w:snapToGrid w:val="0"/>
        <w:spacing w:line="600" w:lineRule="exact"/>
        <w:ind w:firstLineChars="200" w:firstLine="600"/>
      </w:pPr>
      <w:r>
        <w:rPr>
          <w:rFonts w:ascii="仿宋_GB2312" w:hAnsi="仿宋_GB2312" w:cs="仿宋_GB2312" w:hint="eastAsia"/>
          <w:szCs w:val="30"/>
        </w:rPr>
        <w:t>e.</w:t>
      </w:r>
      <w:r>
        <w:rPr>
          <w:rFonts w:ascii="仿宋_GB2312" w:hint="eastAsia"/>
          <w:szCs w:val="30"/>
        </w:rPr>
        <w:t>财政部下达目标</w:t>
      </w:r>
      <w:r>
        <w:rPr>
          <w:rFonts w:ascii="仿宋_GB2312" w:hAnsi="仿宋_GB2312" w:cs="仿宋_GB2312" w:hint="eastAsia"/>
          <w:szCs w:val="30"/>
        </w:rPr>
        <w:t>耕地质量等级持平或提升，实际完成该项指标，完成率90%。</w:t>
      </w:r>
    </w:p>
    <w:p w:rsidR="00E52278" w:rsidRDefault="00D701C6">
      <w:pPr>
        <w:numPr>
          <w:ilvl w:val="0"/>
          <w:numId w:val="2"/>
        </w:numPr>
        <w:spacing w:line="600" w:lineRule="exact"/>
        <w:ind w:firstLineChars="200" w:firstLine="600"/>
        <w:rPr>
          <w:rFonts w:ascii="仿宋_GB2312"/>
          <w:szCs w:val="32"/>
        </w:rPr>
      </w:pPr>
      <w:r>
        <w:rPr>
          <w:rFonts w:ascii="仿宋_GB2312" w:hint="eastAsia"/>
          <w:szCs w:val="32"/>
        </w:rPr>
        <w:t>可持续影响。</w:t>
      </w:r>
    </w:p>
    <w:p w:rsidR="00E52278" w:rsidRDefault="00D701C6">
      <w:pPr>
        <w:pStyle w:val="3"/>
        <w:spacing w:line="600" w:lineRule="exact"/>
        <w:ind w:left="0" w:firstLineChars="200" w:firstLine="600"/>
        <w:rPr>
          <w:rFonts w:ascii="仿宋_GB2312" w:eastAsia="仿宋_GB2312" w:hAnsi="仿宋_GB2312" w:cs="仿宋_GB2312"/>
        </w:rPr>
      </w:pPr>
      <w:r>
        <w:rPr>
          <w:rFonts w:ascii="仿宋_GB2312" w:eastAsia="仿宋_GB2312" w:hAnsi="仿宋_GB2312" w:cs="仿宋_GB2312" w:hint="eastAsia"/>
        </w:rPr>
        <w:t>财政部随文下达的区域绩效目标，未设置可持续影响指标。</w:t>
      </w:r>
    </w:p>
    <w:p w:rsidR="00E52278" w:rsidRDefault="00D701C6">
      <w:pPr>
        <w:spacing w:line="600" w:lineRule="exact"/>
        <w:ind w:firstLineChars="200" w:firstLine="600"/>
        <w:rPr>
          <w:rFonts w:ascii="仿宋_GB2312"/>
          <w:szCs w:val="32"/>
        </w:rPr>
      </w:pPr>
      <w:r>
        <w:rPr>
          <w:rFonts w:ascii="仿宋_GB2312" w:hint="eastAsia"/>
          <w:szCs w:val="32"/>
        </w:rPr>
        <w:t>3.满意度指标完成情况分析。</w:t>
      </w:r>
    </w:p>
    <w:p w:rsidR="00E52278" w:rsidRDefault="00D701C6">
      <w:pPr>
        <w:pStyle w:val="3"/>
        <w:spacing w:line="600" w:lineRule="exact"/>
        <w:ind w:left="0" w:firstLineChars="200" w:firstLine="600"/>
        <w:rPr>
          <w:rFonts w:ascii="仿宋_GB2312" w:eastAsia="仿宋_GB2312" w:hAnsi="仿宋_GB2312" w:cs="仿宋_GB2312"/>
          <w:szCs w:val="30"/>
        </w:rPr>
      </w:pPr>
      <w:r>
        <w:rPr>
          <w:rFonts w:ascii="仿宋_GB2312" w:eastAsia="仿宋_GB2312" w:hint="eastAsia"/>
          <w:szCs w:val="30"/>
        </w:rPr>
        <w:t>a.财政部下达目标</w:t>
      </w:r>
      <w:r>
        <w:rPr>
          <w:rFonts w:ascii="仿宋_GB2312" w:eastAsia="仿宋_GB2312" w:hAnsi="仿宋_GB2312" w:cs="仿宋_GB2312" w:hint="eastAsia"/>
          <w:szCs w:val="30"/>
        </w:rPr>
        <w:t>捕捞渔民抽样调查满意度≥80%，实际完成90%，完成率112.5%；</w:t>
      </w:r>
    </w:p>
    <w:p w:rsidR="00E52278" w:rsidRDefault="00D701C6">
      <w:pPr>
        <w:pStyle w:val="3"/>
        <w:spacing w:line="600" w:lineRule="exact"/>
        <w:ind w:left="0" w:firstLineChars="200" w:firstLine="600"/>
      </w:pPr>
      <w:r>
        <w:rPr>
          <w:rFonts w:ascii="仿宋_GB2312" w:eastAsia="仿宋_GB2312" w:hAnsi="仿宋_GB2312" w:cs="仿宋_GB2312" w:hint="eastAsia"/>
          <w:szCs w:val="30"/>
        </w:rPr>
        <w:t>b.</w:t>
      </w:r>
      <w:r>
        <w:rPr>
          <w:rFonts w:ascii="仿宋_GB2312" w:eastAsia="仿宋_GB2312" w:hint="eastAsia"/>
          <w:szCs w:val="30"/>
        </w:rPr>
        <w:t>财政部下达目标</w:t>
      </w:r>
      <w:r>
        <w:rPr>
          <w:rFonts w:ascii="仿宋_GB2312" w:eastAsia="仿宋_GB2312" w:hAnsi="仿宋_GB2312" w:cs="仿宋_GB2312" w:hint="eastAsia"/>
          <w:szCs w:val="30"/>
        </w:rPr>
        <w:t>农牧民满意度≥80%，实际完成98%，完成率122.5%。</w:t>
      </w:r>
    </w:p>
    <w:p w:rsidR="00E52278" w:rsidRDefault="00D701C6">
      <w:pPr>
        <w:numPr>
          <w:ilvl w:val="0"/>
          <w:numId w:val="3"/>
        </w:numPr>
        <w:ind w:firstLineChars="200" w:firstLine="600"/>
        <w:rPr>
          <w:rFonts w:ascii="黑体" w:eastAsia="黑体" w:hAnsi="黑体" w:cs="黑体"/>
          <w:bCs/>
          <w:szCs w:val="32"/>
        </w:rPr>
      </w:pPr>
      <w:r>
        <w:rPr>
          <w:rFonts w:ascii="黑体" w:eastAsia="黑体" w:hAnsi="黑体" w:cs="黑体" w:hint="eastAsia"/>
          <w:bCs/>
          <w:szCs w:val="32"/>
        </w:rPr>
        <w:t>偏离绩效目标的原因和下一步改进措施</w:t>
      </w:r>
    </w:p>
    <w:p w:rsidR="00E52278" w:rsidRDefault="00D701C6">
      <w:pPr>
        <w:pStyle w:val="20"/>
        <w:spacing w:line="600" w:lineRule="exact"/>
        <w:ind w:leftChars="0" w:left="0" w:firstLine="640"/>
        <w:rPr>
          <w:sz w:val="32"/>
          <w:szCs w:val="32"/>
        </w:rPr>
      </w:pPr>
      <w:r>
        <w:rPr>
          <w:rFonts w:hint="eastAsia"/>
          <w:sz w:val="32"/>
          <w:szCs w:val="32"/>
        </w:rPr>
        <w:lastRenderedPageBreak/>
        <w:t>偏离的绩效目标：</w:t>
      </w:r>
    </w:p>
    <w:p w:rsidR="00E52278" w:rsidRDefault="00D701C6">
      <w:pPr>
        <w:pStyle w:val="20"/>
        <w:spacing w:line="600" w:lineRule="exact"/>
        <w:ind w:leftChars="0" w:left="0" w:firstLine="640"/>
        <w:rPr>
          <w:rFonts w:ascii="仿宋_GB2312" w:hAnsi="仿宋_GB2312" w:cs="仿宋_GB2312"/>
          <w:sz w:val="32"/>
          <w:szCs w:val="32"/>
        </w:rPr>
      </w:pPr>
      <w:r>
        <w:rPr>
          <w:rFonts w:ascii="仿宋_GB2312" w:hAnsi="仿宋_GB2312" w:cs="仿宋_GB2312" w:hint="eastAsia"/>
          <w:sz w:val="32"/>
          <w:szCs w:val="32"/>
        </w:rPr>
        <w:t>1.未完成的数量指标</w:t>
      </w:r>
    </w:p>
    <w:p w:rsidR="00E52278" w:rsidRDefault="00D701C6">
      <w:pPr>
        <w:pStyle w:val="20"/>
        <w:spacing w:line="600" w:lineRule="exact"/>
        <w:ind w:leftChars="0" w:left="0" w:firstLine="640"/>
        <w:rPr>
          <w:rFonts w:ascii="仿宋_GB2312" w:hAnsi="仿宋_GB2312" w:cs="仿宋_GB2312"/>
          <w:sz w:val="32"/>
          <w:szCs w:val="32"/>
        </w:rPr>
      </w:pPr>
      <w:r>
        <w:rPr>
          <w:rFonts w:ascii="仿宋_GB2312" w:hAnsi="仿宋_GB2312" w:cs="仿宋_GB2312" w:hint="eastAsia"/>
          <w:sz w:val="32"/>
          <w:szCs w:val="32"/>
        </w:rPr>
        <w:t>a.建设秸秆综合利用重点县9个，实际完成4个，原因是一是试点县工作启动较晚可能受资金到位时效的影响启动较晚；二是部分地州联动机制尚不健全；三是秸秆利用技术规程还存在空缺。</w:t>
      </w:r>
    </w:p>
    <w:p w:rsidR="00E52278" w:rsidRDefault="00D701C6">
      <w:pPr>
        <w:pStyle w:val="20"/>
        <w:spacing w:line="600" w:lineRule="exact"/>
        <w:ind w:leftChars="0" w:left="0" w:firstLine="640"/>
        <w:rPr>
          <w:rFonts w:ascii="仿宋_GB2312" w:hAnsi="仿宋_GB2312" w:cs="仿宋_GB2312"/>
          <w:sz w:val="32"/>
          <w:szCs w:val="32"/>
        </w:rPr>
      </w:pPr>
      <w:r>
        <w:rPr>
          <w:rFonts w:ascii="仿宋_GB2312" w:hAnsi="仿宋_GB2312" w:cs="仿宋_GB2312" w:hint="eastAsia"/>
          <w:sz w:val="32"/>
          <w:szCs w:val="32"/>
        </w:rPr>
        <w:t>2.未完成的社会效益指标</w:t>
      </w:r>
    </w:p>
    <w:p w:rsidR="00E52278" w:rsidRDefault="00D701C6">
      <w:pPr>
        <w:pStyle w:val="20"/>
        <w:spacing w:line="600" w:lineRule="exact"/>
        <w:ind w:leftChars="0" w:left="0" w:firstLine="640"/>
        <w:rPr>
          <w:rFonts w:ascii="仿宋_GB2312" w:hAnsi="Times New Roman"/>
          <w:szCs w:val="30"/>
        </w:rPr>
      </w:pPr>
      <w:r>
        <w:rPr>
          <w:rFonts w:ascii="仿宋_GB2312" w:hAnsi="仿宋_GB2312" w:cs="仿宋_GB2312" w:hint="eastAsia"/>
          <w:sz w:val="32"/>
          <w:szCs w:val="32"/>
        </w:rPr>
        <w:t>a.建立秸秆综合利用长效机制，实际完成44.44%，9个县中，仅4个县完成了建设工作，5个县尚未建设完成，</w:t>
      </w:r>
      <w:r>
        <w:rPr>
          <w:rFonts w:ascii="仿宋_GB2312" w:hint="eastAsia"/>
          <w:szCs w:val="30"/>
        </w:rPr>
        <w:t>原因是：一是未见各地（州）向试点县拨付资金的具体文件及凭证，相关试点县工作启动较晚可能受资金到位时效的影响；二是部分地（州）联动机制尚不健全，由于秸秆综合利用工作涉及农业农村、</w:t>
      </w:r>
      <w:r>
        <w:rPr>
          <w:rFonts w:ascii="仿宋_GB2312" w:hAnsi="Times New Roman" w:hint="eastAsia"/>
          <w:szCs w:val="30"/>
        </w:rPr>
        <w:t>生态环境、财政等多个部门，需要各部门协调联动共同推进，具体工作的准备协调时间过长；三是秸秆利用技术规程还存在空缺，具有较高区域适宜性的技术体系还不健全。目前，针对棉花、玉米、小麦等主要农作物的资源化利用缺乏技术支撑，利用水平有待提高。下一步，我厅将在及时完善相关政策、加强资金使用的督导、推动大专项任务按时完成</w:t>
      </w:r>
      <w:bookmarkStart w:id="1" w:name="_Hlk36400345"/>
      <w:r>
        <w:rPr>
          <w:rFonts w:ascii="仿宋_GB2312" w:hAnsi="Times New Roman" w:hint="eastAsia"/>
          <w:szCs w:val="30"/>
        </w:rPr>
        <w:t>、强化绩效目标管理</w:t>
      </w:r>
      <w:bookmarkEnd w:id="1"/>
      <w:r>
        <w:rPr>
          <w:rFonts w:ascii="仿宋_GB2312" w:hAnsi="Times New Roman" w:hint="eastAsia"/>
          <w:szCs w:val="30"/>
        </w:rPr>
        <w:t>、提升沟通协调能力等方面有序开展工作，根据实际情况，确保专项补助资金按相关要求执行，进一步提高中央财政相关农业转移支付资金的使用效益。</w:t>
      </w:r>
    </w:p>
    <w:p w:rsidR="00E52278" w:rsidRDefault="00D701C6">
      <w:pPr>
        <w:numPr>
          <w:ilvl w:val="0"/>
          <w:numId w:val="3"/>
        </w:numPr>
        <w:ind w:firstLineChars="200" w:firstLine="600"/>
        <w:rPr>
          <w:rFonts w:ascii="黑体" w:eastAsia="黑体" w:hAnsi="黑体" w:cs="黑体"/>
          <w:bCs/>
          <w:szCs w:val="32"/>
        </w:rPr>
      </w:pPr>
      <w:r>
        <w:rPr>
          <w:rFonts w:ascii="黑体" w:eastAsia="黑体" w:hAnsi="黑体" w:cs="黑体" w:hint="eastAsia"/>
          <w:bCs/>
          <w:szCs w:val="32"/>
        </w:rPr>
        <w:t>绩效自评结果拟应用和公开情况</w:t>
      </w:r>
    </w:p>
    <w:p w:rsidR="00E52278" w:rsidRDefault="00D701C6">
      <w:pPr>
        <w:spacing w:line="600" w:lineRule="exact"/>
        <w:ind w:firstLineChars="200" w:firstLine="600"/>
        <w:rPr>
          <w:rFonts w:ascii="仿宋_GB2312" w:hAnsi="仿宋_GB2312" w:cs="仿宋_GB2312"/>
          <w:szCs w:val="30"/>
        </w:rPr>
      </w:pPr>
      <w:r>
        <w:rPr>
          <w:rFonts w:ascii="仿宋_GB2312" w:hAnsi="仿宋_GB2312" w:cs="仿宋_GB2312" w:hint="eastAsia"/>
          <w:szCs w:val="30"/>
        </w:rPr>
        <w:lastRenderedPageBreak/>
        <w:t>1.经自评，农业资源及生态保护补助资金项目综合评价自评得分80分，自评结果为“良”。</w:t>
      </w:r>
    </w:p>
    <w:p w:rsidR="00E52278" w:rsidRDefault="00D701C6">
      <w:pPr>
        <w:pStyle w:val="a9"/>
        <w:widowControl/>
        <w:spacing w:before="40" w:beforeAutospacing="0" w:after="0" w:afterAutospacing="0" w:line="520" w:lineRule="atLeast"/>
        <w:ind w:firstLineChars="200" w:firstLine="600"/>
        <w:jc w:val="both"/>
        <w:rPr>
          <w:rFonts w:ascii="仿宋_GB2312" w:hAnsi="仿宋_GB2312" w:cs="仿宋_GB2312"/>
          <w:sz w:val="30"/>
          <w:szCs w:val="30"/>
        </w:rPr>
      </w:pPr>
      <w:r>
        <w:rPr>
          <w:rFonts w:ascii="仿宋_GB2312" w:hAnsi="仿宋_GB2312" w:cs="仿宋_GB2312" w:hint="eastAsia"/>
          <w:sz w:val="30"/>
          <w:szCs w:val="30"/>
        </w:rPr>
        <w:t>2.自评价中发现</w:t>
      </w:r>
      <w:r>
        <w:rPr>
          <w:rFonts w:ascii="仿宋_GB2312" w:hAnsi="仿宋_GB2312" w:cs="仿宋_GB2312" w:hint="eastAsia"/>
          <w:color w:val="000000"/>
          <w:kern w:val="0"/>
          <w:sz w:val="32"/>
          <w:szCs w:val="32"/>
        </w:rPr>
        <w:t>预算绩效管理水平仍有欠缺，存在“重投入轻管理、重支出轻绩效”的情况，对全面实施预算绩效管理的要求认识还不到位，项目申报、实施等环节与预算绩效管理各个环节联系不够紧密，针对问题，我单位</w:t>
      </w:r>
      <w:r>
        <w:rPr>
          <w:rFonts w:ascii="仿宋_GB2312" w:hAnsi="仿宋_GB2312" w:cs="仿宋_GB2312" w:hint="eastAsia"/>
          <w:sz w:val="32"/>
          <w:szCs w:val="32"/>
        </w:rPr>
        <w:t>加强学习。进一步明确如何参照考核体系，科学合理设定绩效目标，充分发挥预算绩效管理工作效用，加强与财政部门的紧密配合,开展好项目资金绩效管理工作,运用好绩效评价的结果,不断提升预算管理水平。</w:t>
      </w:r>
    </w:p>
    <w:p w:rsidR="00E52278" w:rsidRDefault="00D701C6">
      <w:pPr>
        <w:ind w:firstLineChars="200" w:firstLine="600"/>
      </w:pPr>
      <w:r>
        <w:rPr>
          <w:rFonts w:ascii="仿宋_GB2312" w:hAnsi="仿宋_GB2312" w:cs="仿宋_GB2312" w:hint="eastAsia"/>
          <w:szCs w:val="30"/>
        </w:rPr>
        <w:t>3.评价结果将在农业厅门户网站上及时公开，接受社会监督。</w:t>
      </w:r>
    </w:p>
    <w:p w:rsidR="00E52278" w:rsidRDefault="00D701C6">
      <w:pPr>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五、其他需要说明的问题</w:t>
      </w:r>
    </w:p>
    <w:p w:rsidR="00E52278" w:rsidRDefault="00D701C6">
      <w:pPr>
        <w:spacing w:line="600" w:lineRule="exact"/>
        <w:ind w:firstLineChars="200" w:firstLine="640"/>
        <w:rPr>
          <w:rFonts w:ascii="仿宋_GB2312" w:hAnsi="仿宋_GB2312" w:cs="仿宋_GB2312"/>
          <w:sz w:val="32"/>
          <w:szCs w:val="32"/>
        </w:rPr>
      </w:pPr>
      <w:r>
        <w:rPr>
          <w:rFonts w:ascii="仿宋_GB2312" w:hAnsi="仿宋_GB2312" w:cs="仿宋_GB2312" w:hint="eastAsia"/>
          <w:sz w:val="32"/>
          <w:szCs w:val="32"/>
        </w:rPr>
        <w:t>中央巡视、各级审计和财政监督中未发现问题。</w:t>
      </w:r>
    </w:p>
    <w:p w:rsidR="00E52278" w:rsidRDefault="00E52278">
      <w:pPr>
        <w:pStyle w:val="Style1"/>
        <w:rPr>
          <w:rFonts w:ascii="仿宋_GB2312" w:eastAsia="仿宋_GB2312" w:hAnsi="仿宋_GB2312" w:cs="仿宋_GB2312"/>
          <w:sz w:val="32"/>
          <w:szCs w:val="32"/>
        </w:rPr>
      </w:pPr>
    </w:p>
    <w:p w:rsidR="00E52278" w:rsidRDefault="00E52278">
      <w:pPr>
        <w:pStyle w:val="Style1"/>
        <w:rPr>
          <w:rFonts w:ascii="仿宋_GB2312" w:eastAsia="仿宋_GB2312" w:hAnsi="仿宋_GB2312" w:cs="仿宋_GB2312"/>
          <w:sz w:val="32"/>
          <w:szCs w:val="32"/>
        </w:rPr>
      </w:pPr>
    </w:p>
    <w:p w:rsidR="00E52278" w:rsidRDefault="00E52278">
      <w:pPr>
        <w:pStyle w:val="Style1"/>
        <w:rPr>
          <w:rFonts w:ascii="仿宋_GB2312" w:eastAsia="仿宋_GB2312" w:hAnsi="仿宋_GB2312" w:cs="仿宋_GB2312"/>
          <w:sz w:val="32"/>
          <w:szCs w:val="32"/>
        </w:rPr>
      </w:pPr>
    </w:p>
    <w:p w:rsidR="00E52278" w:rsidRDefault="00E52278">
      <w:pPr>
        <w:pStyle w:val="Style1"/>
        <w:rPr>
          <w:rFonts w:ascii="仿宋_GB2312" w:eastAsia="仿宋_GB2312" w:hAnsi="仿宋_GB2312" w:cs="仿宋_GB2312"/>
          <w:sz w:val="32"/>
          <w:szCs w:val="32"/>
        </w:rPr>
      </w:pPr>
    </w:p>
    <w:p w:rsidR="00E52278" w:rsidRDefault="00D701C6">
      <w:pPr>
        <w:spacing w:line="600" w:lineRule="exact"/>
        <w:ind w:firstLineChars="200" w:firstLine="640"/>
        <w:rPr>
          <w:rFonts w:ascii="仿宋_GB2312" w:hAnsi="仿宋" w:cs="黑体"/>
          <w:bCs/>
          <w:sz w:val="32"/>
          <w:szCs w:val="32"/>
        </w:rPr>
      </w:pPr>
      <w:r>
        <w:rPr>
          <w:rFonts w:ascii="仿宋_GB2312" w:hAnsi="仿宋" w:cs="黑体" w:hint="eastAsia"/>
          <w:bCs/>
          <w:sz w:val="32"/>
          <w:szCs w:val="32"/>
        </w:rPr>
        <w:t>附：转移支付区域（项目）绩效目标自评表</w:t>
      </w:r>
    </w:p>
    <w:p w:rsidR="00E52278" w:rsidRDefault="00E52278"/>
    <w:p w:rsidR="00E52278" w:rsidRDefault="00E52278">
      <w:pPr>
        <w:sectPr w:rsidR="00E52278">
          <w:pgSz w:w="11906" w:h="16838"/>
          <w:pgMar w:top="1440" w:right="1800" w:bottom="1440" w:left="1800" w:header="851" w:footer="992" w:gutter="0"/>
          <w:cols w:space="425"/>
          <w:docGrid w:type="lines" w:linePitch="312"/>
        </w:sectPr>
      </w:pPr>
    </w:p>
    <w:tbl>
      <w:tblPr>
        <w:tblW w:w="9373" w:type="dxa"/>
        <w:tblLayout w:type="fixed"/>
        <w:tblCellMar>
          <w:left w:w="0" w:type="dxa"/>
          <w:right w:w="0" w:type="dxa"/>
        </w:tblCellMar>
        <w:tblLook w:val="04A0"/>
      </w:tblPr>
      <w:tblGrid>
        <w:gridCol w:w="768"/>
        <w:gridCol w:w="900"/>
        <w:gridCol w:w="187"/>
        <w:gridCol w:w="617"/>
        <w:gridCol w:w="2688"/>
        <w:gridCol w:w="1836"/>
        <w:gridCol w:w="1152"/>
        <w:gridCol w:w="1225"/>
      </w:tblGrid>
      <w:tr w:rsidR="00E52278">
        <w:trPr>
          <w:trHeight w:val="408"/>
        </w:trPr>
        <w:tc>
          <w:tcPr>
            <w:tcW w:w="9373" w:type="dxa"/>
            <w:gridSpan w:val="8"/>
            <w:tcBorders>
              <w:top w:val="nil"/>
              <w:left w:val="nil"/>
              <w:bottom w:val="nil"/>
              <w:right w:val="nil"/>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b/>
                <w:color w:val="000000"/>
                <w:sz w:val="32"/>
                <w:szCs w:val="32"/>
              </w:rPr>
            </w:pPr>
            <w:r>
              <w:rPr>
                <w:rFonts w:ascii="宋体" w:eastAsia="宋体" w:hAnsi="宋体" w:cs="宋体" w:hint="eastAsia"/>
                <w:b/>
                <w:color w:val="000000"/>
                <w:kern w:val="0"/>
                <w:sz w:val="32"/>
                <w:szCs w:val="32"/>
              </w:rPr>
              <w:lastRenderedPageBreak/>
              <w:t>农业资源及生态保护补助资金区域绩效目标表</w:t>
            </w:r>
          </w:p>
        </w:tc>
      </w:tr>
      <w:tr w:rsidR="00E52278">
        <w:trPr>
          <w:trHeight w:val="312"/>
        </w:trPr>
        <w:tc>
          <w:tcPr>
            <w:tcW w:w="9373" w:type="dxa"/>
            <w:gridSpan w:val="8"/>
            <w:tcBorders>
              <w:top w:val="nil"/>
              <w:left w:val="nil"/>
              <w:bottom w:val="nil"/>
              <w:right w:val="nil"/>
            </w:tcBorders>
            <w:shd w:val="clear" w:color="auto" w:fill="auto"/>
            <w:tcMar>
              <w:top w:w="12" w:type="dxa"/>
              <w:left w:w="12" w:type="dxa"/>
              <w:right w:w="12" w:type="dxa"/>
            </w:tcMar>
            <w:vAlign w:val="bottom"/>
          </w:tcPr>
          <w:p w:rsidR="00E52278" w:rsidRDefault="00D701C6">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rPr>
              <w:t>（2019年度）</w:t>
            </w:r>
          </w:p>
        </w:tc>
      </w:tr>
      <w:tr w:rsidR="00E52278">
        <w:trPr>
          <w:trHeight w:val="288"/>
        </w:trPr>
        <w:tc>
          <w:tcPr>
            <w:tcW w:w="7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转移支付名称</w:t>
            </w:r>
          </w:p>
        </w:tc>
        <w:tc>
          <w:tcPr>
            <w:tcW w:w="8605" w:type="dxa"/>
            <w:gridSpan w:val="7"/>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农业资源及生态保护补助资金</w:t>
            </w:r>
          </w:p>
        </w:tc>
      </w:tr>
      <w:tr w:rsidR="00E52278">
        <w:trPr>
          <w:trHeight w:val="288"/>
        </w:trPr>
        <w:tc>
          <w:tcPr>
            <w:tcW w:w="7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中央主管部门</w:t>
            </w:r>
          </w:p>
        </w:tc>
        <w:tc>
          <w:tcPr>
            <w:tcW w:w="8605" w:type="dxa"/>
            <w:gridSpan w:val="7"/>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财政部、农业农村部</w:t>
            </w:r>
          </w:p>
        </w:tc>
      </w:tr>
      <w:tr w:rsidR="00E52278" w:rsidTr="000A6965">
        <w:trPr>
          <w:trHeight w:val="432"/>
        </w:trPr>
        <w:tc>
          <w:tcPr>
            <w:tcW w:w="7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地方主管部门</w:t>
            </w: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自治区财政厅、自治区农业农村厅</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实施单位</w:t>
            </w:r>
          </w:p>
        </w:tc>
        <w:tc>
          <w:tcPr>
            <w:tcW w:w="6901"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0A6965">
            <w:pPr>
              <w:jc w:val="center"/>
              <w:rPr>
                <w:rFonts w:ascii="宋体" w:eastAsia="宋体" w:hAnsi="宋体" w:cs="宋体"/>
                <w:color w:val="000000"/>
                <w:sz w:val="18"/>
                <w:szCs w:val="18"/>
              </w:rPr>
            </w:pPr>
            <w:r>
              <w:rPr>
                <w:rFonts w:ascii="宋体" w:eastAsia="宋体" w:hAnsi="宋体" w:cs="宋体" w:hint="eastAsia"/>
                <w:color w:val="000000"/>
                <w:kern w:val="0"/>
                <w:sz w:val="18"/>
                <w:szCs w:val="18"/>
              </w:rPr>
              <w:t>自治区农业农村厅</w:t>
            </w:r>
          </w:p>
        </w:tc>
      </w:tr>
      <w:tr w:rsidR="00E52278">
        <w:trPr>
          <w:trHeight w:val="288"/>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资金</w:t>
            </w:r>
            <w:r>
              <w:rPr>
                <w:rFonts w:ascii="宋体" w:eastAsia="宋体" w:hAnsi="宋体" w:cs="宋体" w:hint="eastAsia"/>
                <w:color w:val="000000"/>
                <w:kern w:val="0"/>
                <w:sz w:val="18"/>
                <w:szCs w:val="18"/>
              </w:rPr>
              <w:br/>
              <w:t>情况</w:t>
            </w:r>
            <w:r>
              <w:rPr>
                <w:rFonts w:ascii="宋体" w:eastAsia="宋体" w:hAnsi="宋体" w:cs="宋体" w:hint="eastAsia"/>
                <w:color w:val="000000"/>
                <w:kern w:val="0"/>
                <w:sz w:val="18"/>
                <w:szCs w:val="18"/>
              </w:rPr>
              <w:br/>
              <w:t>（万元）</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年度资金总额：</w:t>
            </w: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总金额</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全年执行数</w:t>
            </w:r>
          </w:p>
        </w:tc>
        <w:tc>
          <w:tcPr>
            <w:tcW w:w="4213" w:type="dxa"/>
            <w:gridSpan w:val="3"/>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执行率</w:t>
            </w:r>
          </w:p>
        </w:tc>
      </w:tr>
      <w:tr w:rsidR="00E52278">
        <w:trPr>
          <w:trHeight w:val="288"/>
        </w:trPr>
        <w:tc>
          <w:tcPr>
            <w:tcW w:w="7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其中：中央补助</w:t>
            </w: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257301</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109176.8025</w:t>
            </w:r>
          </w:p>
        </w:tc>
        <w:tc>
          <w:tcPr>
            <w:tcW w:w="4213" w:type="dxa"/>
            <w:gridSpan w:val="3"/>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42.43%</w:t>
            </w:r>
          </w:p>
        </w:tc>
      </w:tr>
      <w:tr w:rsidR="00E52278">
        <w:trPr>
          <w:trHeight w:val="288"/>
        </w:trPr>
        <w:tc>
          <w:tcPr>
            <w:tcW w:w="7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地方资金</w:t>
            </w: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4213" w:type="dxa"/>
            <w:gridSpan w:val="3"/>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r>
      <w:tr w:rsidR="00E52278">
        <w:trPr>
          <w:trHeight w:val="288"/>
        </w:trPr>
        <w:tc>
          <w:tcPr>
            <w:tcW w:w="7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其他资金</w:t>
            </w: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4213" w:type="dxa"/>
            <w:gridSpan w:val="3"/>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r>
      <w:tr w:rsidR="00E52278">
        <w:trPr>
          <w:trHeight w:val="288"/>
        </w:trPr>
        <w:tc>
          <w:tcPr>
            <w:tcW w:w="768" w:type="dxa"/>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4392"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年初设定目标</w:t>
            </w:r>
          </w:p>
        </w:tc>
        <w:tc>
          <w:tcPr>
            <w:tcW w:w="4213"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全年实际完成情况</w:t>
            </w:r>
          </w:p>
        </w:tc>
      </w:tr>
      <w:tr w:rsidR="00E52278">
        <w:trPr>
          <w:trHeight w:val="312"/>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年度目标</w:t>
            </w:r>
          </w:p>
        </w:tc>
        <w:tc>
          <w:tcPr>
            <w:tcW w:w="439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1、提高耕地质量，减少化肥用量；</w:t>
            </w:r>
            <w:r>
              <w:rPr>
                <w:rFonts w:ascii="宋体" w:eastAsia="宋体" w:hAnsi="宋体" w:cs="宋体" w:hint="eastAsia"/>
                <w:color w:val="000000"/>
                <w:kern w:val="0"/>
                <w:sz w:val="18"/>
                <w:szCs w:val="18"/>
              </w:rPr>
              <w:br/>
              <w:t>2、探索农作物秸秆还田、离田利用有效模式，提高农作物秸秆利用率；</w:t>
            </w:r>
            <w:r>
              <w:rPr>
                <w:rFonts w:ascii="宋体" w:eastAsia="宋体" w:hAnsi="宋体" w:cs="宋体" w:hint="eastAsia"/>
                <w:color w:val="000000"/>
                <w:kern w:val="0"/>
                <w:sz w:val="18"/>
                <w:szCs w:val="18"/>
              </w:rPr>
              <w:br/>
              <w:t>3、水域生态环境得改善；渔业种群资源加快恢复；</w:t>
            </w:r>
            <w:r>
              <w:rPr>
                <w:rFonts w:ascii="宋体" w:eastAsia="宋体" w:hAnsi="宋体" w:cs="宋体" w:hint="eastAsia"/>
                <w:color w:val="000000"/>
                <w:kern w:val="0"/>
                <w:sz w:val="18"/>
                <w:szCs w:val="18"/>
              </w:rPr>
              <w:br/>
              <w:t>4、牧民政策性收入稳步增长，畜牧业生产方式不断改善。</w:t>
            </w:r>
          </w:p>
        </w:tc>
        <w:tc>
          <w:tcPr>
            <w:tcW w:w="421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1.全年完成草畜平衡面积52028.7417万亩，禁牧面积15311.59万亩。</w:t>
            </w:r>
            <w:r>
              <w:rPr>
                <w:rFonts w:ascii="宋体" w:eastAsia="宋体" w:hAnsi="宋体" w:cs="宋体" w:hint="eastAsia"/>
                <w:color w:val="000000"/>
                <w:kern w:val="0"/>
                <w:sz w:val="18"/>
                <w:szCs w:val="18"/>
              </w:rPr>
              <w:br/>
              <w:t>2.全年完成渔业增殖放流规模4592.5万尾，加强鱼苗投入效果，降低河道生态不平衡带来的渔业生产损失，基本实现年度目标。</w:t>
            </w:r>
            <w:r>
              <w:rPr>
                <w:rFonts w:ascii="宋体" w:eastAsia="宋体" w:hAnsi="宋体" w:cs="宋体" w:hint="eastAsia"/>
                <w:color w:val="000000"/>
                <w:kern w:val="0"/>
                <w:sz w:val="18"/>
                <w:szCs w:val="18"/>
              </w:rPr>
              <w:br/>
              <w:t>3.全年完成化肥减量增效示范县11个，完成自治区级耕地地力评价报告1份，完成取土化验数量7186个，田间试验数量175个，基本实现年度目标。</w:t>
            </w:r>
          </w:p>
        </w:tc>
      </w:tr>
      <w:tr w:rsidR="00E52278">
        <w:trPr>
          <w:trHeight w:val="312"/>
        </w:trPr>
        <w:tc>
          <w:tcPr>
            <w:tcW w:w="7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439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left"/>
              <w:rPr>
                <w:rFonts w:ascii="宋体" w:eastAsia="宋体" w:hAnsi="宋体" w:cs="宋体"/>
                <w:color w:val="000000"/>
                <w:sz w:val="18"/>
                <w:szCs w:val="18"/>
              </w:rPr>
            </w:pPr>
          </w:p>
        </w:tc>
        <w:tc>
          <w:tcPr>
            <w:tcW w:w="4213"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left"/>
              <w:rPr>
                <w:rFonts w:ascii="宋体" w:eastAsia="宋体" w:hAnsi="宋体" w:cs="宋体"/>
                <w:color w:val="000000"/>
                <w:sz w:val="18"/>
                <w:szCs w:val="18"/>
              </w:rPr>
            </w:pPr>
          </w:p>
        </w:tc>
      </w:tr>
      <w:tr w:rsidR="00E52278">
        <w:trPr>
          <w:trHeight w:val="312"/>
        </w:trPr>
        <w:tc>
          <w:tcPr>
            <w:tcW w:w="7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439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left"/>
              <w:rPr>
                <w:rFonts w:ascii="宋体" w:eastAsia="宋体" w:hAnsi="宋体" w:cs="宋体"/>
                <w:color w:val="000000"/>
                <w:sz w:val="18"/>
                <w:szCs w:val="18"/>
              </w:rPr>
            </w:pPr>
          </w:p>
        </w:tc>
        <w:tc>
          <w:tcPr>
            <w:tcW w:w="4213"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left"/>
              <w:rPr>
                <w:rFonts w:ascii="宋体" w:eastAsia="宋体" w:hAnsi="宋体" w:cs="宋体"/>
                <w:color w:val="000000"/>
                <w:sz w:val="18"/>
                <w:szCs w:val="18"/>
              </w:rPr>
            </w:pPr>
          </w:p>
        </w:tc>
      </w:tr>
      <w:tr w:rsidR="00E52278">
        <w:trPr>
          <w:trHeight w:val="1260"/>
        </w:trPr>
        <w:tc>
          <w:tcPr>
            <w:tcW w:w="7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439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left"/>
              <w:rPr>
                <w:rFonts w:ascii="宋体" w:eastAsia="宋体" w:hAnsi="宋体" w:cs="宋体"/>
                <w:color w:val="000000"/>
                <w:sz w:val="18"/>
                <w:szCs w:val="18"/>
              </w:rPr>
            </w:pPr>
          </w:p>
        </w:tc>
        <w:tc>
          <w:tcPr>
            <w:tcW w:w="4213"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left"/>
              <w:rPr>
                <w:rFonts w:ascii="宋体" w:eastAsia="宋体" w:hAnsi="宋体" w:cs="宋体"/>
                <w:color w:val="000000"/>
                <w:sz w:val="18"/>
                <w:szCs w:val="18"/>
              </w:rPr>
            </w:pPr>
          </w:p>
        </w:tc>
      </w:tr>
      <w:tr w:rsidR="00E52278">
        <w:trPr>
          <w:trHeight w:val="432"/>
        </w:trPr>
        <w:tc>
          <w:tcPr>
            <w:tcW w:w="7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一级指标</w:t>
            </w: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二级指标</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三级指标</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指标值</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全年完成值</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未完成原因和改进措施</w:t>
            </w:r>
          </w:p>
        </w:tc>
      </w:tr>
      <w:tr w:rsidR="00E52278">
        <w:trPr>
          <w:trHeight w:val="288"/>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绩效指标</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产出指标</w:t>
            </w:r>
          </w:p>
        </w:tc>
        <w:tc>
          <w:tcPr>
            <w:tcW w:w="8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数量指标</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化肥减量增效示范县数量</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11个</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11个</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r>
      <w:tr w:rsidR="00E52278">
        <w:trPr>
          <w:trHeight w:val="864"/>
        </w:trPr>
        <w:tc>
          <w:tcPr>
            <w:tcW w:w="7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80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取土化验数量</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≥7040个</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7180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该项指标后期向农业农村部主动调整为7040个</w:t>
            </w:r>
          </w:p>
        </w:tc>
      </w:tr>
      <w:tr w:rsidR="00E52278">
        <w:trPr>
          <w:trHeight w:val="864"/>
        </w:trPr>
        <w:tc>
          <w:tcPr>
            <w:tcW w:w="7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80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田间肥效试验数量</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≥165个</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175</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该项指标后期向农业农村部主动调整为165个</w:t>
            </w:r>
          </w:p>
        </w:tc>
      </w:tr>
      <w:tr w:rsidR="00E52278">
        <w:trPr>
          <w:trHeight w:val="760"/>
        </w:trPr>
        <w:tc>
          <w:tcPr>
            <w:tcW w:w="7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80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省级以上增值放流活动（省级以上渔业主管部门作为活动主办单位）举办次数</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≥3次</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3次</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r>
      <w:tr w:rsidR="00E52278">
        <w:trPr>
          <w:trHeight w:val="648"/>
        </w:trPr>
        <w:tc>
          <w:tcPr>
            <w:tcW w:w="7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80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渔业增殖放流规模</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≥1600万尾（粒）</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4592.4962</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根据各个地州报送数据统计</w:t>
            </w:r>
          </w:p>
        </w:tc>
      </w:tr>
      <w:tr w:rsidR="00E52278">
        <w:trPr>
          <w:trHeight w:val="500"/>
        </w:trPr>
        <w:tc>
          <w:tcPr>
            <w:tcW w:w="7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80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完成自治区级耕地地力评价报告份数</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1份</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r>
      <w:tr w:rsidR="00E52278">
        <w:trPr>
          <w:trHeight w:val="2160"/>
        </w:trPr>
        <w:tc>
          <w:tcPr>
            <w:tcW w:w="7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80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建设秸秆综合利用重点县</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9个</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一是试点县工作启动较晚可能受资金到位时效的影响启动较晚；二是部分地州联动机制尚不健全；三是秸秆利用技术规程还存在空缺。</w:t>
            </w:r>
          </w:p>
        </w:tc>
      </w:tr>
      <w:tr w:rsidR="00E52278">
        <w:trPr>
          <w:trHeight w:val="288"/>
        </w:trPr>
        <w:tc>
          <w:tcPr>
            <w:tcW w:w="7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8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质量指标</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资金使用重大违规违纪问题</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无</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r>
      <w:tr w:rsidR="00E52278">
        <w:trPr>
          <w:trHeight w:val="780"/>
        </w:trPr>
        <w:tc>
          <w:tcPr>
            <w:tcW w:w="7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80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耕地质量提升与化肥减量增效示范县测土配方施肥技术覆盖率</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≥95%</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95%</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r>
      <w:tr w:rsidR="00E52278">
        <w:trPr>
          <w:trHeight w:val="432"/>
        </w:trPr>
        <w:tc>
          <w:tcPr>
            <w:tcW w:w="7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80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秸秆综合利用重点县秸秆综合利用率</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达到90%以上或比上年提高5个百分点</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94.17%</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r>
      <w:tr w:rsidR="00E52278">
        <w:trPr>
          <w:trHeight w:val="288"/>
        </w:trPr>
        <w:tc>
          <w:tcPr>
            <w:tcW w:w="7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80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珍稀濒危放流苗种进行标志比例</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11.08%</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r>
      <w:tr w:rsidR="00E52278">
        <w:trPr>
          <w:trHeight w:val="540"/>
        </w:trPr>
        <w:tc>
          <w:tcPr>
            <w:tcW w:w="7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80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渔业增殖放流经济物种放流经检验检疫的批次比例</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≥90%</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95%</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r>
      <w:tr w:rsidR="00E52278">
        <w:trPr>
          <w:trHeight w:val="288"/>
        </w:trPr>
        <w:tc>
          <w:tcPr>
            <w:tcW w:w="7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80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补贴资金到户（项目单位）率</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≥95%</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r>
      <w:tr w:rsidR="00E52278">
        <w:trPr>
          <w:trHeight w:val="288"/>
        </w:trPr>
        <w:tc>
          <w:tcPr>
            <w:tcW w:w="7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80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补奖资金发放到位时间</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10月前</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r>
      <w:tr w:rsidR="00E52278">
        <w:trPr>
          <w:trHeight w:val="1080"/>
        </w:trPr>
        <w:tc>
          <w:tcPr>
            <w:tcW w:w="7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效益指标</w:t>
            </w: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社会效益指标</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建立秸秆综合利用长效机制</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建立</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44.44%</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9个县中，仅4个县完成了建设工作，5个县尚未建设完成　</w:t>
            </w:r>
          </w:p>
        </w:tc>
      </w:tr>
      <w:tr w:rsidR="00E52278">
        <w:trPr>
          <w:trHeight w:val="640"/>
        </w:trPr>
        <w:tc>
          <w:tcPr>
            <w:tcW w:w="7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8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生态效益指标</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0A6965">
            <w:pPr>
              <w:widowControl/>
              <w:spacing w:line="20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重要经济物种放流回捕产量对照（未开展增殖放流时期或地区）增长比率</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r>
      <w:tr w:rsidR="00E52278">
        <w:trPr>
          <w:trHeight w:val="288"/>
        </w:trPr>
        <w:tc>
          <w:tcPr>
            <w:tcW w:w="7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80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化肥使用量增幅</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≤0%</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r>
      <w:tr w:rsidR="00E52278">
        <w:trPr>
          <w:trHeight w:val="1944"/>
        </w:trPr>
        <w:tc>
          <w:tcPr>
            <w:tcW w:w="7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80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果菜茶有机肥替代化肥示范县项目区果园土壤有机质含量提升</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此指标非本项目指标，为中央农业生产发展资金中果菜茶有机肥替代化肥项目的相关指标，农业农村部已做调整</w:t>
            </w:r>
          </w:p>
        </w:tc>
      </w:tr>
      <w:tr w:rsidR="00E52278">
        <w:trPr>
          <w:trHeight w:val="864"/>
        </w:trPr>
        <w:tc>
          <w:tcPr>
            <w:tcW w:w="7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80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0A6965">
            <w:pPr>
              <w:widowControl/>
              <w:spacing w:line="20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耕地质量提升与化肥减量增效示范县项目区耕地土壤有机质含量提升</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0A6965">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0.5g/kg以上</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0A6965">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达到预期指标,提高0.51g/kg</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rsidP="000A6965">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此指标后期根据农业农村部要求进行了修正。</w:t>
            </w:r>
          </w:p>
        </w:tc>
      </w:tr>
      <w:tr w:rsidR="00E52278">
        <w:trPr>
          <w:trHeight w:val="288"/>
        </w:trPr>
        <w:tc>
          <w:tcPr>
            <w:tcW w:w="7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80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耕地质量等级</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持平或提升</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85%</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r>
      <w:tr w:rsidR="00E52278">
        <w:trPr>
          <w:trHeight w:val="288"/>
        </w:trPr>
        <w:tc>
          <w:tcPr>
            <w:tcW w:w="7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满意度指标</w:t>
            </w:r>
          </w:p>
        </w:tc>
        <w:tc>
          <w:tcPr>
            <w:tcW w:w="8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服务对象满意度指标</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捕捞渔民抽样调查满意度</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≥80%</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r>
      <w:tr w:rsidR="00E52278">
        <w:trPr>
          <w:trHeight w:val="288"/>
        </w:trPr>
        <w:tc>
          <w:tcPr>
            <w:tcW w:w="7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80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农牧民满意度</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≥80%</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98%</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E52278">
            <w:pPr>
              <w:jc w:val="center"/>
              <w:rPr>
                <w:rFonts w:ascii="宋体" w:eastAsia="宋体" w:hAnsi="宋体" w:cs="宋体"/>
                <w:color w:val="000000"/>
                <w:sz w:val="18"/>
                <w:szCs w:val="18"/>
              </w:rPr>
            </w:pPr>
          </w:p>
        </w:tc>
      </w:tr>
      <w:tr w:rsidR="00E52278">
        <w:trPr>
          <w:trHeight w:val="288"/>
        </w:trPr>
        <w:tc>
          <w:tcPr>
            <w:tcW w:w="2472"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widowControl/>
              <w:jc w:val="center"/>
              <w:rPr>
                <w:rFonts w:ascii="宋体" w:cs="宋体"/>
                <w:color w:val="000000"/>
                <w:kern w:val="0"/>
                <w:sz w:val="20"/>
                <w:szCs w:val="20"/>
              </w:rPr>
            </w:pPr>
            <w:r>
              <w:rPr>
                <w:rFonts w:ascii="宋体" w:hAnsi="宋体" w:cs="宋体" w:hint="eastAsia"/>
                <w:color w:val="000000"/>
                <w:kern w:val="0"/>
                <w:sz w:val="20"/>
                <w:szCs w:val="20"/>
              </w:rPr>
              <w:t>说明</w:t>
            </w:r>
          </w:p>
        </w:tc>
        <w:tc>
          <w:tcPr>
            <w:tcW w:w="6901"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52278" w:rsidRDefault="00D701C6">
            <w:pPr>
              <w:jc w:val="center"/>
              <w:rPr>
                <w:rFonts w:ascii="宋体" w:eastAsia="宋体" w:hAnsi="宋体" w:cs="宋体"/>
                <w:color w:val="000000"/>
                <w:sz w:val="18"/>
                <w:szCs w:val="18"/>
              </w:rPr>
            </w:pPr>
            <w:r>
              <w:rPr>
                <w:rFonts w:ascii="宋体" w:cs="宋体" w:hint="eastAsia"/>
                <w:color w:val="000000"/>
                <w:kern w:val="0"/>
                <w:sz w:val="20"/>
                <w:szCs w:val="20"/>
              </w:rPr>
              <w:t>无</w:t>
            </w:r>
          </w:p>
        </w:tc>
      </w:tr>
    </w:tbl>
    <w:p w:rsidR="00E52278" w:rsidRDefault="00E52278" w:rsidP="000A6965">
      <w:pPr>
        <w:pStyle w:val="Style1"/>
      </w:pPr>
    </w:p>
    <w:sectPr w:rsidR="00E52278" w:rsidSect="00E522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EA4" w:rsidRDefault="000F5EA4" w:rsidP="00E52278">
      <w:r>
        <w:separator/>
      </w:r>
    </w:p>
  </w:endnote>
  <w:endnote w:type="continuationSeparator" w:id="1">
    <w:p w:rsidR="000F5EA4" w:rsidRDefault="000F5EA4" w:rsidP="00E52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965" w:rsidRDefault="008F3B23">
    <w:pPr>
      <w:pStyle w:val="a6"/>
      <w:jc w:val="center"/>
    </w:pPr>
    <w:r w:rsidRPr="008F3B23">
      <w:fldChar w:fldCharType="begin"/>
    </w:r>
    <w:r w:rsidR="000A6965">
      <w:instrText xml:space="preserve"> PAGE   \* MERGEFORMAT </w:instrText>
    </w:r>
    <w:r w:rsidRPr="008F3B23">
      <w:fldChar w:fldCharType="separate"/>
    </w:r>
    <w:r w:rsidR="00C53CBA" w:rsidRPr="00C53CBA">
      <w:rPr>
        <w:noProof/>
        <w:lang w:val="zh-CN"/>
      </w:rPr>
      <w:t>1</w:t>
    </w:r>
    <w:r>
      <w:rPr>
        <w:lang w:val="zh-CN"/>
      </w:rPr>
      <w:fldChar w:fldCharType="end"/>
    </w:r>
  </w:p>
  <w:p w:rsidR="000A6965" w:rsidRDefault="000A696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2967"/>
    </w:sdtPr>
    <w:sdtContent>
      <w:p w:rsidR="000A6965" w:rsidRDefault="008F3B23">
        <w:pPr>
          <w:pStyle w:val="a6"/>
          <w:jc w:val="center"/>
        </w:pPr>
        <w:r w:rsidRPr="008F3B23">
          <w:fldChar w:fldCharType="begin"/>
        </w:r>
        <w:r w:rsidR="000A6965">
          <w:instrText xml:space="preserve"> PAGE   \* MERGEFORMAT </w:instrText>
        </w:r>
        <w:r w:rsidRPr="008F3B23">
          <w:fldChar w:fldCharType="separate"/>
        </w:r>
        <w:r w:rsidR="00C53CBA" w:rsidRPr="00C53CBA">
          <w:rPr>
            <w:noProof/>
            <w:lang w:val="zh-CN"/>
          </w:rPr>
          <w:t>19</w:t>
        </w:r>
        <w:r>
          <w:rPr>
            <w:lang w:val="zh-CN"/>
          </w:rPr>
          <w:fldChar w:fldCharType="end"/>
        </w:r>
      </w:p>
    </w:sdtContent>
  </w:sdt>
  <w:p w:rsidR="000A6965" w:rsidRDefault="000A696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EA4" w:rsidRDefault="000F5EA4" w:rsidP="00E52278">
      <w:r>
        <w:separator/>
      </w:r>
    </w:p>
  </w:footnote>
  <w:footnote w:type="continuationSeparator" w:id="1">
    <w:p w:rsidR="000F5EA4" w:rsidRDefault="000F5EA4" w:rsidP="00E522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B756B6"/>
    <w:multiLevelType w:val="singleLevel"/>
    <w:tmpl w:val="A2B756B6"/>
    <w:lvl w:ilvl="0">
      <w:start w:val="2"/>
      <w:numFmt w:val="decimal"/>
      <w:suff w:val="nothing"/>
      <w:lvlText w:val="（%1）"/>
      <w:lvlJc w:val="left"/>
    </w:lvl>
  </w:abstractNum>
  <w:abstractNum w:abstractNumId="1">
    <w:nsid w:val="C41F0216"/>
    <w:multiLevelType w:val="singleLevel"/>
    <w:tmpl w:val="C41F0216"/>
    <w:lvl w:ilvl="0">
      <w:start w:val="3"/>
      <w:numFmt w:val="chineseCounting"/>
      <w:suff w:val="nothing"/>
      <w:lvlText w:val="%1、"/>
      <w:lvlJc w:val="left"/>
      <w:rPr>
        <w:rFonts w:hint="eastAsia"/>
      </w:rPr>
    </w:lvl>
  </w:abstractNum>
  <w:abstractNum w:abstractNumId="2">
    <w:nsid w:val="34A78198"/>
    <w:multiLevelType w:val="singleLevel"/>
    <w:tmpl w:val="34A78198"/>
    <w:lvl w:ilvl="0">
      <w:start w:val="2"/>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50"/>
  <w:drawingGridVerticalSpacing w:val="204"/>
  <w:displayHorizontalDrawingGridEvery w:val="2"/>
  <w:displayVerticalDrawingGridEvery w:val="2"/>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F5F12"/>
    <w:rsid w:val="00006192"/>
    <w:rsid w:val="00084A4E"/>
    <w:rsid w:val="000A6965"/>
    <w:rsid w:val="000F5EA4"/>
    <w:rsid w:val="00170D27"/>
    <w:rsid w:val="00257A56"/>
    <w:rsid w:val="00372387"/>
    <w:rsid w:val="004455D4"/>
    <w:rsid w:val="004B7085"/>
    <w:rsid w:val="00550C3B"/>
    <w:rsid w:val="0063770C"/>
    <w:rsid w:val="008F3B23"/>
    <w:rsid w:val="00955C36"/>
    <w:rsid w:val="009B1FFE"/>
    <w:rsid w:val="00AB4717"/>
    <w:rsid w:val="00B043C4"/>
    <w:rsid w:val="00B338EB"/>
    <w:rsid w:val="00C53CBA"/>
    <w:rsid w:val="00CC701C"/>
    <w:rsid w:val="00D701C6"/>
    <w:rsid w:val="00D81678"/>
    <w:rsid w:val="00DD410D"/>
    <w:rsid w:val="00E52278"/>
    <w:rsid w:val="00E65FB3"/>
    <w:rsid w:val="00EF5F12"/>
    <w:rsid w:val="02674124"/>
    <w:rsid w:val="02FA5B85"/>
    <w:rsid w:val="030E449B"/>
    <w:rsid w:val="043F599A"/>
    <w:rsid w:val="06515507"/>
    <w:rsid w:val="07BE399B"/>
    <w:rsid w:val="08AD4828"/>
    <w:rsid w:val="0AA904C3"/>
    <w:rsid w:val="0AF91AB0"/>
    <w:rsid w:val="0D56407D"/>
    <w:rsid w:val="0F926929"/>
    <w:rsid w:val="110E23BD"/>
    <w:rsid w:val="12EA15FF"/>
    <w:rsid w:val="13BA6D25"/>
    <w:rsid w:val="14A245D4"/>
    <w:rsid w:val="15976178"/>
    <w:rsid w:val="17BC21BD"/>
    <w:rsid w:val="17D90068"/>
    <w:rsid w:val="191C1FFD"/>
    <w:rsid w:val="19A679BE"/>
    <w:rsid w:val="19BD42EB"/>
    <w:rsid w:val="1A6B662D"/>
    <w:rsid w:val="1AC374D5"/>
    <w:rsid w:val="1C8E4502"/>
    <w:rsid w:val="20BB38DA"/>
    <w:rsid w:val="20EE4DE8"/>
    <w:rsid w:val="22BF6346"/>
    <w:rsid w:val="2405141A"/>
    <w:rsid w:val="24BB3417"/>
    <w:rsid w:val="254D5CC5"/>
    <w:rsid w:val="26000053"/>
    <w:rsid w:val="28EC0764"/>
    <w:rsid w:val="2941568F"/>
    <w:rsid w:val="2A391B30"/>
    <w:rsid w:val="2B6F60A1"/>
    <w:rsid w:val="2D753D14"/>
    <w:rsid w:val="2D8A4445"/>
    <w:rsid w:val="2DA057CA"/>
    <w:rsid w:val="2DE622A8"/>
    <w:rsid w:val="2E5C56D3"/>
    <w:rsid w:val="2E7A4B7C"/>
    <w:rsid w:val="2FDE2557"/>
    <w:rsid w:val="30897609"/>
    <w:rsid w:val="314F0D4F"/>
    <w:rsid w:val="31F614CE"/>
    <w:rsid w:val="33241160"/>
    <w:rsid w:val="34261D70"/>
    <w:rsid w:val="345820A4"/>
    <w:rsid w:val="352824D6"/>
    <w:rsid w:val="37795AF3"/>
    <w:rsid w:val="39C348A6"/>
    <w:rsid w:val="3ACD7830"/>
    <w:rsid w:val="3B3C3514"/>
    <w:rsid w:val="3CBC44E8"/>
    <w:rsid w:val="3D6108ED"/>
    <w:rsid w:val="3EA87E78"/>
    <w:rsid w:val="3EC232F0"/>
    <w:rsid w:val="3EC670DD"/>
    <w:rsid w:val="3F645C4A"/>
    <w:rsid w:val="4016771D"/>
    <w:rsid w:val="406A77D2"/>
    <w:rsid w:val="41FB548E"/>
    <w:rsid w:val="434852E6"/>
    <w:rsid w:val="452B5F84"/>
    <w:rsid w:val="46662F80"/>
    <w:rsid w:val="47CF02B7"/>
    <w:rsid w:val="50A845B6"/>
    <w:rsid w:val="52BC6629"/>
    <w:rsid w:val="54E40789"/>
    <w:rsid w:val="568837EC"/>
    <w:rsid w:val="575D5F26"/>
    <w:rsid w:val="58056338"/>
    <w:rsid w:val="5BA03B07"/>
    <w:rsid w:val="5CF85E58"/>
    <w:rsid w:val="5D0D00EC"/>
    <w:rsid w:val="5DB57EB0"/>
    <w:rsid w:val="60137521"/>
    <w:rsid w:val="62B92565"/>
    <w:rsid w:val="673C7709"/>
    <w:rsid w:val="68CD0E19"/>
    <w:rsid w:val="696810A3"/>
    <w:rsid w:val="6A905A89"/>
    <w:rsid w:val="6C644D53"/>
    <w:rsid w:val="6C6B49F3"/>
    <w:rsid w:val="6CEA5A98"/>
    <w:rsid w:val="6D2A1308"/>
    <w:rsid w:val="6DBC10D9"/>
    <w:rsid w:val="6F0D4B40"/>
    <w:rsid w:val="6FBA63E4"/>
    <w:rsid w:val="6FC442A8"/>
    <w:rsid w:val="70176B93"/>
    <w:rsid w:val="73475CAB"/>
    <w:rsid w:val="76785EDD"/>
    <w:rsid w:val="76D63414"/>
    <w:rsid w:val="77771851"/>
    <w:rsid w:val="791F3DB6"/>
    <w:rsid w:val="7B863887"/>
    <w:rsid w:val="7E9967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uiPriority="0" w:unhideWhenUsed="0" w:qFormat="1"/>
    <w:lsdException w:name="header" w:qFormat="1"/>
    <w:lsdException w:name="footer" w:semiHidden="0" w:qFormat="1"/>
    <w:lsdException w:name="caption" w:uiPriority="35" w:qFormat="1"/>
    <w:lsdException w:name="footnote reference" w:qFormat="1"/>
    <w:lsdException w:name="Title" w:semiHidden="0" w:uiPriority="10" w:unhideWhenUsed="0" w:qFormat="1"/>
    <w:lsdException w:name="Default Paragraph Font" w:uiPriority="1" w:qFormat="1"/>
    <w:lsdException w:name="Body Text Indent" w:unhideWhenUsed="0" w:qFormat="1"/>
    <w:lsdException w:name="Subtitle" w:semiHidden="0" w:uiPriority="11" w:unhideWhenUsed="0" w:qFormat="1"/>
    <w:lsdException w:name="Body Text First Indent 2"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Style1"/>
    <w:qFormat/>
    <w:rsid w:val="00E52278"/>
    <w:pPr>
      <w:widowControl w:val="0"/>
      <w:jc w:val="both"/>
    </w:pPr>
    <w:rPr>
      <w:rFonts w:eastAsia="仿宋_GB2312"/>
      <w:kern w:val="2"/>
      <w:sz w:val="30"/>
      <w:szCs w:val="24"/>
    </w:rPr>
  </w:style>
  <w:style w:type="paragraph" w:styleId="2">
    <w:name w:val="heading 2"/>
    <w:basedOn w:val="a"/>
    <w:next w:val="a"/>
    <w:qFormat/>
    <w:rsid w:val="00E52278"/>
    <w:pPr>
      <w:keepNext/>
      <w:keepLines/>
      <w:spacing w:line="413" w:lineRule="auto"/>
      <w:outlineLvl w:val="1"/>
    </w:pPr>
    <w:rPr>
      <w:rFonts w:ascii="Arial" w:eastAsia="黑体" w:hAnsi="Arial"/>
      <w:b/>
    </w:rPr>
  </w:style>
  <w:style w:type="paragraph" w:styleId="3">
    <w:name w:val="heading 3"/>
    <w:basedOn w:val="a"/>
    <w:next w:val="a"/>
    <w:qFormat/>
    <w:rsid w:val="00E52278"/>
    <w:pPr>
      <w:widowControl/>
      <w:ind w:left="1400" w:firstLine="1136"/>
      <w:outlineLvl w:val="2"/>
    </w:pPr>
    <w:rPr>
      <w:rFonts w:ascii="宋体" w:eastAsia="Times New Roman" w:hAnsi="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_Style 1"/>
    <w:qFormat/>
    <w:rsid w:val="00E52278"/>
    <w:pPr>
      <w:widowControl w:val="0"/>
      <w:jc w:val="both"/>
    </w:pPr>
    <w:rPr>
      <w:rFonts w:asciiTheme="minorHAnsi" w:eastAsiaTheme="minorEastAsia" w:hAnsiTheme="minorHAnsi" w:cstheme="minorBidi"/>
      <w:kern w:val="2"/>
      <w:sz w:val="21"/>
      <w:szCs w:val="22"/>
    </w:rPr>
  </w:style>
  <w:style w:type="paragraph" w:styleId="a3">
    <w:name w:val="annotation text"/>
    <w:basedOn w:val="a"/>
    <w:qFormat/>
    <w:rsid w:val="00E52278"/>
    <w:pPr>
      <w:jc w:val="left"/>
    </w:pPr>
  </w:style>
  <w:style w:type="paragraph" w:styleId="a4">
    <w:name w:val="Body Text Indent"/>
    <w:basedOn w:val="a"/>
    <w:uiPriority w:val="99"/>
    <w:semiHidden/>
    <w:qFormat/>
    <w:rsid w:val="00E52278"/>
    <w:pPr>
      <w:spacing w:after="120"/>
      <w:ind w:leftChars="200" w:left="420"/>
    </w:pPr>
  </w:style>
  <w:style w:type="paragraph" w:styleId="a5">
    <w:name w:val="Balloon Text"/>
    <w:basedOn w:val="a"/>
    <w:link w:val="Char"/>
    <w:uiPriority w:val="99"/>
    <w:semiHidden/>
    <w:unhideWhenUsed/>
    <w:qFormat/>
    <w:rsid w:val="00E52278"/>
    <w:rPr>
      <w:sz w:val="18"/>
      <w:szCs w:val="18"/>
    </w:rPr>
  </w:style>
  <w:style w:type="paragraph" w:styleId="a6">
    <w:name w:val="footer"/>
    <w:basedOn w:val="a"/>
    <w:link w:val="Char0"/>
    <w:uiPriority w:val="99"/>
    <w:unhideWhenUsed/>
    <w:qFormat/>
    <w:rsid w:val="00E52278"/>
    <w:pPr>
      <w:tabs>
        <w:tab w:val="center" w:pos="4153"/>
        <w:tab w:val="right" w:pos="8306"/>
      </w:tabs>
      <w:snapToGrid w:val="0"/>
      <w:jc w:val="left"/>
    </w:pPr>
    <w:rPr>
      <w:sz w:val="18"/>
      <w:szCs w:val="18"/>
    </w:rPr>
  </w:style>
  <w:style w:type="paragraph" w:styleId="20">
    <w:name w:val="Body Text First Indent 2"/>
    <w:basedOn w:val="a4"/>
    <w:uiPriority w:val="99"/>
    <w:qFormat/>
    <w:rsid w:val="00E52278"/>
    <w:pPr>
      <w:ind w:firstLineChars="200" w:firstLine="420"/>
    </w:pPr>
    <w:rPr>
      <w:rFonts w:ascii="Calibri" w:hAnsi="Calibri"/>
    </w:rPr>
  </w:style>
  <w:style w:type="paragraph" w:styleId="a7">
    <w:name w:val="header"/>
    <w:basedOn w:val="a"/>
    <w:link w:val="Char1"/>
    <w:uiPriority w:val="99"/>
    <w:semiHidden/>
    <w:unhideWhenUsed/>
    <w:qFormat/>
    <w:rsid w:val="00E522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footnote text"/>
    <w:basedOn w:val="a"/>
    <w:uiPriority w:val="99"/>
    <w:unhideWhenUsed/>
    <w:qFormat/>
    <w:rsid w:val="00E52278"/>
    <w:pPr>
      <w:snapToGrid w:val="0"/>
      <w:jc w:val="left"/>
    </w:pPr>
    <w:rPr>
      <w:sz w:val="18"/>
      <w:szCs w:val="18"/>
    </w:rPr>
  </w:style>
  <w:style w:type="paragraph" w:styleId="a9">
    <w:name w:val="Normal (Web)"/>
    <w:basedOn w:val="a"/>
    <w:uiPriority w:val="99"/>
    <w:qFormat/>
    <w:rsid w:val="00E52278"/>
    <w:pPr>
      <w:spacing w:before="100" w:beforeAutospacing="1" w:after="100" w:afterAutospacing="1"/>
      <w:jc w:val="left"/>
    </w:pPr>
    <w:rPr>
      <w:sz w:val="24"/>
    </w:rPr>
  </w:style>
  <w:style w:type="character" w:styleId="aa">
    <w:name w:val="footnote reference"/>
    <w:basedOn w:val="a0"/>
    <w:uiPriority w:val="99"/>
    <w:semiHidden/>
    <w:unhideWhenUsed/>
    <w:qFormat/>
    <w:rsid w:val="00E52278"/>
    <w:rPr>
      <w:vertAlign w:val="superscript"/>
    </w:rPr>
  </w:style>
  <w:style w:type="table" w:styleId="ab">
    <w:name w:val="Table Grid"/>
    <w:basedOn w:val="a1"/>
    <w:uiPriority w:val="59"/>
    <w:qFormat/>
    <w:rsid w:val="00E5227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7"/>
    <w:uiPriority w:val="99"/>
    <w:semiHidden/>
    <w:qFormat/>
    <w:rsid w:val="00E52278"/>
    <w:rPr>
      <w:sz w:val="18"/>
      <w:szCs w:val="18"/>
    </w:rPr>
  </w:style>
  <w:style w:type="character" w:customStyle="1" w:styleId="Char0">
    <w:name w:val="页脚 Char"/>
    <w:basedOn w:val="a0"/>
    <w:link w:val="a6"/>
    <w:uiPriority w:val="99"/>
    <w:qFormat/>
    <w:rsid w:val="00E52278"/>
    <w:rPr>
      <w:sz w:val="18"/>
      <w:szCs w:val="18"/>
    </w:rPr>
  </w:style>
  <w:style w:type="character" w:customStyle="1" w:styleId="Char">
    <w:name w:val="批注框文本 Char"/>
    <w:basedOn w:val="a0"/>
    <w:link w:val="a5"/>
    <w:uiPriority w:val="99"/>
    <w:semiHidden/>
    <w:qFormat/>
    <w:rsid w:val="00E52278"/>
    <w:rPr>
      <w:rFonts w:ascii="Times New Roman" w:eastAsia="仿宋_GB2312" w:hAnsi="Times New Roman" w:cs="Times New Roman"/>
      <w:sz w:val="18"/>
      <w:szCs w:val="18"/>
    </w:rPr>
  </w:style>
  <w:style w:type="character" w:customStyle="1" w:styleId="font31">
    <w:name w:val="font31"/>
    <w:basedOn w:val="a0"/>
    <w:qFormat/>
    <w:rsid w:val="00E52278"/>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9BB458-16BB-42C8-B9BE-7851BBB67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1585</Words>
  <Characters>9039</Characters>
  <Application>Microsoft Office Word</Application>
  <DocSecurity>0</DocSecurity>
  <Lines>75</Lines>
  <Paragraphs>21</Paragraphs>
  <ScaleCrop>false</ScaleCrop>
  <Company/>
  <LinksUpToDate>false</LinksUpToDate>
  <CharactersWithSpaces>10603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殷梦婷</cp:lastModifiedBy>
  <cp:revision>9</cp:revision>
  <cp:lastPrinted>2020-05-26T08:47:00Z</cp:lastPrinted>
  <dcterms:created xsi:type="dcterms:W3CDTF">2020-04-02T10:30:00Z</dcterms:created>
  <dcterms:modified xsi:type="dcterms:W3CDTF">2020-05-28T09:52:00Z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2052-11.1.0.7711</vt:lpwstr>
  </property>
</Properties>
</file>